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CE" w:rsidRPr="007204E5" w:rsidRDefault="00FC00CE" w:rsidP="00FC00CE">
      <w:pPr>
        <w:widowControl w:val="0"/>
        <w:spacing w:before="120"/>
        <w:jc w:val="center"/>
      </w:pPr>
      <w:r w:rsidRPr="007204E5">
        <w:t>Influencia del clima motivacional en educación física sobre las metas de logro y la satisfacción con la vida de los adolescentes</w:t>
      </w:r>
    </w:p>
    <w:p w:rsidR="00232827" w:rsidRPr="007204E5" w:rsidRDefault="00232827"/>
    <w:p w:rsidR="00FC00CE" w:rsidRPr="007204E5" w:rsidRDefault="00FC00CE" w:rsidP="00FC00CE">
      <w:pPr>
        <w:jc w:val="center"/>
        <w:rPr>
          <w:lang w:val="en-US"/>
        </w:rPr>
      </w:pPr>
      <w:r w:rsidRPr="007204E5">
        <w:rPr>
          <w:lang w:val="en-US"/>
        </w:rPr>
        <w:t>Influence of motivational climate in physical education on achievement goals and adolescents’ life satisfaction</w:t>
      </w:r>
    </w:p>
    <w:p w:rsidR="00FC00CE" w:rsidRPr="007204E5" w:rsidRDefault="00FC00CE" w:rsidP="00FC00CE">
      <w:pPr>
        <w:jc w:val="center"/>
        <w:rPr>
          <w:lang w:val="en-US"/>
        </w:rPr>
      </w:pPr>
    </w:p>
    <w:p w:rsidR="00FC00CE" w:rsidRPr="007204E5" w:rsidRDefault="00FC00CE" w:rsidP="00FC00CE">
      <w:pPr>
        <w:jc w:val="center"/>
        <w:rPr>
          <w:lang w:val="en-US"/>
        </w:rPr>
      </w:pPr>
    </w:p>
    <w:p w:rsidR="00FC00CE" w:rsidRPr="007204E5" w:rsidRDefault="00FC00CE" w:rsidP="00DC5BE1">
      <w:pPr>
        <w:jc w:val="center"/>
        <w:rPr>
          <w:b/>
        </w:rPr>
      </w:pPr>
      <w:r w:rsidRPr="007204E5">
        <w:rPr>
          <w:b/>
        </w:rPr>
        <w:t>Resumen</w:t>
      </w:r>
    </w:p>
    <w:p w:rsidR="00FC00CE" w:rsidRPr="007204E5" w:rsidRDefault="00A71698" w:rsidP="00FC00CE">
      <w:pPr>
        <w:jc w:val="both"/>
      </w:pPr>
      <w:r w:rsidRPr="007204E5">
        <w:t>En el marco de la Teor</w:t>
      </w:r>
      <w:r w:rsidR="008A3994" w:rsidRPr="007204E5">
        <w:t>ía de las Metas de Logro</w:t>
      </w:r>
      <w:r w:rsidRPr="007204E5">
        <w:t xml:space="preserve"> y haciendo alusión a la Teoría de la Autodeterminación, el objetivo principal de este trabajo ha consistido en pred</w:t>
      </w:r>
      <w:r w:rsidR="007204E5" w:rsidRPr="007204E5">
        <w:t>ecir</w:t>
      </w:r>
      <w:r w:rsidRPr="007204E5">
        <w:t xml:space="preserve"> la satisfacción con la vida de los alumnos de educación física</w:t>
      </w:r>
      <w:r w:rsidR="008A3994" w:rsidRPr="007204E5">
        <w:t xml:space="preserve"> (EF)</w:t>
      </w:r>
      <w:r w:rsidRPr="007204E5">
        <w:t xml:space="preserve"> a partir de la percepción del clima motivacional de la clase y actuando como mediadora la orientación de metas de logro. Para cumplir este objetivo, 608 a</w:t>
      </w:r>
      <w:r w:rsidR="008A3994" w:rsidRPr="007204E5">
        <w:t xml:space="preserve">lumnos </w:t>
      </w:r>
      <w:r w:rsidR="00332679" w:rsidRPr="007204E5">
        <w:t xml:space="preserve">españoles </w:t>
      </w:r>
      <w:r w:rsidR="008A3994" w:rsidRPr="007204E5">
        <w:t>de Educación Secundaria y 1º de Bachillerato, con</w:t>
      </w:r>
      <w:r w:rsidRPr="007204E5">
        <w:t xml:space="preserve"> edades comprendidas entre los 12 y los 17 años (</w:t>
      </w:r>
      <w:r w:rsidR="00332679" w:rsidRPr="007204E5">
        <w:rPr>
          <w:i/>
        </w:rPr>
        <w:t>M</w:t>
      </w:r>
      <w:r w:rsidR="00332679" w:rsidRPr="007204E5">
        <w:t xml:space="preserve"> = 14.51, </w:t>
      </w:r>
      <w:r w:rsidR="00332679" w:rsidRPr="007204E5">
        <w:rPr>
          <w:i/>
        </w:rPr>
        <w:t>DT</w:t>
      </w:r>
      <w:r w:rsidR="00332679" w:rsidRPr="007204E5">
        <w:t xml:space="preserve"> = 1.46; </w:t>
      </w:r>
      <w:r w:rsidR="008A3994" w:rsidRPr="007204E5">
        <w:t xml:space="preserve">55.3% hombres y 44.7% mujeres) completaron una escala de clima motivacional en EF, una escala de orientación de metas de logro 2 x 2, y una escala de satisfacción con la vida. </w:t>
      </w:r>
      <w:r w:rsidR="00332679" w:rsidRPr="007204E5">
        <w:t>Para el análisis de los</w:t>
      </w:r>
      <w:r w:rsidR="00D627BF" w:rsidRPr="007204E5">
        <w:t xml:space="preserve"> datos s</w:t>
      </w:r>
      <w:r w:rsidR="008A3994" w:rsidRPr="007204E5">
        <w:t xml:space="preserve">e desarrollaron diversos </w:t>
      </w:r>
      <w:r w:rsidR="007204E5" w:rsidRPr="007204E5">
        <w:t>m</w:t>
      </w:r>
      <w:r w:rsidR="008A3994" w:rsidRPr="007204E5">
        <w:t xml:space="preserve">odelos de </w:t>
      </w:r>
      <w:r w:rsidR="007204E5" w:rsidRPr="007204E5">
        <w:t>e</w:t>
      </w:r>
      <w:r w:rsidR="008A3994" w:rsidRPr="007204E5">
        <w:t xml:space="preserve">cuaciones </w:t>
      </w:r>
      <w:r w:rsidR="007204E5" w:rsidRPr="007204E5">
        <w:t>e</w:t>
      </w:r>
      <w:r w:rsidR="008A3994" w:rsidRPr="007204E5">
        <w:t xml:space="preserve">structurales </w:t>
      </w:r>
      <w:r w:rsidR="00D627BF" w:rsidRPr="007204E5">
        <w:t>con factores latentes</w:t>
      </w:r>
      <w:r w:rsidR="008A3994" w:rsidRPr="007204E5">
        <w:t xml:space="preserve">. Los </w:t>
      </w:r>
      <w:r w:rsidR="00332679" w:rsidRPr="007204E5">
        <w:t xml:space="preserve">principales </w:t>
      </w:r>
      <w:r w:rsidR="008A3994" w:rsidRPr="007204E5">
        <w:t xml:space="preserve">resultados mostraron una relación significativa y positiva entre el clima de maestría y la aproximación a la maestría y ésta </w:t>
      </w:r>
      <w:r w:rsidR="0057305E" w:rsidRPr="007204E5">
        <w:t xml:space="preserve">predijo positivamente </w:t>
      </w:r>
      <w:r w:rsidR="008A3994" w:rsidRPr="007204E5">
        <w:t>la satisfacción con la vida. Por otro lado, el clima de rendimiento se relacionó positivamente con la aproximación al rendimiento y</w:t>
      </w:r>
      <w:r w:rsidR="0057305E" w:rsidRPr="007204E5">
        <w:t xml:space="preserve"> ésta predijo</w:t>
      </w:r>
      <w:r w:rsidR="008A3994" w:rsidRPr="007204E5">
        <w:t xml:space="preserve"> negativamente la satisfacción con la vida de los alumnos. Se discuten los resultados en relación con los planteamientos de la psicología positiva de cara a proponer a los profesores </w:t>
      </w:r>
      <w:r w:rsidR="00D4364E" w:rsidRPr="007204E5">
        <w:t>ciertas estrategias</w:t>
      </w:r>
      <w:r w:rsidR="008A3994" w:rsidRPr="007204E5">
        <w:t xml:space="preserve"> pedagógica</w:t>
      </w:r>
      <w:r w:rsidR="00D4364E" w:rsidRPr="007204E5">
        <w:t>s</w:t>
      </w:r>
      <w:r w:rsidR="008A3994" w:rsidRPr="007204E5">
        <w:t xml:space="preserve"> en las clases de EF.</w:t>
      </w:r>
    </w:p>
    <w:p w:rsidR="00FC00CE" w:rsidRPr="007204E5" w:rsidRDefault="00FC00CE" w:rsidP="00FC00CE">
      <w:pPr>
        <w:jc w:val="both"/>
      </w:pPr>
      <w:r w:rsidRPr="007204E5">
        <w:rPr>
          <w:b/>
        </w:rPr>
        <w:t>Palabras clave</w:t>
      </w:r>
      <w:r w:rsidRPr="007204E5">
        <w:t xml:space="preserve">: </w:t>
      </w:r>
      <w:r w:rsidR="00A71698" w:rsidRPr="007204E5">
        <w:t>Motivación, bienestar subjetivo, psicología positiva</w:t>
      </w:r>
      <w:r w:rsidR="00086916" w:rsidRPr="007204E5">
        <w:t>, Educación Secundaria, Bachillerato.</w:t>
      </w:r>
    </w:p>
    <w:p w:rsidR="00FC00CE" w:rsidRPr="007204E5" w:rsidRDefault="00FC00CE" w:rsidP="00FC00CE">
      <w:pPr>
        <w:jc w:val="both"/>
      </w:pPr>
    </w:p>
    <w:p w:rsidR="00FC00CE" w:rsidRPr="007204E5" w:rsidRDefault="00DC5BE1" w:rsidP="00DC5BE1">
      <w:pPr>
        <w:jc w:val="center"/>
        <w:rPr>
          <w:b/>
          <w:lang w:val="en-US"/>
        </w:rPr>
      </w:pPr>
      <w:r w:rsidRPr="007204E5">
        <w:rPr>
          <w:b/>
          <w:lang w:val="en-US"/>
        </w:rPr>
        <w:t>Abstract</w:t>
      </w:r>
    </w:p>
    <w:p w:rsidR="007204E5" w:rsidRPr="007204E5" w:rsidRDefault="00D627BF" w:rsidP="00FC00CE">
      <w:pPr>
        <w:jc w:val="both"/>
        <w:rPr>
          <w:lang w:val="en-US"/>
        </w:rPr>
      </w:pPr>
      <w:r w:rsidRPr="007204E5">
        <w:rPr>
          <w:lang w:val="en-US"/>
        </w:rPr>
        <w:t>Within the framework of the Achievement Goal Theory and referring to Self-Determination Theory, the main objective of this work has been to predict students’ life satisfaction in physical education (PE) from the perception of motivational class climate</w:t>
      </w:r>
      <w:r w:rsidR="007204E5" w:rsidRPr="007204E5">
        <w:rPr>
          <w:lang w:val="en-US"/>
        </w:rPr>
        <w:t>,</w:t>
      </w:r>
      <w:r w:rsidRPr="007204E5">
        <w:rPr>
          <w:lang w:val="en-US"/>
        </w:rPr>
        <w:t xml:space="preserve"> </w:t>
      </w:r>
      <w:r w:rsidR="007204E5" w:rsidRPr="007204E5">
        <w:rPr>
          <w:lang w:val="en-US"/>
        </w:rPr>
        <w:t xml:space="preserve">and </w:t>
      </w:r>
      <w:r w:rsidRPr="007204E5">
        <w:rPr>
          <w:lang w:val="en-US"/>
        </w:rPr>
        <w:t xml:space="preserve">acting as a mediator the achievement goals orientation. </w:t>
      </w:r>
      <w:r w:rsidR="007204E5" w:rsidRPr="007204E5">
        <w:rPr>
          <w:lang w:val="en-US"/>
        </w:rPr>
        <w:t>In order t</w:t>
      </w:r>
      <w:r w:rsidRPr="007204E5">
        <w:rPr>
          <w:lang w:val="en-US"/>
        </w:rPr>
        <w:t xml:space="preserve">o meet this objective, 608 </w:t>
      </w:r>
      <w:r w:rsidR="00332679" w:rsidRPr="007204E5">
        <w:rPr>
          <w:lang w:val="en-US"/>
        </w:rPr>
        <w:t xml:space="preserve">Spanish </w:t>
      </w:r>
      <w:r w:rsidRPr="007204E5">
        <w:rPr>
          <w:lang w:val="en-US"/>
        </w:rPr>
        <w:t>students of secondary school and 1</w:t>
      </w:r>
      <w:r w:rsidRPr="007204E5">
        <w:rPr>
          <w:vertAlign w:val="superscript"/>
          <w:lang w:val="en-US"/>
        </w:rPr>
        <w:t>st</w:t>
      </w:r>
      <w:r w:rsidRPr="007204E5">
        <w:rPr>
          <w:lang w:val="en-US"/>
        </w:rPr>
        <w:t>. high school, aged between 12 and 17 years</w:t>
      </w:r>
      <w:r w:rsidR="00332679" w:rsidRPr="007204E5">
        <w:rPr>
          <w:lang w:val="en-US"/>
        </w:rPr>
        <w:t xml:space="preserve"> (</w:t>
      </w:r>
      <w:r w:rsidR="00332679" w:rsidRPr="007204E5">
        <w:rPr>
          <w:i/>
          <w:lang w:val="en-US"/>
        </w:rPr>
        <w:t>M</w:t>
      </w:r>
      <w:r w:rsidR="00332679" w:rsidRPr="007204E5">
        <w:rPr>
          <w:lang w:val="en-US"/>
        </w:rPr>
        <w:t xml:space="preserve"> = 14.51, </w:t>
      </w:r>
      <w:r w:rsidR="00332679" w:rsidRPr="007204E5">
        <w:rPr>
          <w:i/>
          <w:lang w:val="en-US"/>
        </w:rPr>
        <w:t>DT</w:t>
      </w:r>
      <w:r w:rsidR="00332679" w:rsidRPr="007204E5">
        <w:rPr>
          <w:lang w:val="en-US"/>
        </w:rPr>
        <w:t xml:space="preserve"> = 1.46; </w:t>
      </w:r>
      <w:r w:rsidRPr="007204E5">
        <w:rPr>
          <w:lang w:val="en-US"/>
        </w:rPr>
        <w:t xml:space="preserve">55.3% men and 44.7% women) completed </w:t>
      </w:r>
      <w:r w:rsidR="00332679" w:rsidRPr="007204E5">
        <w:rPr>
          <w:lang w:val="en-US"/>
        </w:rPr>
        <w:t>a</w:t>
      </w:r>
      <w:r w:rsidRPr="007204E5">
        <w:rPr>
          <w:lang w:val="en-US"/>
        </w:rPr>
        <w:t xml:space="preserve"> motivational climate scale in PE, </w:t>
      </w:r>
      <w:r w:rsidR="00332679" w:rsidRPr="007204E5">
        <w:rPr>
          <w:lang w:val="en-US"/>
        </w:rPr>
        <w:t>an</w:t>
      </w:r>
      <w:r w:rsidRPr="007204E5">
        <w:rPr>
          <w:lang w:val="en-US"/>
        </w:rPr>
        <w:t xml:space="preserve"> achievement goals orientation 2 x 2 scale, and </w:t>
      </w:r>
      <w:r w:rsidR="007204E5" w:rsidRPr="007204E5">
        <w:rPr>
          <w:lang w:val="en-US"/>
        </w:rPr>
        <w:t>the</w:t>
      </w:r>
      <w:r w:rsidRPr="007204E5">
        <w:rPr>
          <w:lang w:val="en-US"/>
        </w:rPr>
        <w:t xml:space="preserve"> satisfaction with life scale. For</w:t>
      </w:r>
      <w:r w:rsidR="007204E5" w:rsidRPr="007204E5">
        <w:rPr>
          <w:lang w:val="en-US"/>
        </w:rPr>
        <w:t xml:space="preserve"> </w:t>
      </w:r>
      <w:r w:rsidRPr="007204E5">
        <w:rPr>
          <w:lang w:val="en-US"/>
        </w:rPr>
        <w:t xml:space="preserve">data analyses </w:t>
      </w:r>
      <w:r w:rsidR="007204E5" w:rsidRPr="007204E5">
        <w:rPr>
          <w:lang w:val="en-US"/>
        </w:rPr>
        <w:t>several</w:t>
      </w:r>
      <w:r w:rsidRPr="007204E5">
        <w:rPr>
          <w:lang w:val="en-US"/>
        </w:rPr>
        <w:t xml:space="preserve"> structural equation model</w:t>
      </w:r>
      <w:r w:rsidR="00332679" w:rsidRPr="007204E5">
        <w:rPr>
          <w:lang w:val="en-US"/>
        </w:rPr>
        <w:t>s</w:t>
      </w:r>
      <w:r w:rsidRPr="007204E5">
        <w:rPr>
          <w:lang w:val="en-US"/>
        </w:rPr>
        <w:t xml:space="preserve"> with laten</w:t>
      </w:r>
      <w:r w:rsidR="007204E5" w:rsidRPr="007204E5">
        <w:rPr>
          <w:lang w:val="en-US"/>
        </w:rPr>
        <w:t>t factors were carried out. M</w:t>
      </w:r>
      <w:r w:rsidR="00332679" w:rsidRPr="007204E5">
        <w:rPr>
          <w:lang w:val="en-US"/>
        </w:rPr>
        <w:t xml:space="preserve">ain </w:t>
      </w:r>
      <w:r w:rsidRPr="007204E5">
        <w:rPr>
          <w:lang w:val="en-US"/>
        </w:rPr>
        <w:t xml:space="preserve">results showed a significant and positive relationship </w:t>
      </w:r>
      <w:r w:rsidR="00332679" w:rsidRPr="007204E5">
        <w:rPr>
          <w:lang w:val="en-US"/>
        </w:rPr>
        <w:t>between</w:t>
      </w:r>
      <w:r w:rsidRPr="007204E5">
        <w:rPr>
          <w:lang w:val="en-US"/>
        </w:rPr>
        <w:t xml:space="preserve"> </w:t>
      </w:r>
      <w:r w:rsidR="00332679" w:rsidRPr="007204E5">
        <w:rPr>
          <w:lang w:val="en-US"/>
        </w:rPr>
        <w:t xml:space="preserve">mastery </w:t>
      </w:r>
      <w:r w:rsidRPr="007204E5">
        <w:rPr>
          <w:lang w:val="en-US"/>
        </w:rPr>
        <w:t xml:space="preserve">climate and </w:t>
      </w:r>
      <w:r w:rsidR="00332679" w:rsidRPr="007204E5">
        <w:rPr>
          <w:lang w:val="en-US"/>
        </w:rPr>
        <w:t xml:space="preserve">mastery </w:t>
      </w:r>
      <w:r w:rsidRPr="007204E5">
        <w:rPr>
          <w:lang w:val="en-US"/>
        </w:rPr>
        <w:t>approach</w:t>
      </w:r>
      <w:r w:rsidR="00332679" w:rsidRPr="007204E5">
        <w:rPr>
          <w:lang w:val="en-US"/>
        </w:rPr>
        <w:t xml:space="preserve"> orientation</w:t>
      </w:r>
      <w:r w:rsidR="007204E5" w:rsidRPr="007204E5">
        <w:rPr>
          <w:lang w:val="en-US"/>
        </w:rPr>
        <w:t>,</w:t>
      </w:r>
      <w:r w:rsidR="0057305E" w:rsidRPr="007204E5">
        <w:rPr>
          <w:lang w:val="en-US"/>
        </w:rPr>
        <w:t xml:space="preserve"> which in turn </w:t>
      </w:r>
      <w:r w:rsidR="007204E5" w:rsidRPr="007204E5">
        <w:rPr>
          <w:lang w:val="en-US"/>
        </w:rPr>
        <w:t xml:space="preserve">significantly </w:t>
      </w:r>
      <w:r w:rsidR="0057305E" w:rsidRPr="007204E5">
        <w:rPr>
          <w:lang w:val="en-US"/>
        </w:rPr>
        <w:t>predicted</w:t>
      </w:r>
      <w:r w:rsidR="00332679" w:rsidRPr="007204E5">
        <w:rPr>
          <w:lang w:val="en-US"/>
        </w:rPr>
        <w:t xml:space="preserve"> </w:t>
      </w:r>
      <w:r w:rsidRPr="007204E5">
        <w:rPr>
          <w:lang w:val="en-US"/>
        </w:rPr>
        <w:t xml:space="preserve">satisfaction with life. </w:t>
      </w:r>
      <w:r w:rsidR="007204E5" w:rsidRPr="007204E5">
        <w:rPr>
          <w:lang w:val="en-US"/>
        </w:rPr>
        <w:t>P</w:t>
      </w:r>
      <w:r w:rsidR="00D4364E" w:rsidRPr="007204E5">
        <w:rPr>
          <w:lang w:val="en-US"/>
        </w:rPr>
        <w:t xml:space="preserve">erformance </w:t>
      </w:r>
      <w:r w:rsidRPr="007204E5">
        <w:rPr>
          <w:lang w:val="en-US"/>
        </w:rPr>
        <w:t xml:space="preserve">climate was positively related to </w:t>
      </w:r>
      <w:r w:rsidR="00D4364E" w:rsidRPr="007204E5">
        <w:rPr>
          <w:lang w:val="en-US"/>
        </w:rPr>
        <w:t xml:space="preserve">performance </w:t>
      </w:r>
      <w:r w:rsidRPr="007204E5">
        <w:rPr>
          <w:lang w:val="en-US"/>
        </w:rPr>
        <w:t xml:space="preserve">approach </w:t>
      </w:r>
      <w:r w:rsidR="00D4364E" w:rsidRPr="007204E5">
        <w:rPr>
          <w:lang w:val="en-US"/>
        </w:rPr>
        <w:t>orientation</w:t>
      </w:r>
      <w:r w:rsidR="007204E5" w:rsidRPr="007204E5">
        <w:rPr>
          <w:lang w:val="en-US"/>
        </w:rPr>
        <w:t>,</w:t>
      </w:r>
      <w:r w:rsidR="00D4364E" w:rsidRPr="007204E5">
        <w:rPr>
          <w:lang w:val="en-US"/>
        </w:rPr>
        <w:t xml:space="preserve"> </w:t>
      </w:r>
      <w:r w:rsidR="0057305E" w:rsidRPr="007204E5">
        <w:rPr>
          <w:lang w:val="en-US"/>
        </w:rPr>
        <w:t xml:space="preserve">which in turn negatively predicted </w:t>
      </w:r>
      <w:r w:rsidR="00D4364E" w:rsidRPr="007204E5">
        <w:rPr>
          <w:lang w:val="en-US"/>
        </w:rPr>
        <w:t xml:space="preserve">students’ </w:t>
      </w:r>
      <w:r w:rsidRPr="007204E5">
        <w:rPr>
          <w:lang w:val="en-US"/>
        </w:rPr>
        <w:t xml:space="preserve">life satisfaction. </w:t>
      </w:r>
      <w:r w:rsidR="007204E5" w:rsidRPr="007204E5">
        <w:rPr>
          <w:lang w:val="en-US"/>
        </w:rPr>
        <w:t>R</w:t>
      </w:r>
      <w:r w:rsidRPr="007204E5">
        <w:rPr>
          <w:lang w:val="en-US"/>
        </w:rPr>
        <w:t xml:space="preserve">esults are discussed in relation to the approach of positive psychology </w:t>
      </w:r>
      <w:r w:rsidR="00D4364E" w:rsidRPr="007204E5">
        <w:rPr>
          <w:lang w:val="en-US"/>
        </w:rPr>
        <w:t xml:space="preserve">in order to </w:t>
      </w:r>
      <w:r w:rsidRPr="007204E5">
        <w:rPr>
          <w:lang w:val="en-US"/>
        </w:rPr>
        <w:t>propose</w:t>
      </w:r>
      <w:r w:rsidR="00D4364E" w:rsidRPr="007204E5">
        <w:rPr>
          <w:lang w:val="en-US"/>
        </w:rPr>
        <w:t xml:space="preserve"> the teachers</w:t>
      </w:r>
      <w:r w:rsidRPr="007204E5">
        <w:rPr>
          <w:lang w:val="en-US"/>
        </w:rPr>
        <w:t xml:space="preserve"> </w:t>
      </w:r>
      <w:r w:rsidR="00D4364E" w:rsidRPr="007204E5">
        <w:rPr>
          <w:lang w:val="en-US"/>
        </w:rPr>
        <w:t xml:space="preserve">some </w:t>
      </w:r>
      <w:r w:rsidR="007204E5" w:rsidRPr="007204E5">
        <w:rPr>
          <w:lang w:val="en-US"/>
        </w:rPr>
        <w:t>the use</w:t>
      </w:r>
      <w:r w:rsidRPr="007204E5">
        <w:rPr>
          <w:lang w:val="en-US"/>
        </w:rPr>
        <w:t xml:space="preserve"> of </w:t>
      </w:r>
      <w:r w:rsidR="007204E5" w:rsidRPr="007204E5">
        <w:rPr>
          <w:lang w:val="en-US"/>
        </w:rPr>
        <w:t xml:space="preserve">certain </w:t>
      </w:r>
      <w:r w:rsidR="00D4364E" w:rsidRPr="007204E5">
        <w:rPr>
          <w:lang w:val="en-US"/>
        </w:rPr>
        <w:t>pedagogical strategies</w:t>
      </w:r>
      <w:r w:rsidRPr="007204E5">
        <w:rPr>
          <w:lang w:val="en-US"/>
        </w:rPr>
        <w:t xml:space="preserve"> in PE classes</w:t>
      </w:r>
      <w:r w:rsidR="00D4364E" w:rsidRPr="007204E5">
        <w:rPr>
          <w:lang w:val="en-US"/>
        </w:rPr>
        <w:t>.</w:t>
      </w:r>
    </w:p>
    <w:p w:rsidR="00FC00CE" w:rsidRPr="007204E5" w:rsidRDefault="00FC00CE" w:rsidP="00FC00CE">
      <w:pPr>
        <w:jc w:val="both"/>
        <w:rPr>
          <w:color w:val="000099"/>
          <w:lang w:val="en-US"/>
        </w:rPr>
      </w:pPr>
      <w:r w:rsidRPr="007204E5">
        <w:rPr>
          <w:b/>
          <w:lang w:val="en-US"/>
        </w:rPr>
        <w:t>Key</w:t>
      </w:r>
      <w:r w:rsidR="00DC5BE1" w:rsidRPr="007204E5">
        <w:rPr>
          <w:b/>
          <w:lang w:val="en-US"/>
        </w:rPr>
        <w:t xml:space="preserve"> </w:t>
      </w:r>
      <w:r w:rsidRPr="007204E5">
        <w:rPr>
          <w:b/>
          <w:lang w:val="en-US"/>
        </w:rPr>
        <w:t>words:</w:t>
      </w:r>
      <w:r w:rsidR="00A71698" w:rsidRPr="007204E5">
        <w:rPr>
          <w:b/>
          <w:lang w:val="en-US"/>
        </w:rPr>
        <w:t xml:space="preserve"> </w:t>
      </w:r>
      <w:r w:rsidR="00A71698" w:rsidRPr="007204E5">
        <w:rPr>
          <w:lang w:val="en-US"/>
        </w:rPr>
        <w:t>Motivation, subjective well-being, positive psychology,</w:t>
      </w:r>
      <w:r w:rsidR="00086916" w:rsidRPr="007204E5">
        <w:rPr>
          <w:lang w:val="en-US"/>
        </w:rPr>
        <w:t xml:space="preserve"> secondary school, high school.</w:t>
      </w:r>
      <w:r w:rsidR="00A71698" w:rsidRPr="007204E5">
        <w:rPr>
          <w:lang w:val="en-US"/>
        </w:rPr>
        <w:t xml:space="preserve"> </w:t>
      </w:r>
      <w:r w:rsidRPr="007204E5">
        <w:rPr>
          <w:b/>
          <w:lang w:val="en-US"/>
        </w:rPr>
        <w:t xml:space="preserve"> </w:t>
      </w:r>
      <w:r w:rsidRPr="00086916">
        <w:rPr>
          <w:b/>
          <w:color w:val="000099"/>
          <w:lang w:val="en-US"/>
        </w:rPr>
        <w:t xml:space="preserve"> </w:t>
      </w:r>
    </w:p>
    <w:p w:rsidR="007204E5" w:rsidRDefault="007204E5">
      <w:pPr>
        <w:spacing w:after="160" w:line="259" w:lineRule="auto"/>
        <w:rPr>
          <w:color w:val="000099"/>
          <w:lang w:val="en-US"/>
        </w:rPr>
      </w:pPr>
      <w:r>
        <w:rPr>
          <w:color w:val="000099"/>
          <w:lang w:val="en-US"/>
        </w:rPr>
        <w:br w:type="page"/>
      </w:r>
    </w:p>
    <w:p w:rsidR="00B51F8E" w:rsidRPr="007204E5" w:rsidRDefault="00B51F8E" w:rsidP="00BD276D">
      <w:pPr>
        <w:jc w:val="center"/>
        <w:rPr>
          <w:b/>
        </w:rPr>
      </w:pPr>
      <w:r w:rsidRPr="007204E5">
        <w:rPr>
          <w:b/>
        </w:rPr>
        <w:lastRenderedPageBreak/>
        <w:t>Introducción</w:t>
      </w:r>
    </w:p>
    <w:p w:rsidR="00747413" w:rsidRPr="007204E5" w:rsidRDefault="00C9627B" w:rsidP="000C21B6">
      <w:pPr>
        <w:widowControl w:val="0"/>
        <w:spacing w:before="60" w:after="60"/>
        <w:ind w:firstLine="284"/>
        <w:jc w:val="both"/>
      </w:pPr>
      <w:r w:rsidRPr="007204E5">
        <w:t xml:space="preserve">Numerosos informes de investigación </w:t>
      </w:r>
      <w:r w:rsidR="00D476D8" w:rsidRPr="007204E5">
        <w:t xml:space="preserve">han resaltado </w:t>
      </w:r>
      <w:r w:rsidRPr="007204E5">
        <w:t>que los niveles de actividad física de los jóvenes en l</w:t>
      </w:r>
      <w:r w:rsidR="00D476D8" w:rsidRPr="007204E5">
        <w:t>o</w:t>
      </w:r>
      <w:r w:rsidRPr="007204E5">
        <w:t xml:space="preserve">s </w:t>
      </w:r>
      <w:r w:rsidR="00D476D8" w:rsidRPr="007204E5">
        <w:t>países</w:t>
      </w:r>
      <w:r w:rsidRPr="007204E5">
        <w:t xml:space="preserve"> industrializad</w:t>
      </w:r>
      <w:r w:rsidR="00D476D8" w:rsidRPr="007204E5">
        <w:t>o</w:t>
      </w:r>
      <w:r w:rsidRPr="007204E5">
        <w:t xml:space="preserve">s están por debajo de lo </w:t>
      </w:r>
      <w:r w:rsidR="00D476D8" w:rsidRPr="007204E5">
        <w:t>considerado</w:t>
      </w:r>
      <w:r w:rsidRPr="007204E5">
        <w:t xml:space="preserve"> necesario para </w:t>
      </w:r>
      <w:r w:rsidR="00D476D8" w:rsidRPr="007204E5">
        <w:t xml:space="preserve">disfrutar de una buena </w:t>
      </w:r>
      <w:r w:rsidRPr="007204E5">
        <w:t>salud y bienestar</w:t>
      </w:r>
      <w:r w:rsidR="00F85129" w:rsidRPr="007204E5">
        <w:t xml:space="preserve"> </w:t>
      </w:r>
      <w:r w:rsidR="00B20A56" w:rsidRPr="007204E5">
        <w:t>subjetivo</w:t>
      </w:r>
      <w:r w:rsidRPr="007204E5">
        <w:t xml:space="preserve">. Por ello, investigadores, profesionales de la salud y responsables políticos han tratado de comprender mejor los </w:t>
      </w:r>
      <w:r w:rsidR="00345BC7" w:rsidRPr="007204E5">
        <w:t xml:space="preserve">factores que influyen </w:t>
      </w:r>
      <w:r w:rsidR="00631441" w:rsidRPr="007204E5">
        <w:t>en</w:t>
      </w:r>
      <w:r w:rsidRPr="007204E5">
        <w:t xml:space="preserve"> la participación de los jóvenes</w:t>
      </w:r>
      <w:r w:rsidR="00773CBA" w:rsidRPr="007204E5">
        <w:t xml:space="preserve"> (Centers for Disease Control and Prevention, 2011)</w:t>
      </w:r>
      <w:r w:rsidR="000C21B6" w:rsidRPr="007204E5">
        <w:t xml:space="preserve">. </w:t>
      </w:r>
      <w:r w:rsidRPr="007204E5">
        <w:t>A pesar de que los antecedentes de la participación en actividad</w:t>
      </w:r>
      <w:r w:rsidR="00345BC7" w:rsidRPr="007204E5">
        <w:t>es</w:t>
      </w:r>
      <w:r w:rsidRPr="007204E5">
        <w:t xml:space="preserve"> física</w:t>
      </w:r>
      <w:r w:rsidR="00345BC7" w:rsidRPr="007204E5">
        <w:t>s</w:t>
      </w:r>
      <w:r w:rsidR="00325754" w:rsidRPr="007204E5">
        <w:t xml:space="preserve"> son muy complejos</w:t>
      </w:r>
      <w:r w:rsidRPr="007204E5">
        <w:t xml:space="preserve">, </w:t>
      </w:r>
      <w:r w:rsidR="001E7672" w:rsidRPr="007204E5">
        <w:t>e</w:t>
      </w:r>
      <w:r w:rsidR="00747413" w:rsidRPr="007204E5">
        <w:t xml:space="preserve">l rol que desempeña </w:t>
      </w:r>
      <w:r w:rsidR="00D476D8" w:rsidRPr="007204E5">
        <w:t xml:space="preserve">la motivación </w:t>
      </w:r>
      <w:r w:rsidR="00747413" w:rsidRPr="007204E5">
        <w:t>es</w:t>
      </w:r>
      <w:r w:rsidR="007204E5" w:rsidRPr="007204E5">
        <w:t>,</w:t>
      </w:r>
      <w:r w:rsidR="00747413" w:rsidRPr="007204E5">
        <w:t xml:space="preserve"> sin duda</w:t>
      </w:r>
      <w:r w:rsidR="007204E5" w:rsidRPr="007204E5">
        <w:t>,</w:t>
      </w:r>
      <w:r w:rsidR="00747413" w:rsidRPr="007204E5">
        <w:t xml:space="preserve"> una vía </w:t>
      </w:r>
      <w:r w:rsidR="00180B38" w:rsidRPr="007204E5">
        <w:t>evidente e importante</w:t>
      </w:r>
      <w:r w:rsidR="00747413" w:rsidRPr="007204E5">
        <w:t xml:space="preserve"> para la investigación empírica y aplicada (</w:t>
      </w:r>
      <w:r w:rsidR="0018039F" w:rsidRPr="007204E5">
        <w:t>Standage &amp; Gillison, 2007</w:t>
      </w:r>
      <w:r w:rsidR="00747413" w:rsidRPr="007204E5">
        <w:t>).</w:t>
      </w:r>
      <w:r w:rsidR="00251DA3" w:rsidRPr="007204E5">
        <w:t xml:space="preserve"> Divers</w:t>
      </w:r>
      <w:r w:rsidR="00D476D8" w:rsidRPr="007204E5">
        <w:t>o</w:t>
      </w:r>
      <w:r w:rsidR="00251DA3" w:rsidRPr="007204E5">
        <w:t xml:space="preserve">s </w:t>
      </w:r>
      <w:r w:rsidR="00D476D8" w:rsidRPr="007204E5">
        <w:t>trabajos</w:t>
      </w:r>
      <w:r w:rsidR="00251DA3" w:rsidRPr="007204E5">
        <w:t xml:space="preserve"> se han centrado en el papel que la educación física</w:t>
      </w:r>
      <w:r w:rsidR="00CF7300" w:rsidRPr="007204E5">
        <w:t xml:space="preserve"> (EF)</w:t>
      </w:r>
      <w:r w:rsidR="00251DA3" w:rsidRPr="007204E5">
        <w:t xml:space="preserve"> juega </w:t>
      </w:r>
      <w:r w:rsidR="00631441" w:rsidRPr="007204E5">
        <w:t xml:space="preserve">en el apoyo a las experiencias motivacionales de los alumnos y </w:t>
      </w:r>
      <w:r w:rsidR="00180B38" w:rsidRPr="007204E5">
        <w:t xml:space="preserve">en favor de </w:t>
      </w:r>
      <w:r w:rsidR="00631441" w:rsidRPr="007204E5">
        <w:t>su calidad de vida. Sin embargo,</w:t>
      </w:r>
      <w:r w:rsidR="00180B38" w:rsidRPr="007204E5">
        <w:t xml:space="preserve"> parecen</w:t>
      </w:r>
      <w:r w:rsidR="00631441" w:rsidRPr="007204E5">
        <w:t xml:space="preserve"> </w:t>
      </w:r>
      <w:r w:rsidR="00062339" w:rsidRPr="007204E5">
        <w:t>resulta</w:t>
      </w:r>
      <w:r w:rsidR="00180B38" w:rsidRPr="007204E5">
        <w:t>r</w:t>
      </w:r>
      <w:r w:rsidR="00062339" w:rsidRPr="007204E5">
        <w:t xml:space="preserve"> insuficientes los estudios empíricos desarrollados </w:t>
      </w:r>
      <w:r w:rsidR="00CF7300" w:rsidRPr="007204E5">
        <w:t xml:space="preserve">para </w:t>
      </w:r>
      <w:r w:rsidR="000C21B6" w:rsidRPr="007204E5">
        <w:t>conocer</w:t>
      </w:r>
      <w:r w:rsidR="00CF7300" w:rsidRPr="007204E5">
        <w:t xml:space="preserve"> si la motivación en el contexto de la EF influye sobre la motivación e implicación en </w:t>
      </w:r>
      <w:r w:rsidR="00062339" w:rsidRPr="007204E5">
        <w:t>la</w:t>
      </w:r>
      <w:r w:rsidR="00CF7300" w:rsidRPr="007204E5">
        <w:t xml:space="preserve"> práctica física. Por otra parte, las investigaciones que se desarrollen desde esta perspectiva aún tienen que analizar si l</w:t>
      </w:r>
      <w:r w:rsidR="00107CE0" w:rsidRPr="007204E5">
        <w:t>os procesos motivacionales que acompañan</w:t>
      </w:r>
      <w:r w:rsidR="00CF7300" w:rsidRPr="007204E5">
        <w:t xml:space="preserve"> </w:t>
      </w:r>
      <w:r w:rsidR="00107CE0" w:rsidRPr="007204E5">
        <w:t>a</w:t>
      </w:r>
      <w:r w:rsidR="00CF7300" w:rsidRPr="007204E5">
        <w:t xml:space="preserve"> la práctica física</w:t>
      </w:r>
      <w:r w:rsidR="00107CE0" w:rsidRPr="007204E5">
        <w:t xml:space="preserve"> pueden predecir marcadores de los adolescentes relacionados con su bienestar general</w:t>
      </w:r>
      <w:r w:rsidR="00D476D8" w:rsidRPr="007204E5">
        <w:t xml:space="preserve"> y calidad de vida</w:t>
      </w:r>
      <w:r w:rsidR="00107CE0" w:rsidRPr="007204E5">
        <w:t>, tales como la satisfacción con la vida</w:t>
      </w:r>
      <w:r w:rsidR="00631441" w:rsidRPr="007204E5">
        <w:t xml:space="preserve"> (</w:t>
      </w:r>
      <w:r w:rsidR="00631441" w:rsidRPr="007204E5">
        <w:rPr>
          <w:rFonts w:eastAsia="TimesLTStd-Roman"/>
          <w:lang w:eastAsia="en-US"/>
        </w:rPr>
        <w:t xml:space="preserve">Standage, </w:t>
      </w:r>
      <w:r w:rsidR="00631441" w:rsidRPr="007204E5">
        <w:t>Gillison, Ntoumanis &amp; Treasure, 2012</w:t>
      </w:r>
      <w:r w:rsidR="00631441" w:rsidRPr="007204E5">
        <w:rPr>
          <w:rFonts w:eastAsia="TimesLTStd-Roman"/>
          <w:lang w:eastAsia="en-US"/>
        </w:rPr>
        <w:t>).</w:t>
      </w:r>
    </w:p>
    <w:p w:rsidR="002235FC" w:rsidRPr="007204E5" w:rsidRDefault="00062339" w:rsidP="002235FC">
      <w:pPr>
        <w:widowControl w:val="0"/>
        <w:spacing w:before="60" w:after="60"/>
        <w:ind w:firstLine="284"/>
        <w:jc w:val="both"/>
      </w:pPr>
      <w:r w:rsidRPr="007204E5">
        <w:rPr>
          <w:rFonts w:eastAsia="TimesLTStd-Roman"/>
          <w:lang w:eastAsia="en-US"/>
        </w:rPr>
        <w:t xml:space="preserve">En las últimas décadas, dos han sido las principales teorías que </w:t>
      </w:r>
      <w:r w:rsidR="00A96ED3" w:rsidRPr="007204E5">
        <w:rPr>
          <w:rFonts w:eastAsia="TimesLTStd-Roman"/>
          <w:lang w:eastAsia="en-US"/>
        </w:rPr>
        <w:t xml:space="preserve">más </w:t>
      </w:r>
      <w:r w:rsidRPr="007204E5">
        <w:rPr>
          <w:rFonts w:eastAsia="TimesLTStd-Roman"/>
          <w:lang w:eastAsia="en-US"/>
        </w:rPr>
        <w:t>han facilitado la comprensión de los procesos motivacionales en el contexto de la EF escolar y de la práctica física fuera de la escuela: La Teoría de las Metas de Logro (TML;</w:t>
      </w:r>
      <w:r w:rsidR="005B4635" w:rsidRPr="007204E5">
        <w:t xml:space="preserve"> </w:t>
      </w:r>
      <w:r w:rsidR="005B4635" w:rsidRPr="007204E5">
        <w:rPr>
          <w:rFonts w:eastAsia="TimesLTStd-Roman"/>
          <w:lang w:eastAsia="en-US"/>
        </w:rPr>
        <w:t>Ames, 1992; Nicholls, 1989)</w:t>
      </w:r>
      <w:r w:rsidRPr="007204E5">
        <w:rPr>
          <w:rFonts w:eastAsia="TimesLTStd-Roman"/>
          <w:lang w:eastAsia="en-US"/>
        </w:rPr>
        <w:t xml:space="preserve"> y la Teor</w:t>
      </w:r>
      <w:r w:rsidR="005B4635" w:rsidRPr="007204E5">
        <w:rPr>
          <w:rFonts w:eastAsia="TimesLTStd-Roman"/>
          <w:lang w:eastAsia="en-US"/>
        </w:rPr>
        <w:t>ía de la Auto</w:t>
      </w:r>
      <w:r w:rsidRPr="007204E5">
        <w:rPr>
          <w:rFonts w:eastAsia="TimesLTStd-Roman"/>
          <w:lang w:eastAsia="en-US"/>
        </w:rPr>
        <w:t>determinación (TAD;</w:t>
      </w:r>
      <w:r w:rsidR="005B4635" w:rsidRPr="007204E5">
        <w:t xml:space="preserve"> </w:t>
      </w:r>
      <w:r w:rsidR="005B4635" w:rsidRPr="007204E5">
        <w:rPr>
          <w:rFonts w:eastAsia="TimesLTStd-Roman"/>
          <w:lang w:eastAsia="en-US"/>
        </w:rPr>
        <w:t>Deci &amp; Ryan, 1985, 2008</w:t>
      </w:r>
      <w:r w:rsidR="00F85129" w:rsidRPr="007204E5">
        <w:rPr>
          <w:rFonts w:eastAsia="TimesLTStd-Roman"/>
          <w:lang w:eastAsia="en-US"/>
        </w:rPr>
        <w:t>a</w:t>
      </w:r>
      <w:r w:rsidR="005B4635" w:rsidRPr="007204E5">
        <w:rPr>
          <w:rFonts w:eastAsia="TimesLTStd-Roman"/>
          <w:lang w:eastAsia="en-US"/>
        </w:rPr>
        <w:t>; Ryan &amp; Deci, 2000</w:t>
      </w:r>
      <w:r w:rsidRPr="007204E5">
        <w:rPr>
          <w:rFonts w:eastAsia="TimesLTStd-Roman"/>
          <w:lang w:eastAsia="en-US"/>
        </w:rPr>
        <w:t>).</w:t>
      </w:r>
      <w:r w:rsidR="002235FC" w:rsidRPr="007204E5">
        <w:rPr>
          <w:rFonts w:eastAsia="TimesLTStd-Roman"/>
          <w:lang w:eastAsia="en-US"/>
        </w:rPr>
        <w:t xml:space="preserve"> </w:t>
      </w:r>
      <w:r w:rsidR="002235FC" w:rsidRPr="007204E5">
        <w:t xml:space="preserve">Tanto la TAD como y la TML se pueden utilizar para comprender los factores interpersonales y de motivación que ayudan a explicar las autoevaluaciones de los alumnos, así como </w:t>
      </w:r>
      <w:r w:rsidR="000C21B6" w:rsidRPr="007204E5">
        <w:t>su</w:t>
      </w:r>
      <w:r w:rsidR="002235FC" w:rsidRPr="007204E5">
        <w:t xml:space="preserve"> estado de bienestar y calidad de vida.</w:t>
      </w:r>
    </w:p>
    <w:p w:rsidR="00843ABC" w:rsidRPr="007204E5" w:rsidRDefault="00843ABC" w:rsidP="00AF2CBE">
      <w:pPr>
        <w:widowControl w:val="0"/>
        <w:spacing w:before="60" w:after="60"/>
        <w:ind w:firstLine="284"/>
        <w:jc w:val="both"/>
      </w:pPr>
      <w:r w:rsidRPr="007204E5">
        <w:t xml:space="preserve">La TML (Nicholls, 1989) proporciona un enfoque cognitivo-social para estudiar y entender la motivación. De acuerdo con la TML, el principal motivo de las personas en los contextos de logro es desarrollar su competencia. </w:t>
      </w:r>
    </w:p>
    <w:p w:rsidR="00AF2CBE" w:rsidRPr="007204E5" w:rsidRDefault="00AF2CBE" w:rsidP="00AF2CBE">
      <w:pPr>
        <w:widowControl w:val="0"/>
        <w:spacing w:before="60" w:after="60"/>
        <w:ind w:firstLine="284"/>
        <w:jc w:val="both"/>
      </w:pPr>
      <w:r w:rsidRPr="007204E5">
        <w:t xml:space="preserve">Según </w:t>
      </w:r>
      <w:r w:rsidR="008A6938" w:rsidRPr="007204E5">
        <w:t xml:space="preserve">la </w:t>
      </w:r>
      <w:r w:rsidRPr="007204E5">
        <w:t xml:space="preserve">TML (Ames, 1992), una persona está orientada al ego (otros autores lo denominan rendimiento, comparación) cuando utiliza referencias normativas para evaluar su éxito y competencia. Es decir, esa persona sólo se considera con éxito si supera a los demás. Las personas orientadas a la tarea (también denominado por otros autores maestría, aprendizaje) utilizan referencias personales para evaluar su éxito o fracaso. Es decir, esas personas consideran que tienen éxito y se sienten competentes si mejoran cada día </w:t>
      </w:r>
      <w:r w:rsidR="008533F1" w:rsidRPr="007204E5">
        <w:t xml:space="preserve">con </w:t>
      </w:r>
      <w:r w:rsidRPr="007204E5">
        <w:t>respecto a sí mismas</w:t>
      </w:r>
      <w:r w:rsidR="008533F1" w:rsidRPr="007204E5">
        <w:t xml:space="preserve">, sin importarles </w:t>
      </w:r>
      <w:r w:rsidR="000C21B6" w:rsidRPr="007204E5">
        <w:t>el rendimiento de</w:t>
      </w:r>
      <w:r w:rsidR="008533F1" w:rsidRPr="007204E5">
        <w:t xml:space="preserve"> los demás</w:t>
      </w:r>
      <w:r w:rsidR="000C21B6" w:rsidRPr="007204E5">
        <w:t>. S</w:t>
      </w:r>
      <w:r w:rsidRPr="007204E5">
        <w:t xml:space="preserve">uele ser habitual que una persona se sienta más orientada hacia una meta u otra, </w:t>
      </w:r>
      <w:r w:rsidR="000C21B6" w:rsidRPr="007204E5">
        <w:t xml:space="preserve">pero </w:t>
      </w:r>
      <w:r w:rsidRPr="007204E5">
        <w:t xml:space="preserve">también es posible que esté simultáneamente orientada tanto al ego como a la tarea, porque las metas </w:t>
      </w:r>
      <w:r w:rsidR="00180B38" w:rsidRPr="007204E5">
        <w:t xml:space="preserve">de logro </w:t>
      </w:r>
      <w:r w:rsidRPr="007204E5">
        <w:t>p</w:t>
      </w:r>
      <w:r w:rsidR="000C21B6" w:rsidRPr="007204E5">
        <w:t>oseen</w:t>
      </w:r>
      <w:r w:rsidRPr="007204E5">
        <w:t xml:space="preserve"> car</w:t>
      </w:r>
      <w:r w:rsidR="00180B38" w:rsidRPr="007204E5">
        <w:t>ácter ortogonal (Roberts, 2001), es decir, que pueden darse simultáneamente, no so</w:t>
      </w:r>
      <w:bookmarkStart w:id="0" w:name="_GoBack"/>
      <w:bookmarkEnd w:id="0"/>
      <w:r w:rsidR="00180B38" w:rsidRPr="007204E5">
        <w:t>n excluyentes una de otra.</w:t>
      </w:r>
    </w:p>
    <w:p w:rsidR="00AF2CBE" w:rsidRPr="007204E5" w:rsidRDefault="008533F1" w:rsidP="00AF2CBE">
      <w:pPr>
        <w:widowControl w:val="0"/>
        <w:spacing w:before="60" w:after="60"/>
        <w:ind w:firstLine="284"/>
        <w:jc w:val="both"/>
      </w:pPr>
      <w:r w:rsidRPr="007204E5">
        <w:t>Aunque tradicionalmente se ha considerado la o</w:t>
      </w:r>
      <w:r w:rsidR="000C21B6" w:rsidRPr="007204E5">
        <w:t>rientación disposicional o meta</w:t>
      </w:r>
      <w:r w:rsidRPr="007204E5">
        <w:t xml:space="preserve"> de logro de las personas desde un modelo dicotómico (orientación al ego, orientación a la </w:t>
      </w:r>
      <w:r w:rsidR="00180B38" w:rsidRPr="007204E5">
        <w:t>tarea), también se han presenta</w:t>
      </w:r>
      <w:r w:rsidRPr="007204E5">
        <w:t xml:space="preserve">do otros modelos teóricos que tratan de explicar estas orientaciones disposicionales en los contextos de logro. Éste es el caso de </w:t>
      </w:r>
      <w:r w:rsidR="00AF2CBE" w:rsidRPr="007204E5">
        <w:t>Elliot (1999)</w:t>
      </w:r>
      <w:r w:rsidRPr="007204E5">
        <w:t>, que</w:t>
      </w:r>
      <w:r w:rsidR="00AF2CBE" w:rsidRPr="007204E5">
        <w:t xml:space="preserve"> ha desarrollado un modelo 2 x 2 como alternativa al modelo dicotómico de </w:t>
      </w:r>
      <w:r w:rsidR="000C21B6" w:rsidRPr="007204E5">
        <w:t xml:space="preserve">orientación de </w:t>
      </w:r>
      <w:r w:rsidR="00AF2CBE" w:rsidRPr="007204E5">
        <w:t xml:space="preserve">metas utilizado durante las dos últimas décadas. A partir de este modelo, las dos tradicionales metas dan lugar a cuatro tipos: de aproximación a la maestría, de evitación de la maestría, de aproximación al rendimiento y de evitación del rendimiento. </w:t>
      </w:r>
      <w:r w:rsidR="00AF2CBE" w:rsidRPr="007204E5">
        <w:lastRenderedPageBreak/>
        <w:t xml:space="preserve">Diferentes trabajos han mostrado la utilidad de aplicar los constructos de aproximación y evitación a las metas de logro, ya que las personas pueden tener como meta </w:t>
      </w:r>
      <w:r w:rsidRPr="007204E5">
        <w:t xml:space="preserve">tanto </w:t>
      </w:r>
      <w:r w:rsidR="00AF2CBE" w:rsidRPr="007204E5">
        <w:t xml:space="preserve">demostrar su competencia </w:t>
      </w:r>
      <w:r w:rsidRPr="007204E5">
        <w:t>como</w:t>
      </w:r>
      <w:r w:rsidR="00AF2CBE" w:rsidRPr="007204E5">
        <w:t xml:space="preserve"> evitar </w:t>
      </w:r>
      <w:r w:rsidRPr="007204E5">
        <w:t xml:space="preserve">mostrar </w:t>
      </w:r>
      <w:r w:rsidR="00AF2CBE" w:rsidRPr="007204E5">
        <w:t xml:space="preserve">su incompetencia (Elliot </w:t>
      </w:r>
      <w:r w:rsidR="008A6938" w:rsidRPr="007204E5">
        <w:t>&amp;</w:t>
      </w:r>
      <w:r w:rsidR="00AF2CBE" w:rsidRPr="007204E5">
        <w:t xml:space="preserve"> McGregor, 2001). </w:t>
      </w:r>
    </w:p>
    <w:p w:rsidR="00AF2CBE" w:rsidRPr="007204E5" w:rsidRDefault="006F45E2" w:rsidP="006F45E2">
      <w:pPr>
        <w:widowControl w:val="0"/>
        <w:spacing w:before="60" w:after="60"/>
        <w:ind w:firstLine="284"/>
        <w:jc w:val="both"/>
      </w:pPr>
      <w:r w:rsidRPr="007204E5">
        <w:t>Otro concepto importante en la TML es el clima motivacional creado por los otros significativos (Ames, 1992; Nicholls, 1989). En este sentido</w:t>
      </w:r>
      <w:r w:rsidR="008533F1" w:rsidRPr="007204E5">
        <w:t>, l</w:t>
      </w:r>
      <w:r w:rsidR="00AF2CBE" w:rsidRPr="007204E5">
        <w:t xml:space="preserve">a TML </w:t>
      </w:r>
      <w:r w:rsidR="000C21B6" w:rsidRPr="007204E5">
        <w:t xml:space="preserve">distingue entre climas de </w:t>
      </w:r>
      <w:r w:rsidR="00AF2CBE" w:rsidRPr="007204E5">
        <w:t>maestría</w:t>
      </w:r>
      <w:r w:rsidR="000C21B6" w:rsidRPr="007204E5">
        <w:t xml:space="preserve"> (</w:t>
      </w:r>
      <w:r w:rsidR="00341457" w:rsidRPr="007204E5">
        <w:t>a</w:t>
      </w:r>
      <w:r w:rsidR="000C21B6" w:rsidRPr="007204E5">
        <w:t>prendizaje</w:t>
      </w:r>
      <w:r w:rsidR="00AF2CBE" w:rsidRPr="007204E5">
        <w:t>) y climas de rendimiento</w:t>
      </w:r>
      <w:r w:rsidR="002F6C06" w:rsidRPr="007204E5">
        <w:t xml:space="preserve"> (comparación</w:t>
      </w:r>
      <w:r w:rsidR="00AF2CBE" w:rsidRPr="007204E5">
        <w:t>), en el contexto de la clase o el entrenamiento deportivo</w:t>
      </w:r>
      <w:r w:rsidR="002F6C06" w:rsidRPr="007204E5">
        <w:t xml:space="preserve"> (Biddle, 2001). Los climas de maestría</w:t>
      </w:r>
      <w:r w:rsidR="00AF2CBE" w:rsidRPr="007204E5">
        <w:t xml:space="preserve"> </w:t>
      </w:r>
      <w:r w:rsidR="00180B38" w:rsidRPr="007204E5">
        <w:t>se refieren a</w:t>
      </w:r>
      <w:r w:rsidR="00AF2CBE" w:rsidRPr="007204E5">
        <w:t xml:space="preserve"> cómo los otros significativos (profesores, entrenadores, padres) estructuran el ambiente. El clima de </w:t>
      </w:r>
      <w:r w:rsidR="002F6C06" w:rsidRPr="007204E5">
        <w:t>maestría</w:t>
      </w:r>
      <w:r w:rsidR="00AF2CBE" w:rsidRPr="007204E5">
        <w:t xml:space="preserve"> en EF se caracteriza por la promoción de aprendizaje y apoyo de los profesores y la percepción de los alumnos de una atmósfera de cooperación y ayuda donde el esfuerzo es importante para mejorar. Por el contrario, el clima de </w:t>
      </w:r>
      <w:r w:rsidR="00180B38" w:rsidRPr="007204E5">
        <w:t xml:space="preserve">rendimiento </w:t>
      </w:r>
      <w:r w:rsidR="00AF2CBE" w:rsidRPr="007204E5">
        <w:t xml:space="preserve">se caracteriza por la promoción de competición por parte de los profesores, la comparación normativa de los estudiantes y la rivalidad entre ellos, así como la perspectiva de que los errores son castigados, </w:t>
      </w:r>
      <w:r w:rsidR="008A6938" w:rsidRPr="007204E5">
        <w:t>por lo cual</w:t>
      </w:r>
      <w:r w:rsidR="00AF2CBE" w:rsidRPr="007204E5">
        <w:t xml:space="preserve"> los alumnos </w:t>
      </w:r>
      <w:r w:rsidR="00180B38" w:rsidRPr="007204E5">
        <w:t xml:space="preserve">pueden </w:t>
      </w:r>
      <w:r w:rsidR="008A6938" w:rsidRPr="007204E5">
        <w:t>t</w:t>
      </w:r>
      <w:r w:rsidR="00180B38" w:rsidRPr="007204E5">
        <w:t>ener</w:t>
      </w:r>
      <w:r w:rsidR="008A6938" w:rsidRPr="007204E5">
        <w:t xml:space="preserve"> miedo </w:t>
      </w:r>
      <w:r w:rsidR="00AF2CBE" w:rsidRPr="007204E5">
        <w:t>a cometer</w:t>
      </w:r>
      <w:r w:rsidR="008A6938" w:rsidRPr="007204E5">
        <w:t>los</w:t>
      </w:r>
      <w:r w:rsidR="00AF2CBE" w:rsidRPr="007204E5">
        <w:t xml:space="preserve"> (Biddle, 2001; Roberts, 2001).</w:t>
      </w:r>
    </w:p>
    <w:p w:rsidR="00AF2CBE" w:rsidRPr="007204E5" w:rsidRDefault="00804B68" w:rsidP="009704F1">
      <w:pPr>
        <w:widowControl w:val="0"/>
        <w:spacing w:before="60" w:after="60"/>
        <w:ind w:firstLine="284"/>
        <w:jc w:val="both"/>
      </w:pPr>
      <w:r w:rsidRPr="007204E5">
        <w:t xml:space="preserve">De acuerdo con  </w:t>
      </w:r>
      <w:r w:rsidR="006A1DCC" w:rsidRPr="007204E5">
        <w:t>la TLM</w:t>
      </w:r>
      <w:r w:rsidR="009704F1" w:rsidRPr="007204E5">
        <w:t>,</w:t>
      </w:r>
      <w:r w:rsidRPr="007204E5">
        <w:t xml:space="preserve"> el clima motivacional situacional y las metas de logro disposicionales interactúan para producir consecuencias afectivas, cognitivas y conductuales </w:t>
      </w:r>
      <w:r w:rsidR="007204E5" w:rsidRPr="007204E5">
        <w:t>en</w:t>
      </w:r>
      <w:r w:rsidRPr="007204E5">
        <w:t xml:space="preserve"> las personas (Ames, 1992; Nicholls, 1989). </w:t>
      </w:r>
      <w:r w:rsidR="00AF2CBE" w:rsidRPr="007204E5">
        <w:t>Diversas investigaciones apoyan la existencia de relaciones significativas entre los climas motivacionales y las orienta</w:t>
      </w:r>
      <w:r w:rsidR="00180B38" w:rsidRPr="007204E5">
        <w:t>ciones de meta de los alumnos</w:t>
      </w:r>
      <w:r w:rsidR="008B1904" w:rsidRPr="007204E5">
        <w:t xml:space="preserve"> (</w:t>
      </w:r>
      <w:r w:rsidR="000E0E79" w:rsidRPr="007204E5">
        <w:t xml:space="preserve">Jaakkola, Ntoumanis &amp; Liukkonen, 2016; </w:t>
      </w:r>
      <w:r w:rsidR="008B1904" w:rsidRPr="007204E5">
        <w:t>Smith, Smoll &amp; Cumming, 2009)</w:t>
      </w:r>
      <w:r w:rsidR="00180B38" w:rsidRPr="007204E5">
        <w:t xml:space="preserve">. </w:t>
      </w:r>
      <w:r w:rsidR="006A1DCC" w:rsidRPr="007204E5">
        <w:t xml:space="preserve">Reinboth &amp; Duda (2006) destacan el efecto del entorno o clima motivacional percibido en el que el individuo muestra su competencia, sobre las orientaciones motivacionales subsiguientes. </w:t>
      </w:r>
      <w:r w:rsidR="00180B38" w:rsidRPr="007204E5">
        <w:t>Habitualmente, l</w:t>
      </w:r>
      <w:r w:rsidR="00AF2CBE" w:rsidRPr="007204E5">
        <w:t xml:space="preserve">a percepción de los alumnos </w:t>
      </w:r>
      <w:r w:rsidRPr="007204E5">
        <w:t xml:space="preserve">sobre </w:t>
      </w:r>
      <w:r w:rsidR="00AF2CBE" w:rsidRPr="007204E5">
        <w:t xml:space="preserve">el clima de aprendizaje aparece más fuertemente correlacionada con la meta orientada a la maestría, mientras </w:t>
      </w:r>
      <w:r w:rsidR="008A6938" w:rsidRPr="007204E5">
        <w:t xml:space="preserve">que </w:t>
      </w:r>
      <w:r w:rsidR="00AF2CBE" w:rsidRPr="007204E5">
        <w:t>la percepción del clima de comparación se asocia con la orientación de aproximación al rendimiento y de evitación del rendimiento (</w:t>
      </w:r>
      <w:r w:rsidR="002F6C06" w:rsidRPr="007204E5">
        <w:t>Gran</w:t>
      </w:r>
      <w:r w:rsidR="00F85129" w:rsidRPr="007204E5">
        <w:t>er</w:t>
      </w:r>
      <w:r w:rsidR="002F6C06" w:rsidRPr="007204E5">
        <w:t xml:space="preserve">o-Gallegos &amp; Baena-Extremera, 2014; </w:t>
      </w:r>
      <w:r w:rsidR="00AF2CBE" w:rsidRPr="007204E5">
        <w:t xml:space="preserve">Halvari, Skjesol </w:t>
      </w:r>
      <w:r w:rsidR="008A6938" w:rsidRPr="007204E5">
        <w:t>&amp;</w:t>
      </w:r>
      <w:r w:rsidR="00AF2CBE" w:rsidRPr="007204E5">
        <w:t xml:space="preserve"> Bagoien, 2011; Ommundsen, 2006)</w:t>
      </w:r>
      <w:r w:rsidR="00341457" w:rsidRPr="007204E5">
        <w:t>,</w:t>
      </w:r>
      <w:r w:rsidR="00BF3466" w:rsidRPr="007204E5">
        <w:t xml:space="preserve"> sobre todo en los contextos escolares, más que en </w:t>
      </w:r>
      <w:r w:rsidR="002F6C06" w:rsidRPr="007204E5">
        <w:t xml:space="preserve">los </w:t>
      </w:r>
      <w:r w:rsidR="00BF3466" w:rsidRPr="007204E5">
        <w:t>contextos competitivos</w:t>
      </w:r>
      <w:r w:rsidR="00AF2CBE" w:rsidRPr="007204E5">
        <w:t>. La TML indica que la adherencia a la práctica física puede ser facilitada por ambientes de aprendizaje que enfaticen la mejora y el progreso personal, objetivo principal de</w:t>
      </w:r>
      <w:r w:rsidR="008A6938" w:rsidRPr="007204E5">
        <w:t>l clima de</w:t>
      </w:r>
      <w:r w:rsidR="00AF2CBE" w:rsidRPr="007204E5">
        <w:t xml:space="preserve"> maestría (Church, Elliot </w:t>
      </w:r>
      <w:r w:rsidR="008A6938" w:rsidRPr="007204E5">
        <w:t>&amp;</w:t>
      </w:r>
      <w:r w:rsidR="00AF2CBE" w:rsidRPr="007204E5">
        <w:t xml:space="preserve"> Gable, 2001).</w:t>
      </w:r>
      <w:r w:rsidR="00843ABC" w:rsidRPr="007204E5">
        <w:t xml:space="preserve"> </w:t>
      </w:r>
    </w:p>
    <w:p w:rsidR="00D54F7E" w:rsidRPr="007204E5" w:rsidRDefault="00A96ED3" w:rsidP="00140C18">
      <w:pPr>
        <w:widowControl w:val="0"/>
        <w:spacing w:before="60" w:after="60"/>
        <w:ind w:firstLine="284"/>
        <w:jc w:val="both"/>
      </w:pPr>
      <w:r w:rsidRPr="007204E5">
        <w:t>Tal como afirman</w:t>
      </w:r>
      <w:r w:rsidR="00140C18" w:rsidRPr="007204E5">
        <w:t xml:space="preserve"> </w:t>
      </w:r>
      <w:r w:rsidR="00D54F7E" w:rsidRPr="007204E5">
        <w:t>Deci &amp; Ryan (2000</w:t>
      </w:r>
      <w:r w:rsidR="00974970" w:rsidRPr="007204E5">
        <w:t>, 2008b</w:t>
      </w:r>
      <w:r w:rsidR="00D54F7E" w:rsidRPr="007204E5">
        <w:t>)</w:t>
      </w:r>
      <w:r w:rsidR="00140C18" w:rsidRPr="007204E5">
        <w:t>,</w:t>
      </w:r>
      <w:r w:rsidR="00D54F7E" w:rsidRPr="007204E5">
        <w:t xml:space="preserve"> </w:t>
      </w:r>
      <w:r w:rsidR="008A6938" w:rsidRPr="007204E5">
        <w:t xml:space="preserve">también </w:t>
      </w:r>
      <w:r w:rsidR="00140C18" w:rsidRPr="007204E5">
        <w:t>l</w:t>
      </w:r>
      <w:r w:rsidR="00D54F7E" w:rsidRPr="007204E5">
        <w:t xml:space="preserve">a </w:t>
      </w:r>
      <w:r w:rsidR="008A6938" w:rsidRPr="007204E5">
        <w:t>TAD</w:t>
      </w:r>
      <w:r w:rsidR="00D54F7E" w:rsidRPr="007204E5">
        <w:t xml:space="preserve"> ha sido ampliamente empleada para explorar la motivación de los </w:t>
      </w:r>
      <w:r w:rsidR="008A6938" w:rsidRPr="007204E5">
        <w:t>alumnos</w:t>
      </w:r>
      <w:r w:rsidR="00D54F7E" w:rsidRPr="007204E5">
        <w:t xml:space="preserve"> en el contexto escolar. La TAD </w:t>
      </w:r>
      <w:r w:rsidRPr="007204E5">
        <w:t>contempla</w:t>
      </w:r>
      <w:r w:rsidR="00D54F7E" w:rsidRPr="007204E5">
        <w:t xml:space="preserve"> </w:t>
      </w:r>
      <w:r w:rsidRPr="007204E5">
        <w:t>diferentes</w:t>
      </w:r>
      <w:r w:rsidR="00D54F7E" w:rsidRPr="007204E5">
        <w:t xml:space="preserve"> tipos de motivación que varían </w:t>
      </w:r>
      <w:r w:rsidRPr="007204E5">
        <w:t>según</w:t>
      </w:r>
      <w:r w:rsidR="00D54F7E" w:rsidRPr="007204E5">
        <w:t xml:space="preserve"> sus niveles de autodeterminación</w:t>
      </w:r>
      <w:r w:rsidRPr="007204E5">
        <w:t xml:space="preserve"> a lo largo de un continuo</w:t>
      </w:r>
      <w:r w:rsidR="00D54F7E" w:rsidRPr="007204E5">
        <w:t>.</w:t>
      </w:r>
      <w:r w:rsidR="00140C18" w:rsidRPr="007204E5">
        <w:t xml:space="preserve"> E</w:t>
      </w:r>
      <w:r w:rsidRPr="007204E5">
        <w:t>n e</w:t>
      </w:r>
      <w:r w:rsidR="00140C18" w:rsidRPr="007204E5">
        <w:t xml:space="preserve">l extremo más auto-determinado o autónomo </w:t>
      </w:r>
      <w:r w:rsidRPr="007204E5">
        <w:t>se encuentra</w:t>
      </w:r>
      <w:r w:rsidR="00140C18" w:rsidRPr="007204E5">
        <w:t xml:space="preserve"> la motivación intrínseca, que se refiere a la práctica de una actividad por sí misma, </w:t>
      </w:r>
      <w:r w:rsidRPr="007204E5">
        <w:t xml:space="preserve">es decir, </w:t>
      </w:r>
      <w:r w:rsidR="00140C18" w:rsidRPr="007204E5">
        <w:t xml:space="preserve">porque es </w:t>
      </w:r>
      <w:r w:rsidRPr="007204E5">
        <w:t>placentera, divertida</w:t>
      </w:r>
      <w:r w:rsidR="00140C18" w:rsidRPr="007204E5">
        <w:t xml:space="preserve"> e interesante. A continuación se </w:t>
      </w:r>
      <w:r w:rsidRPr="007204E5">
        <w:t>encuentran</w:t>
      </w:r>
      <w:r w:rsidR="00140C18" w:rsidRPr="007204E5">
        <w:t xml:space="preserve"> tres tipos de motivación extrínseca, lo que refleja el compromiso </w:t>
      </w:r>
      <w:r w:rsidRPr="007204E5">
        <w:t>con</w:t>
      </w:r>
      <w:r w:rsidR="00140C18" w:rsidRPr="007204E5">
        <w:t xml:space="preserve"> </w:t>
      </w:r>
      <w:r w:rsidRPr="007204E5">
        <w:t>l</w:t>
      </w:r>
      <w:r w:rsidR="00140C18" w:rsidRPr="007204E5">
        <w:t xml:space="preserve">a </w:t>
      </w:r>
      <w:r w:rsidR="00BF3466" w:rsidRPr="007204E5">
        <w:t>práctica</w:t>
      </w:r>
      <w:r w:rsidR="00140C18" w:rsidRPr="007204E5">
        <w:t xml:space="preserve"> por razones ajenas a la propia actividad. </w:t>
      </w:r>
      <w:r w:rsidR="00D54F7E" w:rsidRPr="007204E5">
        <w:t>En orden descendente de auto-determinación, los diferentes motivos son: regulación identificada (</w:t>
      </w:r>
      <w:r w:rsidR="002235FC" w:rsidRPr="007204E5">
        <w:t xml:space="preserve">práctica de la actividad para obtener </w:t>
      </w:r>
      <w:r w:rsidR="00D54F7E" w:rsidRPr="007204E5">
        <w:t>resultados deseados y valorados personalmente), regulación introyectada (participa</w:t>
      </w:r>
      <w:r w:rsidR="00BF3466" w:rsidRPr="007204E5">
        <w:t>r</w:t>
      </w:r>
      <w:r w:rsidR="00D54F7E" w:rsidRPr="007204E5">
        <w:t xml:space="preserve"> en la práctica por sentirse digno o por evitar sentimientos de culpa o vergüenza), y regulación externa (</w:t>
      </w:r>
      <w:r w:rsidRPr="007204E5">
        <w:t xml:space="preserve">participar </w:t>
      </w:r>
      <w:r w:rsidR="00D54F7E" w:rsidRPr="007204E5">
        <w:t>por obtener una recompensa o evitar un castigo). Por último, cuando un</w:t>
      </w:r>
      <w:r w:rsidRPr="007204E5">
        <w:t>a persona</w:t>
      </w:r>
      <w:r w:rsidR="00D54F7E" w:rsidRPr="007204E5">
        <w:t xml:space="preserve"> </w:t>
      </w:r>
      <w:r w:rsidR="00140C18" w:rsidRPr="007204E5">
        <w:t>no encuentra</w:t>
      </w:r>
      <w:r w:rsidR="00D54F7E" w:rsidRPr="007204E5">
        <w:t xml:space="preserve"> ninguna razón </w:t>
      </w:r>
      <w:r w:rsidRPr="007204E5">
        <w:t xml:space="preserve">por la que </w:t>
      </w:r>
      <w:r w:rsidR="00D54F7E" w:rsidRPr="007204E5">
        <w:t>val</w:t>
      </w:r>
      <w:r w:rsidR="00140C18" w:rsidRPr="007204E5">
        <w:t>ga</w:t>
      </w:r>
      <w:r w:rsidR="00D54F7E" w:rsidRPr="007204E5">
        <w:t xml:space="preserve"> la pena </w:t>
      </w:r>
      <w:r w:rsidR="00140C18" w:rsidRPr="007204E5">
        <w:t>la práctica física</w:t>
      </w:r>
      <w:r w:rsidR="00D54F7E" w:rsidRPr="007204E5">
        <w:t xml:space="preserve">, </w:t>
      </w:r>
      <w:r w:rsidRPr="007204E5">
        <w:t xml:space="preserve">se dice que </w:t>
      </w:r>
      <w:r w:rsidR="00D54F7E" w:rsidRPr="007204E5">
        <w:t xml:space="preserve">no está </w:t>
      </w:r>
      <w:r w:rsidR="00140C18" w:rsidRPr="007204E5">
        <w:t xml:space="preserve">ni intrínseca </w:t>
      </w:r>
      <w:r w:rsidR="00D54F7E" w:rsidRPr="007204E5">
        <w:t>ni extrínsecamente</w:t>
      </w:r>
      <w:r w:rsidR="00140C18" w:rsidRPr="007204E5">
        <w:t xml:space="preserve"> motivad</w:t>
      </w:r>
      <w:r w:rsidRPr="007204E5">
        <w:t>a</w:t>
      </w:r>
      <w:r w:rsidR="00140C18" w:rsidRPr="007204E5">
        <w:t xml:space="preserve">, </w:t>
      </w:r>
      <w:r w:rsidRPr="007204E5">
        <w:t>simplemente</w:t>
      </w:r>
      <w:r w:rsidR="00140C18" w:rsidRPr="007204E5">
        <w:t xml:space="preserve"> está desmotiv</w:t>
      </w:r>
      <w:r w:rsidRPr="007204E5">
        <w:t>ada</w:t>
      </w:r>
      <w:r w:rsidR="00140C18" w:rsidRPr="007204E5">
        <w:t>.</w:t>
      </w:r>
    </w:p>
    <w:p w:rsidR="00773CBA" w:rsidRPr="007204E5" w:rsidRDefault="002F6C06" w:rsidP="00B66559">
      <w:pPr>
        <w:widowControl w:val="0"/>
        <w:spacing w:before="60" w:after="60"/>
        <w:ind w:firstLine="284"/>
        <w:jc w:val="both"/>
      </w:pPr>
      <w:r w:rsidRPr="007204E5">
        <w:lastRenderedPageBreak/>
        <w:t>L</w:t>
      </w:r>
      <w:r w:rsidR="00773CBA" w:rsidRPr="007204E5">
        <w:t xml:space="preserve">as escuelas </w:t>
      </w:r>
      <w:r w:rsidR="00B66559" w:rsidRPr="007204E5">
        <w:t xml:space="preserve">han </w:t>
      </w:r>
      <w:r w:rsidR="00773CBA" w:rsidRPr="007204E5">
        <w:t>sido reconocid</w:t>
      </w:r>
      <w:r w:rsidR="00B66559" w:rsidRPr="007204E5">
        <w:t>as</w:t>
      </w:r>
      <w:r w:rsidR="00773CBA" w:rsidRPr="007204E5">
        <w:t xml:space="preserve"> como context</w:t>
      </w:r>
      <w:r w:rsidR="006F5D39" w:rsidRPr="007204E5">
        <w:t>os clave</w:t>
      </w:r>
      <w:r w:rsidR="00B66559" w:rsidRPr="007204E5">
        <w:t xml:space="preserve"> no sólo para promover la práctica de </w:t>
      </w:r>
      <w:r w:rsidR="00773CBA" w:rsidRPr="007204E5">
        <w:t xml:space="preserve">actividad física y </w:t>
      </w:r>
      <w:r w:rsidR="00B66559" w:rsidRPr="007204E5">
        <w:t xml:space="preserve">la promoción de </w:t>
      </w:r>
      <w:r w:rsidR="00773CBA" w:rsidRPr="007204E5">
        <w:t>estilos de vid</w:t>
      </w:r>
      <w:r w:rsidR="00B66559" w:rsidRPr="007204E5">
        <w:t xml:space="preserve">a saludables, sino también para </w:t>
      </w:r>
      <w:r w:rsidR="00773CBA" w:rsidRPr="007204E5">
        <w:t xml:space="preserve">ayudar a los jóvenes a desarrollar todo su potencial y </w:t>
      </w:r>
      <w:r w:rsidR="00B66559" w:rsidRPr="007204E5">
        <w:t xml:space="preserve">sentirse bien </w:t>
      </w:r>
      <w:r w:rsidR="00773CBA" w:rsidRPr="007204E5">
        <w:t>consigo mismos (Centros pa</w:t>
      </w:r>
      <w:r w:rsidR="00B66559" w:rsidRPr="007204E5">
        <w:t xml:space="preserve">ra el Control de Enfermedades y </w:t>
      </w:r>
      <w:r w:rsidR="00773CBA" w:rsidRPr="007204E5">
        <w:t>Prevención, 2011</w:t>
      </w:r>
      <w:r w:rsidR="0078056F" w:rsidRPr="007204E5">
        <w:t>)</w:t>
      </w:r>
      <w:r w:rsidR="00773CBA" w:rsidRPr="007204E5">
        <w:t xml:space="preserve">. Existe, por tanto, un fuerte interés por investigar los </w:t>
      </w:r>
      <w:r w:rsidR="006F5D39" w:rsidRPr="007204E5">
        <w:t>procesos</w:t>
      </w:r>
      <w:r w:rsidR="00773CBA" w:rsidRPr="007204E5">
        <w:t xml:space="preserve"> motivacionales que intervienen en el entorno escolar</w:t>
      </w:r>
      <w:r w:rsidR="00B66559" w:rsidRPr="007204E5">
        <w:t xml:space="preserve"> para</w:t>
      </w:r>
      <w:r w:rsidR="00773CBA" w:rsidRPr="007204E5">
        <w:t xml:space="preserve"> comprender las relaciones entre la actividad física y el bienestar de los alumnos</w:t>
      </w:r>
      <w:r w:rsidR="0078056F" w:rsidRPr="007204E5">
        <w:t xml:space="preserve"> (Taylor, Spray &amp; Pearson, 2014)</w:t>
      </w:r>
      <w:r w:rsidR="00773CBA" w:rsidRPr="007204E5">
        <w:t xml:space="preserve">. </w:t>
      </w:r>
    </w:p>
    <w:p w:rsidR="009704F1" w:rsidRPr="007204E5" w:rsidRDefault="002235FC" w:rsidP="009704F1">
      <w:pPr>
        <w:widowControl w:val="0"/>
        <w:spacing w:before="60" w:after="60"/>
        <w:ind w:firstLine="284"/>
        <w:jc w:val="both"/>
      </w:pPr>
      <w:r w:rsidRPr="007204E5">
        <w:t>El bienestar se refiere a un "funcionamiento psicológico óptimo” (Ryan &amp; Deci 2001, p.</w:t>
      </w:r>
      <w:r w:rsidR="008E0B8B" w:rsidRPr="007204E5">
        <w:t>142).</w:t>
      </w:r>
      <w:r w:rsidR="00773CBA" w:rsidRPr="007204E5">
        <w:t xml:space="preserve"> </w:t>
      </w:r>
      <w:r w:rsidR="00BF3466" w:rsidRPr="007204E5">
        <w:t>P</w:t>
      </w:r>
      <w:r w:rsidR="00EE44AE" w:rsidRPr="007204E5">
        <w:t xml:space="preserve">uede definirse como el estado de sentirse a gusto, feliz o próspero. </w:t>
      </w:r>
      <w:r w:rsidR="008D3627" w:rsidRPr="007204E5">
        <w:t xml:space="preserve">El bienestar </w:t>
      </w:r>
      <w:r w:rsidR="00B20A56" w:rsidRPr="007204E5">
        <w:t>subjetivo</w:t>
      </w:r>
      <w:r w:rsidR="008D3627" w:rsidRPr="007204E5">
        <w:t xml:space="preserve"> </w:t>
      </w:r>
      <w:r w:rsidR="001E38B3" w:rsidRPr="007204E5">
        <w:t xml:space="preserve">es un indicador de la calidad de vida a la vez que </w:t>
      </w:r>
      <w:r w:rsidR="008D3627" w:rsidRPr="007204E5">
        <w:t>puede suponer una buena herramienta para ayudar a mejorar las</w:t>
      </w:r>
      <w:r w:rsidR="00EE44AE" w:rsidRPr="007204E5">
        <w:t xml:space="preserve"> vidas de las personas.</w:t>
      </w:r>
      <w:r w:rsidR="009704F1" w:rsidRPr="007204E5">
        <w:t xml:space="preserve"> El bienestar </w:t>
      </w:r>
      <w:r w:rsidR="00B20A56" w:rsidRPr="007204E5">
        <w:t>subjetivo</w:t>
      </w:r>
      <w:r w:rsidR="009704F1" w:rsidRPr="007204E5">
        <w:t xml:space="preserve"> ha puesto su atención en el desarrollo de las capacid</w:t>
      </w:r>
      <w:r w:rsidR="00325754" w:rsidRPr="007204E5">
        <w:t>ades y el crecimiento personal</w:t>
      </w:r>
      <w:r w:rsidR="009704F1" w:rsidRPr="007204E5">
        <w:t xml:space="preserve"> como principales indicadores del funcionamiento óptimo (Romero, García-Mas &amp; Brustad, 2009).</w:t>
      </w:r>
      <w:r w:rsidR="00EE44AE" w:rsidRPr="007204E5">
        <w:t xml:space="preserve"> </w:t>
      </w:r>
    </w:p>
    <w:p w:rsidR="00EE44AE" w:rsidRPr="007204E5" w:rsidRDefault="00EE44AE" w:rsidP="00EE44AE">
      <w:pPr>
        <w:widowControl w:val="0"/>
        <w:spacing w:before="60" w:after="60"/>
        <w:ind w:firstLine="284"/>
        <w:jc w:val="both"/>
      </w:pPr>
      <w:r w:rsidRPr="007204E5">
        <w:t>Según Lu &amp; Buchanan (2014), el bienestar está relacionado con el potencial de un individuo para tener una vida feliz y saludable, y en este sentido la EF puede considerarse un contexto apropiado para desarrollar tales características. Algunas investigaciones han sugerido que los alumnos con emociones positivas es más probable que desarrollen un estilo de vida activo, lo cual es uno de los fines principales de la EF (Rink, 2010), y para ello el clima motivacional de la clase puede resultar determinante a la hora de generar el bienestar que los alumnos necesitan para sentirse seguros, apoyados y reconocidos, es decir, para progresar como personas y sentirse mentalmente saludables (Sistkos, Papaioannou &amp; Propios, 2011).</w:t>
      </w:r>
    </w:p>
    <w:p w:rsidR="008D3627" w:rsidRPr="007204E5" w:rsidRDefault="008D3627" w:rsidP="00773CBA">
      <w:pPr>
        <w:widowControl w:val="0"/>
        <w:spacing w:before="60" w:after="60"/>
        <w:ind w:firstLine="284"/>
        <w:jc w:val="both"/>
      </w:pPr>
      <w:r w:rsidRPr="007204E5">
        <w:t xml:space="preserve">Se distinguen dos aspectos principales en el bienestar subjetivo, el afectivo y el cognitivo. El dominio afectivo se refiere a las emociones positivas y negativas, mientras que el cognitivo hace referencia a la satisfacción con la vida (Diener </w:t>
      </w:r>
      <w:r w:rsidR="001E38B3" w:rsidRPr="007204E5">
        <w:t>&amp;</w:t>
      </w:r>
      <w:r w:rsidR="00A80D7C" w:rsidRPr="007204E5">
        <w:t xml:space="preserve"> Diener, 2009). En la</w:t>
      </w:r>
      <w:r w:rsidR="00EE44AE" w:rsidRPr="007204E5">
        <w:t xml:space="preserve"> </w:t>
      </w:r>
      <w:r w:rsidR="00A80D7C" w:rsidRPr="007204E5">
        <w:t xml:space="preserve">adolescencia, </w:t>
      </w:r>
      <w:r w:rsidRPr="007204E5">
        <w:t xml:space="preserve">la satisfacción con la vida puede ser un indicador clave de la salud mental y del bienestar subjetivo (Anataramian, Huebner </w:t>
      </w:r>
      <w:r w:rsidR="001E38B3" w:rsidRPr="007204E5">
        <w:t>&amp;</w:t>
      </w:r>
      <w:r w:rsidRPr="007204E5">
        <w:t xml:space="preserve"> Valois, 2008). </w:t>
      </w:r>
      <w:r w:rsidR="00402DC6" w:rsidRPr="007204E5">
        <w:t>Sin embargo, a</w:t>
      </w:r>
      <w:r w:rsidR="00A80D7C" w:rsidRPr="007204E5">
        <w:t xml:space="preserve"> pesar de reconocer su importancia en la investigación psicológica, l</w:t>
      </w:r>
      <w:r w:rsidRPr="007204E5">
        <w:t>a satisfacción con la vida ha sido</w:t>
      </w:r>
      <w:r w:rsidR="00A80D7C" w:rsidRPr="007204E5">
        <w:t xml:space="preserve"> una variable</w:t>
      </w:r>
      <w:r w:rsidRPr="007204E5">
        <w:t xml:space="preserve"> frecuentemente </w:t>
      </w:r>
      <w:r w:rsidR="00A80D7C" w:rsidRPr="007204E5">
        <w:t>abordada</w:t>
      </w:r>
      <w:r w:rsidRPr="007204E5">
        <w:t xml:space="preserve"> en personas adultas y mayores</w:t>
      </w:r>
      <w:r w:rsidR="00402DC6" w:rsidRPr="007204E5">
        <w:t xml:space="preserve"> pero</w:t>
      </w:r>
      <w:r w:rsidRPr="007204E5">
        <w:t xml:space="preserve"> </w:t>
      </w:r>
      <w:r w:rsidR="00A80D7C" w:rsidRPr="007204E5">
        <w:t>menos estudiada</w:t>
      </w:r>
      <w:r w:rsidRPr="007204E5">
        <w:t xml:space="preserve"> </w:t>
      </w:r>
      <w:r w:rsidR="00402DC6" w:rsidRPr="007204E5">
        <w:t>con</w:t>
      </w:r>
      <w:r w:rsidRPr="007204E5">
        <w:t xml:space="preserve"> muestras de adolescentes</w:t>
      </w:r>
      <w:r w:rsidR="0008397B" w:rsidRPr="007204E5">
        <w:t xml:space="preserve"> (Elmore &amp; Huebner, 2010)</w:t>
      </w:r>
      <w:r w:rsidRPr="007204E5">
        <w:t xml:space="preserve">. </w:t>
      </w:r>
    </w:p>
    <w:p w:rsidR="0052474F" w:rsidRPr="007204E5" w:rsidRDefault="00516D06" w:rsidP="00516D06">
      <w:pPr>
        <w:widowControl w:val="0"/>
        <w:spacing w:before="60" w:after="60"/>
        <w:ind w:firstLine="284"/>
        <w:jc w:val="both"/>
      </w:pPr>
      <w:r w:rsidRPr="007204E5">
        <w:t xml:space="preserve">En el marco de la motivación autodeterminada, </w:t>
      </w:r>
      <w:r w:rsidR="0052474F" w:rsidRPr="007204E5">
        <w:t xml:space="preserve">Bagoien, Halvari &amp; Nesheim (2010) afirman que el concepto de bienestar </w:t>
      </w:r>
      <w:r w:rsidR="00B20A56" w:rsidRPr="007204E5">
        <w:t>subjetivo</w:t>
      </w:r>
      <w:r w:rsidR="0052474F" w:rsidRPr="007204E5">
        <w:t>, en general, está indicado por la presencia de vitalidad, el afecto positivo y la satisfacción con la vida de los estudiantes, y que</w:t>
      </w:r>
      <w:r w:rsidRPr="007204E5">
        <w:t xml:space="preserve"> está positivamente asociado</w:t>
      </w:r>
      <w:r w:rsidR="006F5D39" w:rsidRPr="007204E5">
        <w:t xml:space="preserve"> </w:t>
      </w:r>
      <w:r w:rsidRPr="007204E5">
        <w:t xml:space="preserve">con la satisfacción de las necesidades </w:t>
      </w:r>
      <w:r w:rsidR="006F5D39" w:rsidRPr="007204E5">
        <w:t xml:space="preserve">psicológicas </w:t>
      </w:r>
      <w:r w:rsidRPr="007204E5">
        <w:t xml:space="preserve">básicas, la motivación autónoma, la percepción de competencia y la práctica de actividad física. Otros investigadores han concluido que los indicadores del bienestar </w:t>
      </w:r>
      <w:r w:rsidR="00B20A56" w:rsidRPr="007204E5">
        <w:t>subjetivo</w:t>
      </w:r>
      <w:r w:rsidRPr="007204E5">
        <w:t xml:space="preserve"> están positivamente correlacionados tanto con la satisfacción de las necesidades básicas</w:t>
      </w:r>
      <w:r w:rsidR="0052474F" w:rsidRPr="007204E5">
        <w:t xml:space="preserve"> (W</w:t>
      </w:r>
      <w:r w:rsidRPr="007204E5">
        <w:t xml:space="preserve">ilson, Rodgers, Fraser, Murray </w:t>
      </w:r>
      <w:r w:rsidR="0052474F" w:rsidRPr="007204E5">
        <w:t xml:space="preserve">&amp; McIntyre, 2004) </w:t>
      </w:r>
      <w:r w:rsidRPr="007204E5">
        <w:t>como con la motivación hacia el ejercicio (Georgiadis, Biddle</w:t>
      </w:r>
      <w:r w:rsidR="00325754" w:rsidRPr="007204E5">
        <w:t xml:space="preserve"> &amp; Chatzisarantis, 2001</w:t>
      </w:r>
      <w:r w:rsidRPr="007204E5">
        <w:t xml:space="preserve">), y que la participación en actividad física se encuentra positivamente asociada con diversos indicadores del bienestar </w:t>
      </w:r>
      <w:r w:rsidR="00B20A56" w:rsidRPr="007204E5">
        <w:t>subjetivo</w:t>
      </w:r>
      <w:r w:rsidRPr="007204E5">
        <w:t>, como la reducción de la depresión y la ansiedad (Long &amp; van Stavel, 1999), y un cambio positivo en la calidad de vida, la vitalidad y la autoestima (Fox, 1997; Ryan &amp; Deci, 200</w:t>
      </w:r>
      <w:r w:rsidR="003E6592" w:rsidRPr="007204E5">
        <w:t>0</w:t>
      </w:r>
      <w:r w:rsidRPr="007204E5">
        <w:t>).</w:t>
      </w:r>
    </w:p>
    <w:p w:rsidR="006059BF" w:rsidRPr="007204E5" w:rsidRDefault="006F5D39" w:rsidP="006059BF">
      <w:pPr>
        <w:widowControl w:val="0"/>
        <w:spacing w:before="60" w:after="60"/>
        <w:ind w:firstLine="284"/>
        <w:jc w:val="both"/>
      </w:pPr>
      <w:r w:rsidRPr="007204E5">
        <w:t xml:space="preserve">Los resultados que </w:t>
      </w:r>
      <w:r w:rsidR="003A3C7D" w:rsidRPr="007204E5">
        <w:t>Standage</w:t>
      </w:r>
      <w:r w:rsidRPr="007204E5">
        <w:t>,</w:t>
      </w:r>
      <w:r w:rsidR="00631441" w:rsidRPr="007204E5">
        <w:t xml:space="preserve"> et al. </w:t>
      </w:r>
      <w:r w:rsidRPr="007204E5">
        <w:t xml:space="preserve">(2012) encontraron en su trabajo de investigación </w:t>
      </w:r>
      <w:r w:rsidR="003A3C7D" w:rsidRPr="007204E5">
        <w:t xml:space="preserve">proporcionan apoyo </w:t>
      </w:r>
      <w:r w:rsidR="00402DC6" w:rsidRPr="007204E5">
        <w:t xml:space="preserve">empírico </w:t>
      </w:r>
      <w:r w:rsidR="003A3C7D" w:rsidRPr="007204E5">
        <w:t>a</w:t>
      </w:r>
      <w:r w:rsidRPr="007204E5">
        <w:t xml:space="preserve"> la relación entre</w:t>
      </w:r>
      <w:r w:rsidR="003A3C7D" w:rsidRPr="007204E5">
        <w:t xml:space="preserve"> los procesos de motivación que tienen lugar en los  contextos de </w:t>
      </w:r>
      <w:r w:rsidRPr="007204E5">
        <w:t>EF</w:t>
      </w:r>
      <w:r w:rsidR="003A3C7D" w:rsidRPr="007204E5">
        <w:t xml:space="preserve"> y los índices de salud relacionados con el bienestar de los </w:t>
      </w:r>
      <w:r w:rsidR="003A3C7D" w:rsidRPr="007204E5">
        <w:lastRenderedPageBreak/>
        <w:t xml:space="preserve">alumnos. </w:t>
      </w:r>
      <w:r w:rsidR="00402DC6" w:rsidRPr="007204E5">
        <w:t>Estos</w:t>
      </w:r>
      <w:r w:rsidR="003A3C7D" w:rsidRPr="007204E5">
        <w:t xml:space="preserve"> resultados también refuerzan la idea de los beneficios motivacionales que los alumnos experimentan </w:t>
      </w:r>
      <w:r w:rsidRPr="007204E5">
        <w:t>derivad</w:t>
      </w:r>
      <w:r w:rsidR="00AE31F6" w:rsidRPr="007204E5">
        <w:t>o</w:t>
      </w:r>
      <w:r w:rsidRPr="007204E5">
        <w:t>s</w:t>
      </w:r>
      <w:r w:rsidR="003A3C7D" w:rsidRPr="007204E5">
        <w:t xml:space="preserve"> de sus interacciones basadas en el apoyo a la autonomía </w:t>
      </w:r>
      <w:r w:rsidRPr="007204E5">
        <w:t xml:space="preserve">por parte </w:t>
      </w:r>
      <w:r w:rsidR="003A3C7D" w:rsidRPr="007204E5">
        <w:t xml:space="preserve">de sus profesores, </w:t>
      </w:r>
      <w:r w:rsidRPr="007204E5">
        <w:t xml:space="preserve">los cuales </w:t>
      </w:r>
      <w:r w:rsidR="003A3C7D" w:rsidRPr="007204E5">
        <w:t xml:space="preserve">proveen las condiciones sociales conducentes </w:t>
      </w:r>
      <w:r w:rsidR="006059BF" w:rsidRPr="007204E5">
        <w:t>a la satisfacción</w:t>
      </w:r>
      <w:r w:rsidR="00402DC6" w:rsidRPr="007204E5">
        <w:t xml:space="preserve"> de las necesidades básicas y al bienestar subjetivo.</w:t>
      </w:r>
      <w:r w:rsidR="006059BF" w:rsidRPr="007204E5">
        <w:t xml:space="preserve"> </w:t>
      </w:r>
    </w:p>
    <w:p w:rsidR="0070356B" w:rsidRPr="007204E5" w:rsidRDefault="007136F1" w:rsidP="008D3627">
      <w:pPr>
        <w:widowControl w:val="0"/>
        <w:spacing w:before="60" w:after="60"/>
        <w:ind w:firstLine="284"/>
        <w:jc w:val="both"/>
      </w:pPr>
      <w:r w:rsidRPr="007204E5">
        <w:t xml:space="preserve">Por su parte, </w:t>
      </w:r>
      <w:r w:rsidR="008D3627" w:rsidRPr="007204E5">
        <w:rPr>
          <w:rFonts w:ascii="AdvPS6F00" w:eastAsia="Calibri" w:hAnsi="AdvPS6F00" w:cs="AdvPS6F00"/>
        </w:rPr>
        <w:t xml:space="preserve">Brown </w:t>
      </w:r>
      <w:r w:rsidR="007A6AD2" w:rsidRPr="007204E5">
        <w:rPr>
          <w:rFonts w:ascii="AdvPS6F00" w:eastAsia="Calibri" w:hAnsi="AdvPS6F00" w:cs="AdvPS6F00"/>
        </w:rPr>
        <w:t>&amp;</w:t>
      </w:r>
      <w:r w:rsidR="008D3627" w:rsidRPr="007204E5">
        <w:rPr>
          <w:rFonts w:ascii="AdvPS6F00" w:eastAsia="Calibri" w:hAnsi="AdvPS6F00" w:cs="AdvPS6F00"/>
        </w:rPr>
        <w:t xml:space="preserve"> Fry (2014) encontraron una relación positiva entre el clima motivacional positivo y la satisfacción con la vida. L</w:t>
      </w:r>
      <w:r w:rsidRPr="007204E5">
        <w:rPr>
          <w:rFonts w:ascii="AdvPS6F00" w:eastAsia="Calibri" w:hAnsi="AdvPS6F00" w:cs="AdvPS6F00"/>
        </w:rPr>
        <w:t>os alumnos</w:t>
      </w:r>
      <w:r w:rsidR="008D3627" w:rsidRPr="007204E5">
        <w:rPr>
          <w:rFonts w:ascii="AdvPS6F00" w:eastAsia="Calibri" w:hAnsi="AdvPS6F00" w:cs="AdvPS6F00"/>
        </w:rPr>
        <w:t xml:space="preserve"> que percibieron un clima de maestría en su práctica física informaron de una mayor satisfacción con la vida. Adicionalmente, Galand, Boudrenghien </w:t>
      </w:r>
      <w:r w:rsidR="007A6AD2" w:rsidRPr="007204E5">
        <w:rPr>
          <w:rFonts w:ascii="AdvPS6F00" w:eastAsia="Calibri" w:hAnsi="AdvPS6F00" w:cs="AdvPS6F00"/>
        </w:rPr>
        <w:t>&amp;</w:t>
      </w:r>
      <w:r w:rsidR="008D3627" w:rsidRPr="007204E5">
        <w:rPr>
          <w:rFonts w:ascii="AdvPS6F00" w:eastAsia="Calibri" w:hAnsi="AdvPS6F00" w:cs="AdvPS6F00"/>
        </w:rPr>
        <w:t xml:space="preserve"> Rose (2012) encontraron una asociación entre </w:t>
      </w:r>
      <w:r w:rsidRPr="007204E5">
        <w:rPr>
          <w:rFonts w:ascii="AdvPS6F00" w:eastAsia="Calibri" w:hAnsi="AdvPS6F00" w:cs="AdvPS6F00"/>
        </w:rPr>
        <w:t xml:space="preserve">el </w:t>
      </w:r>
      <w:r w:rsidR="008D3627" w:rsidRPr="007204E5">
        <w:rPr>
          <w:rFonts w:ascii="AdvPS6F00" w:eastAsia="Calibri" w:hAnsi="AdvPS6F00" w:cs="AdvPS6F00"/>
        </w:rPr>
        <w:t xml:space="preserve">clima de maestría </w:t>
      </w:r>
      <w:r w:rsidRPr="007204E5">
        <w:rPr>
          <w:rFonts w:ascii="AdvPS6F00" w:eastAsia="Calibri" w:hAnsi="AdvPS6F00" w:cs="AdvPS6F00"/>
        </w:rPr>
        <w:t>y</w:t>
      </w:r>
      <w:r w:rsidR="008D3627" w:rsidRPr="007204E5">
        <w:rPr>
          <w:rFonts w:ascii="AdvPS6F00" w:eastAsia="Calibri" w:hAnsi="AdvPS6F00" w:cs="AdvPS6F00"/>
        </w:rPr>
        <w:t xml:space="preserve"> la satisfacción con la vida, actuando como variable mediadora la orientación a la tarea. </w:t>
      </w:r>
      <w:r w:rsidR="008D3627" w:rsidRPr="007204E5">
        <w:t>Por tanto, resulta de interés estudiar la posible influencia de los climas motivacionales en EF sobre las orientaciones de meta de los alumnos y los resultados que puedan derivarse de ello.</w:t>
      </w:r>
    </w:p>
    <w:p w:rsidR="008D3627" w:rsidRDefault="000B5321" w:rsidP="008D3627">
      <w:pPr>
        <w:widowControl w:val="0"/>
        <w:spacing w:before="60" w:after="60"/>
        <w:ind w:firstLine="284"/>
        <w:jc w:val="both"/>
        <w:rPr>
          <w:rFonts w:ascii="AdvPS6F00" w:eastAsia="Calibri" w:hAnsi="AdvPS6F00" w:cs="AdvPS6F00"/>
        </w:rPr>
      </w:pPr>
      <w:r w:rsidRPr="007204E5">
        <w:rPr>
          <w:rFonts w:ascii="AdvPS6F00" w:eastAsia="Calibri" w:hAnsi="AdvPS6F00" w:cs="AdvPS6F00"/>
        </w:rPr>
        <w:t xml:space="preserve">Fundamentados en el </w:t>
      </w:r>
      <w:r w:rsidR="008D3627" w:rsidRPr="007204E5">
        <w:rPr>
          <w:rFonts w:ascii="AdvPS6F00" w:eastAsia="Calibri" w:hAnsi="AdvPS6F00" w:cs="AdvPS6F00"/>
        </w:rPr>
        <w:t>anterior</w:t>
      </w:r>
      <w:r w:rsidRPr="007204E5">
        <w:rPr>
          <w:rFonts w:ascii="AdvPS6F00" w:eastAsia="Calibri" w:hAnsi="AdvPS6F00" w:cs="AdvPS6F00"/>
        </w:rPr>
        <w:t xml:space="preserve"> marco conceptual</w:t>
      </w:r>
      <w:r w:rsidR="008D3627" w:rsidRPr="007204E5">
        <w:rPr>
          <w:rFonts w:ascii="AdvPS6F00" w:eastAsia="Calibri" w:hAnsi="AdvPS6F00" w:cs="AdvPS6F00"/>
        </w:rPr>
        <w:t>, el objetivo de este trabajo ha consistido en analizar las relaciones entre la percepción del clima mot</w:t>
      </w:r>
      <w:r w:rsidRPr="007204E5">
        <w:rPr>
          <w:rFonts w:ascii="AdvPS6F00" w:eastAsia="Calibri" w:hAnsi="AdvPS6F00" w:cs="AdvPS6F00"/>
        </w:rPr>
        <w:t>ivacional de la clase de EF, la</w:t>
      </w:r>
      <w:r w:rsidR="008D3627" w:rsidRPr="007204E5">
        <w:rPr>
          <w:rFonts w:ascii="AdvPS6F00" w:eastAsia="Calibri" w:hAnsi="AdvPS6F00" w:cs="AdvPS6F00"/>
        </w:rPr>
        <w:t xml:space="preserve"> orientaci</w:t>
      </w:r>
      <w:r w:rsidRPr="007204E5">
        <w:rPr>
          <w:rFonts w:ascii="AdvPS6F00" w:eastAsia="Calibri" w:hAnsi="AdvPS6F00" w:cs="AdvPS6F00"/>
        </w:rPr>
        <w:t>ón</w:t>
      </w:r>
      <w:r w:rsidR="008D3627" w:rsidRPr="007204E5">
        <w:rPr>
          <w:rFonts w:ascii="AdvPS6F00" w:eastAsia="Calibri" w:hAnsi="AdvPS6F00" w:cs="AdvPS6F00"/>
        </w:rPr>
        <w:t xml:space="preserve"> de meta</w:t>
      </w:r>
      <w:r w:rsidRPr="007204E5">
        <w:rPr>
          <w:rFonts w:ascii="AdvPS6F00" w:eastAsia="Calibri" w:hAnsi="AdvPS6F00" w:cs="AdvPS6F00"/>
        </w:rPr>
        <w:t>s de logro</w:t>
      </w:r>
      <w:r w:rsidR="008D3627" w:rsidRPr="007204E5">
        <w:rPr>
          <w:rFonts w:ascii="AdvPS6F00" w:eastAsia="Calibri" w:hAnsi="AdvPS6F00" w:cs="AdvPS6F00"/>
        </w:rPr>
        <w:t xml:space="preserve"> de los alumnos y su </w:t>
      </w:r>
      <w:r w:rsidRPr="007204E5">
        <w:rPr>
          <w:rFonts w:ascii="AdvPS6F00" w:eastAsia="Calibri" w:hAnsi="AdvPS6F00" w:cs="AdvPS6F00"/>
        </w:rPr>
        <w:t>satisfacción con la vida</w:t>
      </w:r>
      <w:r w:rsidR="00C13869" w:rsidRPr="007204E5">
        <w:rPr>
          <w:rFonts w:ascii="AdvPS6F00" w:eastAsia="Calibri" w:hAnsi="AdvPS6F00" w:cs="AdvPS6F00"/>
        </w:rPr>
        <w:t xml:space="preserve"> (Fig. 1)</w:t>
      </w:r>
      <w:r w:rsidR="008D3627" w:rsidRPr="007204E5">
        <w:rPr>
          <w:rFonts w:ascii="AdvPS6F00" w:eastAsia="Calibri" w:hAnsi="AdvPS6F00" w:cs="AdvPS6F00"/>
        </w:rPr>
        <w:t>.</w:t>
      </w:r>
      <w:r w:rsidRPr="007204E5">
        <w:rPr>
          <w:rFonts w:ascii="AdvPS6F00" w:eastAsia="Calibri" w:hAnsi="AdvPS6F00" w:cs="AdvPS6F00"/>
        </w:rPr>
        <w:t xml:space="preserve"> Partimos de las siguientes hipótesis: (a) Que la percepción del clima de maestría estar</w:t>
      </w:r>
      <w:r w:rsidR="009F7119" w:rsidRPr="007204E5">
        <w:rPr>
          <w:rFonts w:ascii="AdvPS6F00" w:eastAsia="Calibri" w:hAnsi="AdvPS6F00" w:cs="AdvPS6F00"/>
        </w:rPr>
        <w:t>ía</w:t>
      </w:r>
      <w:r w:rsidRPr="007204E5">
        <w:rPr>
          <w:rFonts w:ascii="AdvPS6F00" w:eastAsia="Calibri" w:hAnsi="AdvPS6F00" w:cs="AdvPS6F00"/>
        </w:rPr>
        <w:t xml:space="preserve"> directamente relacionad</w:t>
      </w:r>
      <w:r w:rsidR="00AE31F6" w:rsidRPr="007204E5">
        <w:rPr>
          <w:rFonts w:ascii="AdvPS6F00" w:eastAsia="Calibri" w:hAnsi="AdvPS6F00" w:cs="AdvPS6F00"/>
        </w:rPr>
        <w:t>a</w:t>
      </w:r>
      <w:r w:rsidRPr="007204E5">
        <w:rPr>
          <w:rFonts w:ascii="AdvPS6F00" w:eastAsia="Calibri" w:hAnsi="AdvPS6F00" w:cs="AdvPS6F00"/>
        </w:rPr>
        <w:t xml:space="preserve"> con la meta orientada a la maestría, mientras que la percepción de un clima de rendimiento se relacionar</w:t>
      </w:r>
      <w:r w:rsidR="009F7119" w:rsidRPr="007204E5">
        <w:rPr>
          <w:rFonts w:ascii="AdvPS6F00" w:eastAsia="Calibri" w:hAnsi="AdvPS6F00" w:cs="AdvPS6F00"/>
        </w:rPr>
        <w:t>ía</w:t>
      </w:r>
      <w:r w:rsidRPr="007204E5">
        <w:rPr>
          <w:rFonts w:ascii="AdvPS6F00" w:eastAsia="Calibri" w:hAnsi="AdvPS6F00" w:cs="AdvPS6F00"/>
        </w:rPr>
        <w:t xml:space="preserve"> positivamente con la meta de orientación al rendimiento; (b) Que la orientación de metas de logro de los alumnos actuar</w:t>
      </w:r>
      <w:r w:rsidR="009F7119" w:rsidRPr="007204E5">
        <w:rPr>
          <w:rFonts w:ascii="AdvPS6F00" w:eastAsia="Calibri" w:hAnsi="AdvPS6F00" w:cs="AdvPS6F00"/>
        </w:rPr>
        <w:t>ía</w:t>
      </w:r>
      <w:r w:rsidRPr="007204E5">
        <w:rPr>
          <w:rFonts w:ascii="AdvPS6F00" w:eastAsia="Calibri" w:hAnsi="AdvPS6F00" w:cs="AdvPS6F00"/>
        </w:rPr>
        <w:t xml:space="preserve"> como mediador entre la percepción del clima motivacional de la clase y la satisfacción con la vida de los alumnos; (c) que la orientación a la maestría estar</w:t>
      </w:r>
      <w:r w:rsidR="009F7119" w:rsidRPr="007204E5">
        <w:rPr>
          <w:rFonts w:ascii="AdvPS6F00" w:eastAsia="Calibri" w:hAnsi="AdvPS6F00" w:cs="AdvPS6F00"/>
        </w:rPr>
        <w:t>ía</w:t>
      </w:r>
      <w:r w:rsidRPr="007204E5">
        <w:rPr>
          <w:rFonts w:ascii="AdvPS6F00" w:eastAsia="Calibri" w:hAnsi="AdvPS6F00" w:cs="AdvPS6F00"/>
        </w:rPr>
        <w:t xml:space="preserve"> positivamente relacionada, mientras que la orientación al rendimiento </w:t>
      </w:r>
      <w:r w:rsidR="00AE31F6" w:rsidRPr="007204E5">
        <w:rPr>
          <w:rFonts w:ascii="AdvPS6F00" w:eastAsia="Calibri" w:hAnsi="AdvPS6F00" w:cs="AdvPS6F00"/>
        </w:rPr>
        <w:t>lo estaría</w:t>
      </w:r>
      <w:r w:rsidRPr="007204E5">
        <w:rPr>
          <w:rFonts w:ascii="AdvPS6F00" w:eastAsia="Calibri" w:hAnsi="AdvPS6F00" w:cs="AdvPS6F00"/>
        </w:rPr>
        <w:t xml:space="preserve"> negativamente con la satisfacción con la vida de los alumnos de EF.</w:t>
      </w:r>
    </w:p>
    <w:p w:rsidR="004F234C" w:rsidRDefault="004F234C" w:rsidP="004F234C">
      <w:pPr>
        <w:widowControl w:val="0"/>
        <w:spacing w:before="60" w:after="60"/>
        <w:jc w:val="center"/>
        <w:rPr>
          <w:rFonts w:ascii="AdvPS6F00" w:eastAsia="Calibri" w:hAnsi="AdvPS6F00" w:cs="AdvPS6F00"/>
        </w:rPr>
      </w:pPr>
      <w:r>
        <w:rPr>
          <w:rFonts w:ascii="AdvPS6F00" w:eastAsia="Calibri" w:hAnsi="AdvPS6F00" w:cs="AdvPS6F00"/>
        </w:rPr>
        <w:t>PONER AQUÍ FIGURA 1</w:t>
      </w:r>
    </w:p>
    <w:p w:rsidR="00BD276D" w:rsidRPr="008150E3" w:rsidRDefault="00BD276D" w:rsidP="0031491F">
      <w:pPr>
        <w:spacing w:before="120"/>
        <w:jc w:val="center"/>
        <w:rPr>
          <w:b/>
        </w:rPr>
      </w:pPr>
      <w:r w:rsidRPr="008150E3">
        <w:rPr>
          <w:b/>
        </w:rPr>
        <w:t>Método</w:t>
      </w:r>
    </w:p>
    <w:p w:rsidR="00BD276D" w:rsidRPr="008150E3" w:rsidRDefault="001F6242" w:rsidP="0031491F">
      <w:pPr>
        <w:spacing w:before="120"/>
        <w:jc w:val="both"/>
        <w:rPr>
          <w:b/>
          <w:i/>
        </w:rPr>
      </w:pPr>
      <w:r w:rsidRPr="008150E3">
        <w:rPr>
          <w:b/>
          <w:i/>
        </w:rPr>
        <w:t>Participantes</w:t>
      </w:r>
    </w:p>
    <w:p w:rsidR="00BD276D" w:rsidRDefault="008C11ED" w:rsidP="008C11ED">
      <w:pPr>
        <w:spacing w:before="120"/>
        <w:ind w:firstLine="284"/>
        <w:jc w:val="both"/>
      </w:pPr>
      <w:r w:rsidRPr="008150E3">
        <w:t>Los participantes han sido 608 alumnos de Educación Secundaria y 1º de Bachillerato (336 chicos y 272 chicas), con edades comprendidas entre los 12 y los 17 años (</w:t>
      </w:r>
      <w:r w:rsidRPr="008150E3">
        <w:rPr>
          <w:i/>
        </w:rPr>
        <w:t>M</w:t>
      </w:r>
      <w:r w:rsidRPr="008150E3">
        <w:t xml:space="preserve"> = 14.51, </w:t>
      </w:r>
      <w:r w:rsidRPr="008150E3">
        <w:rPr>
          <w:i/>
        </w:rPr>
        <w:t>DT</w:t>
      </w:r>
      <w:r w:rsidRPr="008150E3">
        <w:t xml:space="preserve"> = 1.46), distribuidos por sexo y curso académico según muestra la Tabla 1. La selección de los participantes fue incidental o por conveniencia y se desarrolló por el método de colaboradores, procurando que fuesen representativos de la población adolescente </w:t>
      </w:r>
      <w:r w:rsidR="0016202A" w:rsidRPr="008150E3">
        <w:t>española</w:t>
      </w:r>
      <w:r w:rsidRPr="008150E3">
        <w:t>.</w:t>
      </w:r>
    </w:p>
    <w:p w:rsidR="004F234C" w:rsidRPr="008150E3" w:rsidRDefault="004F234C" w:rsidP="004F234C">
      <w:pPr>
        <w:spacing w:before="120"/>
        <w:jc w:val="center"/>
      </w:pPr>
      <w:r>
        <w:t>PONER AQUÍ TABLA 1</w:t>
      </w:r>
    </w:p>
    <w:p w:rsidR="00BD276D" w:rsidRPr="008150E3" w:rsidRDefault="00BD276D" w:rsidP="0031491F">
      <w:pPr>
        <w:spacing w:before="120"/>
        <w:jc w:val="both"/>
      </w:pPr>
      <w:r w:rsidRPr="008150E3">
        <w:rPr>
          <w:b/>
          <w:i/>
        </w:rPr>
        <w:t>Instrumentos</w:t>
      </w:r>
    </w:p>
    <w:p w:rsidR="00A35422" w:rsidRPr="008150E3" w:rsidRDefault="00C46971" w:rsidP="00C46971">
      <w:pPr>
        <w:spacing w:before="120"/>
        <w:ind w:firstLine="284"/>
        <w:jc w:val="both"/>
      </w:pPr>
      <w:r w:rsidRPr="008150E3">
        <w:rPr>
          <w:i/>
        </w:rPr>
        <w:t xml:space="preserve">Clima motivacional </w:t>
      </w:r>
      <w:r w:rsidR="001F6242" w:rsidRPr="008150E3">
        <w:rPr>
          <w:i/>
        </w:rPr>
        <w:t>de</w:t>
      </w:r>
      <w:r w:rsidRPr="008150E3">
        <w:rPr>
          <w:i/>
        </w:rPr>
        <w:t xml:space="preserve"> </w:t>
      </w:r>
      <w:r w:rsidR="00E244C1" w:rsidRPr="008150E3">
        <w:rPr>
          <w:i/>
        </w:rPr>
        <w:t xml:space="preserve">la clase de </w:t>
      </w:r>
      <w:r w:rsidRPr="008150E3">
        <w:rPr>
          <w:i/>
        </w:rPr>
        <w:t>EF</w:t>
      </w:r>
      <w:r w:rsidRPr="008150E3">
        <w:t xml:space="preserve">. Se empleó la versión española de la </w:t>
      </w:r>
      <w:r w:rsidRPr="008150E3">
        <w:rPr>
          <w:i/>
        </w:rPr>
        <w:t>Perception of Motivational Climate Scale</w:t>
      </w:r>
      <w:r w:rsidRPr="008150E3">
        <w:t>, de Biddle</w:t>
      </w:r>
      <w:r w:rsidR="009F7119" w:rsidRPr="008150E3">
        <w:t>,</w:t>
      </w:r>
      <w:r w:rsidRPr="008150E3">
        <w:t xml:space="preserve"> et al. (1995), </w:t>
      </w:r>
      <w:r w:rsidR="00A35422" w:rsidRPr="008150E3">
        <w:t>validada al contexto español</w:t>
      </w:r>
      <w:r w:rsidRPr="008150E3">
        <w:t xml:space="preserve"> por Gutiérrez </w:t>
      </w:r>
      <w:r w:rsidR="009F7119" w:rsidRPr="008150E3">
        <w:t>&amp;</w:t>
      </w:r>
      <w:r w:rsidRPr="008150E3">
        <w:t xml:space="preserve"> Ruiz (2009). </w:t>
      </w:r>
      <w:r w:rsidR="00A35422" w:rsidRPr="008150E3">
        <w:t xml:space="preserve">Tal como muestran sus autores, esta escala consta </w:t>
      </w:r>
      <w:r w:rsidRPr="008150E3">
        <w:t xml:space="preserve">de 19 ítems agrupados en cinco factores: </w:t>
      </w:r>
      <w:r w:rsidR="00A35422" w:rsidRPr="008150E3">
        <w:t>Búsqueda de progreso por los alumnos</w:t>
      </w:r>
      <w:r w:rsidR="00964A1E" w:rsidRPr="008150E3">
        <w:t xml:space="preserve"> (ej.: Los alumnos aprenden nuevas habilidades y se sienten satisfechos)</w:t>
      </w:r>
      <w:r w:rsidR="00A35422" w:rsidRPr="008150E3">
        <w:t>, Promoción de aprendizaje por el profesor</w:t>
      </w:r>
      <w:r w:rsidR="00964A1E" w:rsidRPr="008150E3">
        <w:t xml:space="preserve"> (ej.: El profesor/a de EF está satisfecho/a cuando cada alumno aprende cosas nuevas)</w:t>
      </w:r>
      <w:r w:rsidR="00A35422" w:rsidRPr="008150E3">
        <w:t>, Búsqueda de comparación por los alumnos</w:t>
      </w:r>
      <w:r w:rsidR="00964A1E" w:rsidRPr="008150E3">
        <w:t xml:space="preserve"> (ej.: Los alumnos intentan hacer las cosas mejor que los demás)</w:t>
      </w:r>
      <w:r w:rsidR="00A35422" w:rsidRPr="008150E3">
        <w:t>, Promoción de comparación por el profesor (</w:t>
      </w:r>
      <w:r w:rsidR="00964A1E" w:rsidRPr="008150E3">
        <w:t>El profesor/a sólo se ocupa de quienes hacen bien los ejercicios</w:t>
      </w:r>
      <w:r w:rsidR="00A35422" w:rsidRPr="008150E3">
        <w:t>)</w:t>
      </w:r>
      <w:r w:rsidR="00964A1E" w:rsidRPr="008150E3">
        <w:t xml:space="preserve"> y Miedo de los alumnos a cometer errores (ej.: Los alumnos tienen miedo a cometer errores)</w:t>
      </w:r>
      <w:r w:rsidR="00A35422" w:rsidRPr="008150E3">
        <w:t xml:space="preserve">. Los dos primeros factores se </w:t>
      </w:r>
      <w:r w:rsidR="00A35422" w:rsidRPr="008150E3">
        <w:lastRenderedPageBreak/>
        <w:t xml:space="preserve">agrupan en un factor de </w:t>
      </w:r>
      <w:r w:rsidR="00964A1E" w:rsidRPr="008150E3">
        <w:t xml:space="preserve">segundo </w:t>
      </w:r>
      <w:r w:rsidR="00A35422" w:rsidRPr="008150E3">
        <w:t>orden denominado Aprendizaje</w:t>
      </w:r>
      <w:r w:rsidR="00964A1E" w:rsidRPr="008150E3">
        <w:t xml:space="preserve"> o </w:t>
      </w:r>
      <w:r w:rsidR="00A35422" w:rsidRPr="008150E3">
        <w:t>Maestría, y los tres últimos en el factor Comparación, Ejecución, o Rendimiento, según diferentes autores.</w:t>
      </w:r>
    </w:p>
    <w:p w:rsidR="00964A1E" w:rsidRPr="008150E3" w:rsidRDefault="00964A1E" w:rsidP="00964A1E">
      <w:pPr>
        <w:spacing w:before="120"/>
        <w:ind w:firstLine="284"/>
        <w:jc w:val="both"/>
      </w:pPr>
      <w:r w:rsidRPr="008150E3">
        <w:t>Tanto Gutiérrez &amp; Ruiz (2009) como Gutiérrez (2014) desarrolla</w:t>
      </w:r>
      <w:r w:rsidR="0016202A" w:rsidRPr="008150E3">
        <w:t>ron</w:t>
      </w:r>
      <w:r w:rsidRPr="008150E3">
        <w:t xml:space="preserve"> sucesivas comprobaciones de la adecuación de esta escala a muestras de adolescentes españoles, y mediante análisis factoriales confirmatorios obt</w:t>
      </w:r>
      <w:r w:rsidR="0016202A" w:rsidRPr="008150E3">
        <w:t>uvieron</w:t>
      </w:r>
      <w:r w:rsidRPr="008150E3">
        <w:t xml:space="preserve"> la misma estructura que Biddle, et al. (1995). La consistencia interna (coeficientes alfa de Cronbach) para cada uno de los factores obtenida por Gutiérrez (2014) es la siguiente: </w:t>
      </w:r>
      <w:r w:rsidR="00C46971" w:rsidRPr="008150E3">
        <w:t>Búsqueda de progreso por los alumnos (</w:t>
      </w:r>
      <w:r w:rsidR="00C46971" w:rsidRPr="008150E3">
        <w:rPr>
          <w:rFonts w:ascii="Symbol" w:hAnsi="Symbol"/>
        </w:rPr>
        <w:t></w:t>
      </w:r>
      <w:r w:rsidR="00C46971" w:rsidRPr="008150E3">
        <w:t xml:space="preserve"> = .93), Promoción de aprendizaje por el profesor (</w:t>
      </w:r>
      <w:r w:rsidR="00C46971" w:rsidRPr="008150E3">
        <w:rPr>
          <w:rFonts w:ascii="Symbol" w:hAnsi="Symbol"/>
        </w:rPr>
        <w:t></w:t>
      </w:r>
      <w:r w:rsidR="00C46971" w:rsidRPr="008150E3">
        <w:t xml:space="preserve"> = .85), Búsqueda de comparación por los alumnos (</w:t>
      </w:r>
      <w:r w:rsidR="00C46971" w:rsidRPr="008150E3">
        <w:rPr>
          <w:rFonts w:ascii="Symbol" w:hAnsi="Symbol"/>
        </w:rPr>
        <w:t></w:t>
      </w:r>
      <w:r w:rsidRPr="008150E3">
        <w:t xml:space="preserve"> = .77),</w:t>
      </w:r>
      <w:r w:rsidR="00C46971" w:rsidRPr="008150E3">
        <w:t xml:space="preserve"> Promoción de comparación por el profesor (</w:t>
      </w:r>
      <w:r w:rsidR="00C46971" w:rsidRPr="008150E3">
        <w:rPr>
          <w:rFonts w:ascii="Symbol" w:hAnsi="Symbol"/>
        </w:rPr>
        <w:t></w:t>
      </w:r>
      <w:r w:rsidR="00C46971" w:rsidRPr="008150E3">
        <w:t xml:space="preserve"> = .82)</w:t>
      </w:r>
      <w:r w:rsidR="00126A40" w:rsidRPr="008150E3">
        <w:t>,</w:t>
      </w:r>
      <w:r w:rsidRPr="008150E3">
        <w:t xml:space="preserve"> Miedo de los alumnos a cometer errores (</w:t>
      </w:r>
      <w:r w:rsidRPr="008150E3">
        <w:rPr>
          <w:rFonts w:ascii="Symbol" w:hAnsi="Symbol"/>
        </w:rPr>
        <w:t></w:t>
      </w:r>
      <w:r w:rsidRPr="008150E3">
        <w:t xml:space="preserve"> = .85)</w:t>
      </w:r>
      <w:r w:rsidR="00126A40" w:rsidRPr="008150E3">
        <w:t xml:space="preserve">, </w:t>
      </w:r>
      <w:r w:rsidR="00C46971" w:rsidRPr="008150E3">
        <w:t>Aprendizaje</w:t>
      </w:r>
      <w:r w:rsidR="00907732" w:rsidRPr="008150E3">
        <w:t xml:space="preserve"> o  M</w:t>
      </w:r>
      <w:r w:rsidR="00126A40" w:rsidRPr="008150E3">
        <w:t>aestría</w:t>
      </w:r>
      <w:r w:rsidR="00C46971" w:rsidRPr="008150E3">
        <w:t xml:space="preserve"> </w:t>
      </w:r>
      <w:r w:rsidR="00907732" w:rsidRPr="008150E3">
        <w:t>(</w:t>
      </w:r>
      <w:r w:rsidR="00C46971" w:rsidRPr="008150E3">
        <w:rPr>
          <w:rFonts w:ascii="Symbol" w:hAnsi="Symbol"/>
        </w:rPr>
        <w:t></w:t>
      </w:r>
      <w:r w:rsidR="00126A40" w:rsidRPr="008150E3">
        <w:t xml:space="preserve"> = .92)</w:t>
      </w:r>
      <w:r w:rsidR="00C46971" w:rsidRPr="008150E3">
        <w:t xml:space="preserve"> y Comparación</w:t>
      </w:r>
      <w:r w:rsidR="00907732" w:rsidRPr="008150E3">
        <w:t>, E</w:t>
      </w:r>
      <w:r w:rsidR="00C46971" w:rsidRPr="008150E3">
        <w:t xml:space="preserve">jecución, </w:t>
      </w:r>
      <w:r w:rsidR="00907732" w:rsidRPr="008150E3">
        <w:t>o R</w:t>
      </w:r>
      <w:r w:rsidR="00C46971" w:rsidRPr="008150E3">
        <w:t>endimiento</w:t>
      </w:r>
      <w:r w:rsidR="00126A40" w:rsidRPr="008150E3">
        <w:t xml:space="preserve"> </w:t>
      </w:r>
      <w:r w:rsidR="00907732" w:rsidRPr="008150E3">
        <w:t>(</w:t>
      </w:r>
      <w:r w:rsidR="00C46971" w:rsidRPr="008150E3">
        <w:rPr>
          <w:rFonts w:ascii="Symbol" w:hAnsi="Symbol"/>
        </w:rPr>
        <w:t></w:t>
      </w:r>
      <w:r w:rsidR="00C46971" w:rsidRPr="008150E3">
        <w:t xml:space="preserve"> = .91). </w:t>
      </w:r>
    </w:p>
    <w:p w:rsidR="00C46971" w:rsidRPr="008150E3" w:rsidRDefault="00B32888" w:rsidP="00C46971">
      <w:pPr>
        <w:spacing w:before="120"/>
        <w:ind w:firstLine="284"/>
        <w:jc w:val="both"/>
      </w:pPr>
      <w:r w:rsidRPr="008150E3">
        <w:t xml:space="preserve">Los coeficientes de consistencia interna (alfas) obtenidos en los cinco factores para la presente muestra han sido, respectivamente: .83, .83, .70, .74, .69. En cuanto a los factores de segundo orden su fiabilidad ha sido: Clima de Maestría </w:t>
      </w:r>
      <w:r w:rsidRPr="008150E3">
        <w:rPr>
          <w:rFonts w:ascii="Symbol" w:hAnsi="Symbol"/>
        </w:rPr>
        <w:t></w:t>
      </w:r>
      <w:r w:rsidRPr="008150E3">
        <w:t xml:space="preserve"> = .89 y Clima de Rendimiento </w:t>
      </w:r>
      <w:r w:rsidRPr="008150E3">
        <w:rPr>
          <w:rFonts w:ascii="Symbol" w:hAnsi="Symbol"/>
        </w:rPr>
        <w:t></w:t>
      </w:r>
      <w:r w:rsidRPr="008150E3">
        <w:t xml:space="preserve"> = .81. </w:t>
      </w:r>
    </w:p>
    <w:p w:rsidR="00C46971" w:rsidRPr="008150E3" w:rsidRDefault="00C46971" w:rsidP="00C46971">
      <w:pPr>
        <w:spacing w:before="120"/>
        <w:ind w:firstLine="284"/>
        <w:jc w:val="both"/>
      </w:pPr>
      <w:r w:rsidRPr="008150E3">
        <w:rPr>
          <w:i/>
        </w:rPr>
        <w:t>Orientación de metas de logro en EF</w:t>
      </w:r>
      <w:r w:rsidRPr="008150E3">
        <w:t xml:space="preserve">. Se ha utilizado la </w:t>
      </w:r>
      <w:r w:rsidRPr="008150E3">
        <w:rPr>
          <w:i/>
        </w:rPr>
        <w:t>Escala de Metas de Logro en EF 2X2</w:t>
      </w:r>
      <w:r w:rsidRPr="008150E3">
        <w:t xml:space="preserve">, que procede de los trabajos de Elliot </w:t>
      </w:r>
      <w:r w:rsidR="009F7119" w:rsidRPr="008150E3">
        <w:t>&amp;</w:t>
      </w:r>
      <w:r w:rsidRPr="008150E3">
        <w:t xml:space="preserve"> McGregor (2001), adaptada por Guan, Xiang, McBride </w:t>
      </w:r>
      <w:r w:rsidR="009F7119" w:rsidRPr="008150E3">
        <w:t>&amp;</w:t>
      </w:r>
      <w:r w:rsidRPr="008150E3">
        <w:t xml:space="preserve"> Burne (2006) al contexto de la EF. En este trabajo se empleó una adaptación española de Moreno, González-Cutre </w:t>
      </w:r>
      <w:r w:rsidR="009F7119" w:rsidRPr="008150E3">
        <w:t>&amp;</w:t>
      </w:r>
      <w:r w:rsidRPr="008150E3">
        <w:t xml:space="preserve"> Sicilia (2008). Está formado por 12 ítems ag</w:t>
      </w:r>
      <w:r w:rsidR="00907732" w:rsidRPr="008150E3">
        <w:t>rupados en cuatro dimensiones: Aproximación a la M</w:t>
      </w:r>
      <w:r w:rsidRPr="008150E3">
        <w:t>aestría (ej., “Es importante para mi entender el contenido de la asignatura t</w:t>
      </w:r>
      <w:r w:rsidR="00907732" w:rsidRPr="008150E3">
        <w:t>an a fondo como sea posible”), Evitación de la M</w:t>
      </w:r>
      <w:r w:rsidRPr="008150E3">
        <w:t>aestría (ej., “A menudo me preocupa no poder aprender t</w:t>
      </w:r>
      <w:r w:rsidR="00907732" w:rsidRPr="008150E3">
        <w:t>odo lo que hay que aprender”), Aproximación al R</w:t>
      </w:r>
      <w:r w:rsidRPr="008150E3">
        <w:t xml:space="preserve">endimiento (ej., “Mi objetivo es conseguir un mayor nivel que la </w:t>
      </w:r>
      <w:r w:rsidR="00907732" w:rsidRPr="008150E3">
        <w:t>mayoría de los estudiantes), y Evitación del R</w:t>
      </w:r>
      <w:r w:rsidRPr="008150E3">
        <w:t>endimiento (ej., “Mi objetivo es evitar hacerlo mal”). Moreno</w:t>
      </w:r>
      <w:r w:rsidR="00415119" w:rsidRPr="008150E3">
        <w:t>,</w:t>
      </w:r>
      <w:r w:rsidRPr="008150E3">
        <w:t xml:space="preserve"> et al. (2008) </w:t>
      </w:r>
      <w:r w:rsidR="0031491F" w:rsidRPr="008150E3">
        <w:t>obtuvieron</w:t>
      </w:r>
      <w:r w:rsidRPr="008150E3">
        <w:t xml:space="preserve"> valores de fiabilidad de .70, .71, .67 y .72, respectivamente.</w:t>
      </w:r>
      <w:r w:rsidR="00B32888" w:rsidRPr="008150E3">
        <w:t xml:space="preserve"> Los </w:t>
      </w:r>
      <w:r w:rsidR="00CB52B8" w:rsidRPr="008150E3">
        <w:t>coeficientes alfa</w:t>
      </w:r>
      <w:r w:rsidR="00B32888" w:rsidRPr="008150E3">
        <w:t xml:space="preserve"> obtenidos con esta muestra de estudio han sido, respectivamente: .82, .73, .72, .69.</w:t>
      </w:r>
    </w:p>
    <w:p w:rsidR="00C46971" w:rsidRPr="008150E3" w:rsidRDefault="00C46971" w:rsidP="00C46971">
      <w:pPr>
        <w:spacing w:before="120"/>
        <w:ind w:firstLine="284"/>
        <w:jc w:val="both"/>
      </w:pPr>
      <w:r w:rsidRPr="008150E3">
        <w:rPr>
          <w:i/>
        </w:rPr>
        <w:t>Bienestar subjetivo</w:t>
      </w:r>
      <w:r w:rsidRPr="008150E3">
        <w:t xml:space="preserve">. Se empleó la </w:t>
      </w:r>
      <w:r w:rsidRPr="008150E3">
        <w:rPr>
          <w:i/>
        </w:rPr>
        <w:t>Satisfaction with Life Scale-SWLS</w:t>
      </w:r>
      <w:r w:rsidRPr="008150E3">
        <w:t xml:space="preserve"> (Pavot </w:t>
      </w:r>
      <w:r w:rsidR="009F7119" w:rsidRPr="008150E3">
        <w:t>&amp;</w:t>
      </w:r>
      <w:r w:rsidRPr="008150E3">
        <w:t xml:space="preserve"> Diener, 2008). Esta escala ha aportado evidencias de validez y fiabilidad en numerosos países y con muestras de diferentes edades y condiciones sociales. Está compuesta por cinco ítems, cuyo objetivo es proporcionar un índice general de satisfacción con la vida referido a la percepción de bienestar subjetivo (ejemplos: “Estoy satisfecho con mi vida”; “En la mayoría de los aspectos mi vida es como quiero que sea”). </w:t>
      </w:r>
      <w:r w:rsidR="00B32888" w:rsidRPr="008150E3">
        <w:t xml:space="preserve">La consistencia interna de esta escala </w:t>
      </w:r>
      <w:r w:rsidR="0031491F" w:rsidRPr="008150E3">
        <w:t>para</w:t>
      </w:r>
      <w:r w:rsidR="00B32888" w:rsidRPr="008150E3">
        <w:t xml:space="preserve"> la presente muestra ha sido de </w:t>
      </w:r>
      <w:r w:rsidR="00B32888" w:rsidRPr="008150E3">
        <w:rPr>
          <w:rFonts w:ascii="Symbol" w:hAnsi="Symbol"/>
        </w:rPr>
        <w:t></w:t>
      </w:r>
      <w:r w:rsidR="00B32888" w:rsidRPr="008150E3">
        <w:t xml:space="preserve"> = .81.</w:t>
      </w:r>
    </w:p>
    <w:p w:rsidR="00BD276D" w:rsidRPr="008150E3" w:rsidRDefault="00C46971" w:rsidP="00C46971">
      <w:pPr>
        <w:spacing w:before="120"/>
        <w:ind w:firstLine="284"/>
        <w:jc w:val="both"/>
      </w:pPr>
      <w:r w:rsidRPr="008150E3">
        <w:t xml:space="preserve">En todos los instrumentos utilizados, los alumnos debían indicar su grado de acuerdo con cada una de las expresiones en una escala </w:t>
      </w:r>
      <w:r w:rsidR="007720AE" w:rsidRPr="008150E3">
        <w:t xml:space="preserve">tipo </w:t>
      </w:r>
      <w:r w:rsidRPr="008150E3">
        <w:t>Likert con cinco a</w:t>
      </w:r>
      <w:r w:rsidR="00E244C1" w:rsidRPr="008150E3">
        <w:t>lternativas</w:t>
      </w:r>
      <w:r w:rsidRPr="008150E3">
        <w:t xml:space="preserve">, desde (1) </w:t>
      </w:r>
      <w:r w:rsidRPr="008150E3">
        <w:rPr>
          <w:i/>
        </w:rPr>
        <w:t>totalmente en desacuerdo</w:t>
      </w:r>
      <w:r w:rsidRPr="008150E3">
        <w:t xml:space="preserve">, hasta (5) </w:t>
      </w:r>
      <w:r w:rsidRPr="008150E3">
        <w:rPr>
          <w:i/>
        </w:rPr>
        <w:t>totalmente de acuerdo</w:t>
      </w:r>
      <w:r w:rsidRPr="008150E3">
        <w:t>.</w:t>
      </w:r>
    </w:p>
    <w:p w:rsidR="00BD276D" w:rsidRPr="008150E3" w:rsidRDefault="00BD276D" w:rsidP="0031491F">
      <w:pPr>
        <w:spacing w:before="120"/>
        <w:jc w:val="both"/>
        <w:rPr>
          <w:b/>
          <w:i/>
        </w:rPr>
      </w:pPr>
      <w:r w:rsidRPr="008150E3">
        <w:rPr>
          <w:b/>
          <w:i/>
        </w:rPr>
        <w:t>Procedimiento.</w:t>
      </w:r>
    </w:p>
    <w:p w:rsidR="00BD276D" w:rsidRPr="008150E3" w:rsidRDefault="00FA23A9" w:rsidP="0031491F">
      <w:pPr>
        <w:spacing w:before="120"/>
        <w:ind w:firstLine="284"/>
        <w:jc w:val="both"/>
      </w:pPr>
      <w:r w:rsidRPr="008150E3">
        <w:t xml:space="preserve">Tras obtener la aprobación del personal directivo de los centros educativos y deportivos, se enviaron cartas a los padres de los alumnos solicitándoles permiso para la participación de sus hijos, por ser éstos menores de edad. </w:t>
      </w:r>
      <w:r w:rsidR="0031491F" w:rsidRPr="008150E3">
        <w:t>Sólo los alumnos que informaron de la autorización expresa de sus padres o tutores legal</w:t>
      </w:r>
      <w:r w:rsidR="00FE62AE" w:rsidRPr="008150E3">
        <w:t xml:space="preserve">es tomaron parte en el estudio. Todos los alumnos que participaron lo hicieron voluntariamente. </w:t>
      </w:r>
      <w:r w:rsidRPr="008150E3">
        <w:t>Los instrument</w:t>
      </w:r>
      <w:r w:rsidR="0031491F" w:rsidRPr="008150E3">
        <w:t>os fueron aplicados en diversa</w:t>
      </w:r>
      <w:r w:rsidRPr="008150E3">
        <w:t xml:space="preserve">s </w:t>
      </w:r>
      <w:r w:rsidR="0031491F" w:rsidRPr="008150E3">
        <w:t>instalaciones</w:t>
      </w:r>
      <w:r w:rsidRPr="008150E3">
        <w:t xml:space="preserve"> deportiv</w:t>
      </w:r>
      <w:r w:rsidR="0031491F" w:rsidRPr="008150E3">
        <w:t>a</w:t>
      </w:r>
      <w:r w:rsidRPr="008150E3">
        <w:t>s y en diferentes c</w:t>
      </w:r>
      <w:r w:rsidR="0031491F" w:rsidRPr="008150E3">
        <w:t>entros</w:t>
      </w:r>
      <w:r w:rsidRPr="008150E3">
        <w:t xml:space="preserve"> </w:t>
      </w:r>
      <w:r w:rsidRPr="008150E3">
        <w:lastRenderedPageBreak/>
        <w:t xml:space="preserve">de </w:t>
      </w:r>
      <w:r w:rsidR="0031491F" w:rsidRPr="008150E3">
        <w:t>Educación Secundaria y Bachillerato</w:t>
      </w:r>
      <w:r w:rsidRPr="008150E3">
        <w:t>. El tiempo invertido por los alumnos-deportistas para responder las escalas no superó los 15 minutos.</w:t>
      </w:r>
    </w:p>
    <w:p w:rsidR="00BD276D" w:rsidRPr="00217CF7" w:rsidRDefault="0031491F" w:rsidP="0031491F">
      <w:pPr>
        <w:spacing w:before="120"/>
        <w:jc w:val="both"/>
        <w:rPr>
          <w:b/>
          <w:i/>
        </w:rPr>
      </w:pPr>
      <w:r w:rsidRPr="00217CF7">
        <w:rPr>
          <w:b/>
          <w:i/>
        </w:rPr>
        <w:t>Análisis estadísticos</w:t>
      </w:r>
    </w:p>
    <w:p w:rsidR="00E8255B" w:rsidRPr="00217CF7" w:rsidRDefault="00C13869" w:rsidP="0031491F">
      <w:pPr>
        <w:spacing w:before="120"/>
        <w:ind w:firstLine="284"/>
        <w:jc w:val="both"/>
      </w:pPr>
      <w:r w:rsidRPr="00217CF7">
        <w:t xml:space="preserve">Aparte de calcular la consistencia interna, a través del coeficiente alfa de Cronbach, de cada una de las dimensiones de los instrumentos utilizados para la recogida de datos, se calcularon asimismo las correlaciones entre todas las variables estudiadas. Seguidamente, se sometió a verificación, </w:t>
      </w:r>
      <w:r w:rsidR="00D76A8B" w:rsidRPr="00217CF7">
        <w:t>mediante Modelos</w:t>
      </w:r>
      <w:r w:rsidRPr="00217CF7">
        <w:t xml:space="preserve"> de Ecuaciones Estructurales con factores latentes, el modelo teórico que se muestra en la Fig. 1, para predecir la satisfacción con la vida de los adolescentes a partir del clima motivacional de la clase de EF y la orientación de metas de logro de los alumnos.</w:t>
      </w:r>
    </w:p>
    <w:p w:rsidR="00BD276D" w:rsidRPr="00DC106D" w:rsidRDefault="00E8255B" w:rsidP="001607AD">
      <w:pPr>
        <w:spacing w:before="120"/>
        <w:ind w:firstLine="284"/>
        <w:jc w:val="both"/>
      </w:pPr>
      <w:r w:rsidRPr="00DC106D">
        <w:t xml:space="preserve">Los modelos confirmatorios se han estimado mediante </w:t>
      </w:r>
      <w:r w:rsidR="00217CF7" w:rsidRPr="00DC106D">
        <w:t>WLSMV (Weighted Least Squares Means and Variances corrected)</w:t>
      </w:r>
      <w:r w:rsidRPr="00DC106D">
        <w:t>, dada la falta de normalidad de las variables</w:t>
      </w:r>
      <w:r w:rsidR="00217CF7" w:rsidRPr="00DC106D">
        <w:t xml:space="preserve"> y la naturaleza ordinal de los ítems de las escalas</w:t>
      </w:r>
      <w:r w:rsidRPr="00DC106D">
        <w:t xml:space="preserve"> (Finney &amp; DiStefano, 2006). El ajuste de los modelos se ha evaluado utilizando los criterios habitualmente recomendados en la literatura</w:t>
      </w:r>
      <w:r w:rsidR="00217CF7" w:rsidRPr="00DC106D">
        <w:t xml:space="preserve"> y disponibles para este tipo de estimación</w:t>
      </w:r>
      <w:r w:rsidRPr="00DC106D">
        <w:t xml:space="preserve"> (Hu &amp; Bentler, 1999). Concretamente, los estadísticos e índices de ajuste utilizados son: (a) estadístico χ</w:t>
      </w:r>
      <w:r w:rsidRPr="00DC106D">
        <w:rPr>
          <w:vertAlign w:val="superscript"/>
        </w:rPr>
        <w:t>2</w:t>
      </w:r>
      <w:r w:rsidRPr="00DC106D">
        <w:t xml:space="preserve"> (Kaplan, 2000); (b) Comparative Fit Index (CFI; Bentler, 1990) mayor de .90 (e idealmente mayor de .95; Hu &amp; Bentler, 1999</w:t>
      </w:r>
      <w:r w:rsidR="00DC106D" w:rsidRPr="00DC106D">
        <w:t xml:space="preserve">); </w:t>
      </w:r>
      <w:r w:rsidRPr="00DC106D">
        <w:t>y (</w:t>
      </w:r>
      <w:r w:rsidR="00DC106D" w:rsidRPr="00DC106D">
        <w:t>c</w:t>
      </w:r>
      <w:r w:rsidRPr="00DC106D">
        <w:t>) Root Mean Square Error of Approximation (RMSEA), cuyos valores son aceptables cuando son iguales o menores a .0</w:t>
      </w:r>
      <w:r w:rsidR="00DC106D" w:rsidRPr="00DC106D">
        <w:t>8, y excelentes si son menores de .05</w:t>
      </w:r>
    </w:p>
    <w:p w:rsidR="00BD276D" w:rsidRPr="00DC106D" w:rsidRDefault="00BD276D" w:rsidP="0031491F">
      <w:pPr>
        <w:spacing w:before="120"/>
        <w:jc w:val="center"/>
        <w:rPr>
          <w:b/>
        </w:rPr>
      </w:pPr>
      <w:r w:rsidRPr="00DC106D">
        <w:rPr>
          <w:b/>
        </w:rPr>
        <w:t>Resultados</w:t>
      </w:r>
    </w:p>
    <w:p w:rsidR="00BD276D" w:rsidRPr="00DC106D" w:rsidRDefault="00613A75" w:rsidP="0031491F">
      <w:pPr>
        <w:spacing w:before="120"/>
        <w:jc w:val="both"/>
        <w:rPr>
          <w:b/>
          <w:i/>
        </w:rPr>
      </w:pPr>
      <w:r w:rsidRPr="00DC106D">
        <w:rPr>
          <w:b/>
          <w:i/>
        </w:rPr>
        <w:t>Resultados descriptivos</w:t>
      </w:r>
    </w:p>
    <w:p w:rsidR="00C311F8" w:rsidRPr="00DC106D" w:rsidRDefault="00F63CAF" w:rsidP="00F63CAF">
      <w:pPr>
        <w:spacing w:before="120"/>
        <w:ind w:firstLine="284"/>
        <w:jc w:val="both"/>
      </w:pPr>
      <w:r w:rsidRPr="00DC106D">
        <w:t>Según los resultados mostrados en la Tabla 2, las puntuaciones más altas otorgadas por los alumnos han correspondido a la percepción de promoción del aprendizaje por el profesor (</w:t>
      </w:r>
      <w:r w:rsidRPr="00DC106D">
        <w:rPr>
          <w:i/>
        </w:rPr>
        <w:t>M</w:t>
      </w:r>
      <w:r w:rsidRPr="00DC106D">
        <w:t xml:space="preserve"> = 3.54, </w:t>
      </w:r>
      <w:r w:rsidRPr="00DC106D">
        <w:rPr>
          <w:i/>
        </w:rPr>
        <w:t>DT</w:t>
      </w:r>
      <w:r w:rsidRPr="00DC106D">
        <w:t xml:space="preserve"> = 0</w:t>
      </w:r>
      <w:r w:rsidR="0016797E" w:rsidRPr="00DC106D">
        <w:t>.</w:t>
      </w:r>
      <w:r w:rsidRPr="00DC106D">
        <w:t>95), la orientación de meta de aproximación a la maestría (</w:t>
      </w:r>
      <w:r w:rsidRPr="00DC106D">
        <w:rPr>
          <w:i/>
        </w:rPr>
        <w:t>M</w:t>
      </w:r>
      <w:r w:rsidRPr="00DC106D">
        <w:t xml:space="preserve"> = 3.44, </w:t>
      </w:r>
      <w:r w:rsidRPr="00DC106D">
        <w:rPr>
          <w:i/>
        </w:rPr>
        <w:t>DT</w:t>
      </w:r>
      <w:r w:rsidRPr="00DC106D">
        <w:t xml:space="preserve"> = 0</w:t>
      </w:r>
      <w:r w:rsidR="0016797E" w:rsidRPr="00DC106D">
        <w:t>.</w:t>
      </w:r>
      <w:r w:rsidRPr="00DC106D">
        <w:t>98) y la satisfacción con la vida (</w:t>
      </w:r>
      <w:r w:rsidRPr="00DC106D">
        <w:rPr>
          <w:i/>
        </w:rPr>
        <w:t>M</w:t>
      </w:r>
      <w:r w:rsidRPr="00DC106D">
        <w:t xml:space="preserve"> = 3.60, </w:t>
      </w:r>
      <w:r w:rsidRPr="00DC106D">
        <w:rPr>
          <w:i/>
        </w:rPr>
        <w:t>DT</w:t>
      </w:r>
      <w:r w:rsidRPr="00DC106D">
        <w:t xml:space="preserve"> = 0</w:t>
      </w:r>
      <w:r w:rsidR="0016797E" w:rsidRPr="00DC106D">
        <w:t>.</w:t>
      </w:r>
      <w:r w:rsidRPr="00DC106D">
        <w:t xml:space="preserve">76). </w:t>
      </w:r>
      <w:r w:rsidR="0016797E" w:rsidRPr="00DC106D">
        <w:t>Las variables a las que se les ha otorgado menor puntuación han sido la percepción de promoción de comparación por el profesor (</w:t>
      </w:r>
      <w:r w:rsidR="0016797E" w:rsidRPr="00DC106D">
        <w:rPr>
          <w:i/>
        </w:rPr>
        <w:t>M</w:t>
      </w:r>
      <w:r w:rsidR="0016797E" w:rsidRPr="00DC106D">
        <w:t xml:space="preserve"> = 2.72, </w:t>
      </w:r>
      <w:r w:rsidR="0016797E" w:rsidRPr="00DC106D">
        <w:rPr>
          <w:i/>
        </w:rPr>
        <w:t>DT</w:t>
      </w:r>
      <w:r w:rsidR="0016797E" w:rsidRPr="00DC106D">
        <w:t xml:space="preserve"> = 0.82) y el miedo a cometer errores (</w:t>
      </w:r>
      <w:r w:rsidR="0016797E" w:rsidRPr="00DC106D">
        <w:rPr>
          <w:i/>
        </w:rPr>
        <w:t>M</w:t>
      </w:r>
      <w:r w:rsidR="0016797E" w:rsidRPr="00DC106D">
        <w:t xml:space="preserve"> = 2.82, </w:t>
      </w:r>
      <w:r w:rsidR="0016797E" w:rsidRPr="00DC106D">
        <w:rPr>
          <w:i/>
        </w:rPr>
        <w:t>DT</w:t>
      </w:r>
      <w:r w:rsidR="0016797E" w:rsidRPr="00DC106D">
        <w:t xml:space="preserve"> = 0.82). En cuanto a la fiabilidad de los instrumentos utilizados, todos ellos han mostrado una buena consistencia interna excepto dos factores, el del clima de promoción de comparación por el profesor y el de la orientación de evitación del rendimiento que han obtenido valores de alfa igual a .69, próximos al .70 habitualmente reconocido como satisfactorio</w:t>
      </w:r>
      <w:r w:rsidR="00A35422" w:rsidRPr="00DC106D">
        <w:t>, según recomendación de Nunnally (1978)</w:t>
      </w:r>
      <w:r w:rsidR="0016797E" w:rsidRPr="00DC106D">
        <w:t>. Una razón para este menor nivel de los alfa puede ser que ambos factores están formados únicamente por tres ítems cada uno.</w:t>
      </w:r>
    </w:p>
    <w:p w:rsidR="004F234C" w:rsidRDefault="00C311F8" w:rsidP="00F63CAF">
      <w:pPr>
        <w:spacing w:before="120"/>
        <w:ind w:firstLine="284"/>
        <w:jc w:val="both"/>
      </w:pPr>
      <w:r w:rsidRPr="00DC106D">
        <w:t>Con respecto a las relaciones entre las variables estudiadas, cabe destacar</w:t>
      </w:r>
      <w:r w:rsidR="00A245CD" w:rsidRPr="00DC106D">
        <w:t xml:space="preserve">, aparte de las lógicas correlaciones </w:t>
      </w:r>
      <w:r w:rsidR="00103A85" w:rsidRPr="00DC106D">
        <w:t xml:space="preserve">elevadas </w:t>
      </w:r>
      <w:r w:rsidR="00A245CD" w:rsidRPr="00DC106D">
        <w:t xml:space="preserve">entre la búsqueda de progreso por los alumnos y la promoción de aprendizaje por el profesor con el clima de maestría (como factor de segundo orden agrupador de las dos variables anteriores), </w:t>
      </w:r>
      <w:r w:rsidRPr="00DC106D">
        <w:t xml:space="preserve">la relación positiva </w:t>
      </w:r>
      <w:r w:rsidR="00BD73E1" w:rsidRPr="00DC106D">
        <w:t>de</w:t>
      </w:r>
      <w:r w:rsidR="00A245CD" w:rsidRPr="00DC106D">
        <w:t xml:space="preserve"> la búsqueda de progreso por los alumnos con la aproximación a la maestría (r = .69, p &lt;.01), </w:t>
      </w:r>
      <w:r w:rsidR="00BD73E1" w:rsidRPr="00DC106D">
        <w:t xml:space="preserve"> </w:t>
      </w:r>
      <w:r w:rsidR="00A245CD" w:rsidRPr="00DC106D">
        <w:t xml:space="preserve">la relación </w:t>
      </w:r>
      <w:r w:rsidR="00DC2DF0" w:rsidRPr="00DC106D">
        <w:t>d</w:t>
      </w:r>
      <w:r w:rsidR="00A245CD" w:rsidRPr="00DC106D">
        <w:t xml:space="preserve">el </w:t>
      </w:r>
      <w:r w:rsidR="00BD73E1" w:rsidRPr="00DC106D">
        <w:t>clima de maestría con la orientación de meta de aproximación a la maestría</w:t>
      </w:r>
      <w:r w:rsidRPr="00DC106D">
        <w:t xml:space="preserve"> (r</w:t>
      </w:r>
      <w:r w:rsidR="00415119" w:rsidRPr="00DC106D">
        <w:t xml:space="preserve"> </w:t>
      </w:r>
      <w:r w:rsidRPr="00DC106D">
        <w:t>= .</w:t>
      </w:r>
      <w:r w:rsidR="00BD73E1" w:rsidRPr="00DC106D">
        <w:t>68, p &lt;.01) y con</w:t>
      </w:r>
      <w:r w:rsidRPr="00DC106D">
        <w:t xml:space="preserve"> </w:t>
      </w:r>
      <w:r w:rsidR="00BD73E1" w:rsidRPr="00DC106D">
        <w:t>la satisfacción con la vida</w:t>
      </w:r>
      <w:r w:rsidRPr="00DC106D">
        <w:t xml:space="preserve"> (r</w:t>
      </w:r>
      <w:r w:rsidR="00BD73E1" w:rsidRPr="00DC106D">
        <w:t xml:space="preserve"> </w:t>
      </w:r>
      <w:r w:rsidRPr="00DC106D">
        <w:t>= .</w:t>
      </w:r>
      <w:r w:rsidR="00BD73E1" w:rsidRPr="00DC106D">
        <w:t>62</w:t>
      </w:r>
      <w:r w:rsidRPr="00DC106D">
        <w:t>, p &lt;.01), el</w:t>
      </w:r>
      <w:r w:rsidR="00BD73E1" w:rsidRPr="00DC106D">
        <w:t xml:space="preserve"> clima de rendimiento con la evitación del rendimiento</w:t>
      </w:r>
      <w:r w:rsidRPr="00DC106D">
        <w:t xml:space="preserve"> (r</w:t>
      </w:r>
      <w:r w:rsidR="00BD73E1" w:rsidRPr="00DC106D">
        <w:t xml:space="preserve"> </w:t>
      </w:r>
      <w:r w:rsidRPr="00DC106D">
        <w:t>= .</w:t>
      </w:r>
      <w:r w:rsidR="00BD73E1" w:rsidRPr="00DC106D">
        <w:t>50</w:t>
      </w:r>
      <w:r w:rsidRPr="00DC106D">
        <w:t xml:space="preserve">, p &lt;.01), </w:t>
      </w:r>
      <w:r w:rsidR="00BD73E1" w:rsidRPr="00DC106D">
        <w:t>la aproximación a la maestría con la aproximación al rendimiento</w:t>
      </w:r>
      <w:r w:rsidRPr="00DC106D">
        <w:t xml:space="preserve"> (r</w:t>
      </w:r>
      <w:r w:rsidR="00BD73E1" w:rsidRPr="00DC106D">
        <w:t xml:space="preserve"> </w:t>
      </w:r>
      <w:r w:rsidRPr="00DC106D">
        <w:t>= .</w:t>
      </w:r>
      <w:r w:rsidR="00BD73E1" w:rsidRPr="00DC106D">
        <w:t>56</w:t>
      </w:r>
      <w:r w:rsidRPr="00DC106D">
        <w:t xml:space="preserve">, p &lt;.01) y </w:t>
      </w:r>
      <w:r w:rsidR="00BD73E1" w:rsidRPr="00DC106D">
        <w:t xml:space="preserve">con </w:t>
      </w:r>
      <w:r w:rsidRPr="00DC106D">
        <w:t>la satisfacción con la vida (r</w:t>
      </w:r>
      <w:r w:rsidR="00BD73E1" w:rsidRPr="00DC106D">
        <w:t xml:space="preserve"> </w:t>
      </w:r>
      <w:r w:rsidRPr="00DC106D">
        <w:t>= .</w:t>
      </w:r>
      <w:r w:rsidR="00A245CD" w:rsidRPr="00DC106D">
        <w:t xml:space="preserve">50, p &lt;.01), </w:t>
      </w:r>
      <w:r w:rsidR="00DC2DF0" w:rsidRPr="00DC106D">
        <w:t xml:space="preserve">y </w:t>
      </w:r>
      <w:r w:rsidR="00A245CD" w:rsidRPr="00DC106D">
        <w:t>la evitación de la maestría con la evitación del rendimiento (r = .56, p &lt;.01).</w:t>
      </w:r>
      <w:r w:rsidR="00A245CD" w:rsidRPr="00DC106D">
        <w:rPr>
          <w:highlight w:val="green"/>
        </w:rPr>
        <w:t xml:space="preserve"> </w:t>
      </w:r>
    </w:p>
    <w:p w:rsidR="00F63CAF" w:rsidRPr="00DC106D" w:rsidRDefault="004F234C" w:rsidP="004F234C">
      <w:pPr>
        <w:spacing w:before="120"/>
        <w:jc w:val="center"/>
      </w:pPr>
      <w:r>
        <w:lastRenderedPageBreak/>
        <w:t>PONER POR AQUÍ TABLA 2</w:t>
      </w:r>
    </w:p>
    <w:p w:rsidR="00D36F10" w:rsidRPr="00DC106D" w:rsidRDefault="00D36F10" w:rsidP="00D36F10">
      <w:pPr>
        <w:spacing w:before="120"/>
        <w:jc w:val="both"/>
        <w:rPr>
          <w:b/>
          <w:i/>
        </w:rPr>
      </w:pPr>
      <w:r w:rsidRPr="00DC106D">
        <w:rPr>
          <w:b/>
          <w:i/>
        </w:rPr>
        <w:t>Predicción de la satisfacción con la vida de los alumnos</w:t>
      </w:r>
    </w:p>
    <w:p w:rsidR="00F35487" w:rsidRPr="00DC106D" w:rsidRDefault="00D36F10" w:rsidP="008E40F1">
      <w:pPr>
        <w:pStyle w:val="Default"/>
        <w:spacing w:before="120"/>
        <w:ind w:firstLine="284"/>
        <w:jc w:val="both"/>
        <w:rPr>
          <w:rFonts w:ascii="Times New Roman" w:hAnsi="Times New Roman" w:cs="Times New Roman"/>
          <w:color w:val="auto"/>
        </w:rPr>
      </w:pPr>
      <w:r w:rsidRPr="00DC106D">
        <w:rPr>
          <w:rFonts w:ascii="Times New Roman" w:hAnsi="Times New Roman" w:cs="Times New Roman"/>
          <w:color w:val="auto"/>
        </w:rPr>
        <w:t xml:space="preserve">El modelo hipotético inicial planteaba que la </w:t>
      </w:r>
      <w:r w:rsidR="00354DF4" w:rsidRPr="00DC106D">
        <w:rPr>
          <w:rFonts w:ascii="Times New Roman" w:hAnsi="Times New Roman" w:cs="Times New Roman"/>
          <w:color w:val="auto"/>
        </w:rPr>
        <w:t xml:space="preserve">percepción del clima motivacional de la clase sería capaz de predecir la orientación de metas de logro la cual, a su vez, tendría capacidad predictiva sobre la satisfacción con la vida de los alumnos. </w:t>
      </w:r>
      <w:r w:rsidRPr="00DC106D">
        <w:rPr>
          <w:rFonts w:ascii="Times New Roman" w:hAnsi="Times New Roman" w:cs="Times New Roman"/>
          <w:color w:val="auto"/>
        </w:rPr>
        <w:t xml:space="preserve">Este modelo general </w:t>
      </w:r>
      <w:r w:rsidRPr="00DC106D">
        <w:rPr>
          <w:rFonts w:ascii="Times New Roman" w:hAnsi="Times New Roman" w:cs="Times New Roman"/>
          <w:i/>
          <w:color w:val="auto"/>
        </w:rPr>
        <w:t>a-priori</w:t>
      </w:r>
      <w:r w:rsidRPr="00DC106D">
        <w:rPr>
          <w:rFonts w:ascii="Times New Roman" w:hAnsi="Times New Roman" w:cs="Times New Roman"/>
          <w:color w:val="auto"/>
        </w:rPr>
        <w:t xml:space="preserve"> se puso a prueba mediante ecuaciones estructurales, obteniendo los siguientes índices de ajuste:</w:t>
      </w:r>
      <w:r w:rsidR="008E40F1" w:rsidRPr="00DC106D">
        <w:rPr>
          <w:rFonts w:ascii="Times New Roman" w:hAnsi="Times New Roman" w:cs="Times New Roman"/>
          <w:color w:val="auto"/>
        </w:rPr>
        <w:t xml:space="preserve"> </w:t>
      </w:r>
      <w:r w:rsidR="00F35487" w:rsidRPr="00DC106D">
        <w:rPr>
          <w:rFonts w:ascii="Times New Roman" w:hAnsi="Times New Roman" w:cs="Times New Roman"/>
          <w:i/>
          <w:iCs/>
          <w:color w:val="auto"/>
        </w:rPr>
        <w:t>χ</w:t>
      </w:r>
      <w:r w:rsidR="00F35487" w:rsidRPr="00DC106D">
        <w:rPr>
          <w:rFonts w:ascii="Times New Roman" w:hAnsi="Times New Roman" w:cs="Times New Roman"/>
          <w:color w:val="auto"/>
          <w:vertAlign w:val="superscript"/>
        </w:rPr>
        <w:t>2</w:t>
      </w:r>
      <w:r w:rsidR="008E40F1" w:rsidRPr="00DC106D">
        <w:rPr>
          <w:rFonts w:ascii="Times New Roman" w:hAnsi="Times New Roman" w:cs="Times New Roman"/>
          <w:color w:val="auto"/>
          <w:vertAlign w:val="subscript"/>
        </w:rPr>
        <w:t>190</w:t>
      </w:r>
      <w:r w:rsidR="00F35487" w:rsidRPr="00DC106D">
        <w:rPr>
          <w:rFonts w:ascii="Times New Roman" w:hAnsi="Times New Roman" w:cs="Times New Roman"/>
          <w:color w:val="auto"/>
        </w:rPr>
        <w:t xml:space="preserve"> = </w:t>
      </w:r>
      <w:r w:rsidR="00DC106D" w:rsidRPr="00DC106D">
        <w:rPr>
          <w:rFonts w:ascii="Times New Roman" w:hAnsi="Times New Roman" w:cs="Times New Roman"/>
          <w:color w:val="auto"/>
        </w:rPr>
        <w:t>66</w:t>
      </w:r>
      <w:r w:rsidR="00F35487" w:rsidRPr="00DC106D">
        <w:rPr>
          <w:rFonts w:ascii="Times New Roman" w:hAnsi="Times New Roman" w:cs="Times New Roman"/>
          <w:color w:val="auto"/>
        </w:rPr>
        <w:t>0.</w:t>
      </w:r>
      <w:r w:rsidR="00DC106D" w:rsidRPr="00DC106D">
        <w:rPr>
          <w:rFonts w:ascii="Times New Roman" w:hAnsi="Times New Roman" w:cs="Times New Roman"/>
          <w:color w:val="auto"/>
        </w:rPr>
        <w:t>1</w:t>
      </w:r>
      <w:r w:rsidR="008E40F1" w:rsidRPr="00DC106D">
        <w:rPr>
          <w:rFonts w:ascii="Times New Roman" w:hAnsi="Times New Roman" w:cs="Times New Roman"/>
          <w:color w:val="auto"/>
        </w:rPr>
        <w:t>2</w:t>
      </w:r>
      <w:r w:rsidR="00F35487" w:rsidRPr="00DC106D">
        <w:rPr>
          <w:rFonts w:ascii="Times New Roman" w:hAnsi="Times New Roman" w:cs="Times New Roman"/>
          <w:color w:val="auto"/>
        </w:rPr>
        <w:t xml:space="preserve">, </w:t>
      </w:r>
      <w:r w:rsidR="00F35487" w:rsidRPr="00DC106D">
        <w:rPr>
          <w:rFonts w:ascii="Times New Roman" w:hAnsi="Times New Roman" w:cs="Times New Roman"/>
          <w:i/>
          <w:iCs/>
          <w:color w:val="auto"/>
        </w:rPr>
        <w:t>p</w:t>
      </w:r>
      <w:r w:rsidR="00F35487" w:rsidRPr="00DC106D">
        <w:rPr>
          <w:rFonts w:ascii="Times New Roman" w:hAnsi="Times New Roman" w:cs="Times New Roman"/>
          <w:color w:val="auto"/>
        </w:rPr>
        <w:t>&lt; .</w:t>
      </w:r>
      <w:r w:rsidR="008E40F1" w:rsidRPr="00DC106D">
        <w:rPr>
          <w:rFonts w:ascii="Times New Roman" w:hAnsi="Times New Roman" w:cs="Times New Roman"/>
          <w:color w:val="auto"/>
        </w:rPr>
        <w:t>0</w:t>
      </w:r>
      <w:r w:rsidR="00F35487" w:rsidRPr="00DC106D">
        <w:rPr>
          <w:rFonts w:ascii="Times New Roman" w:hAnsi="Times New Roman" w:cs="Times New Roman"/>
          <w:color w:val="auto"/>
        </w:rPr>
        <w:t>01, CFI = .</w:t>
      </w:r>
      <w:r w:rsidR="008E40F1" w:rsidRPr="00DC106D">
        <w:rPr>
          <w:rFonts w:ascii="Times New Roman" w:hAnsi="Times New Roman" w:cs="Times New Roman"/>
          <w:color w:val="auto"/>
        </w:rPr>
        <w:t>8</w:t>
      </w:r>
      <w:r w:rsidR="00DC106D" w:rsidRPr="00DC106D">
        <w:rPr>
          <w:rFonts w:ascii="Times New Roman" w:hAnsi="Times New Roman" w:cs="Times New Roman"/>
          <w:color w:val="auto"/>
        </w:rPr>
        <w:t>5</w:t>
      </w:r>
      <w:r w:rsidR="00F35487" w:rsidRPr="00DC106D">
        <w:rPr>
          <w:rFonts w:ascii="Times New Roman" w:hAnsi="Times New Roman" w:cs="Times New Roman"/>
          <w:color w:val="auto"/>
        </w:rPr>
        <w:t>, RMSEA = .</w:t>
      </w:r>
      <w:r w:rsidR="008E40F1" w:rsidRPr="00DC106D">
        <w:rPr>
          <w:rFonts w:ascii="Times New Roman" w:hAnsi="Times New Roman" w:cs="Times New Roman"/>
          <w:color w:val="auto"/>
        </w:rPr>
        <w:t>0</w:t>
      </w:r>
      <w:r w:rsidR="00DC106D" w:rsidRPr="00DC106D">
        <w:rPr>
          <w:rFonts w:ascii="Times New Roman" w:hAnsi="Times New Roman" w:cs="Times New Roman"/>
          <w:color w:val="auto"/>
        </w:rPr>
        <w:t>73  [IC 90% .067 - .079]</w:t>
      </w:r>
      <w:r w:rsidR="00F35487" w:rsidRPr="00DC106D">
        <w:rPr>
          <w:rFonts w:ascii="Times New Roman" w:hAnsi="Times New Roman" w:cs="Times New Roman"/>
          <w:color w:val="auto"/>
        </w:rPr>
        <w:t>.</w:t>
      </w:r>
    </w:p>
    <w:p w:rsidR="008E40F1" w:rsidRDefault="008E40F1" w:rsidP="008E40F1">
      <w:pPr>
        <w:spacing w:before="120"/>
        <w:ind w:firstLine="284"/>
        <w:jc w:val="both"/>
      </w:pPr>
      <w:r w:rsidRPr="00DC106D">
        <w:t>Dado que tales resultados no pueden considerarse satisfactorios, se probó un nuevo modelo en el que se eliminaron las relaciones no significativas, concretamente las hipot</w:t>
      </w:r>
      <w:r w:rsidR="00AE31F6" w:rsidRPr="00DC106D">
        <w:t>éticas</w:t>
      </w:r>
      <w:r w:rsidRPr="00DC106D">
        <w:t xml:space="preserve"> relaciones entre evitación de la maestría y evitación del rendimiento con satisfacción con la vida, que han resultado inexistentes</w:t>
      </w:r>
      <w:r w:rsidR="00AE31F6" w:rsidRPr="00DC106D">
        <w:t>, tal como se muestra en la Fig.</w:t>
      </w:r>
      <w:r w:rsidRPr="00DC106D">
        <w:t xml:space="preserve"> 2.</w:t>
      </w:r>
    </w:p>
    <w:p w:rsidR="004F234C" w:rsidRDefault="004F234C" w:rsidP="004F234C">
      <w:pPr>
        <w:spacing w:before="120"/>
        <w:jc w:val="center"/>
      </w:pPr>
      <w:r>
        <w:t>PONER POR AQUÍ FIGURA 2</w:t>
      </w:r>
    </w:p>
    <w:p w:rsidR="00C70CBB" w:rsidRPr="00C70CBB" w:rsidRDefault="00C70CBB" w:rsidP="00C70CBB">
      <w:pPr>
        <w:spacing w:before="120"/>
        <w:ind w:firstLine="284"/>
        <w:jc w:val="both"/>
        <w:rPr>
          <w:color w:val="000099"/>
        </w:rPr>
      </w:pPr>
      <w:r w:rsidRPr="00280D84">
        <w:t xml:space="preserve">Este nuevo modelo (Fig. </w:t>
      </w:r>
      <w:r w:rsidR="00DC106D" w:rsidRPr="00280D84">
        <w:t>2</w:t>
      </w:r>
      <w:r w:rsidRPr="00280D84">
        <w:t>), tras</w:t>
      </w:r>
      <w:r w:rsidR="00DC106D" w:rsidRPr="00280D84">
        <w:t xml:space="preserve"> eliminar los factores de evitación que no aportaban capacidad predictiva sobre la satisfacción con la vida y añadiendo una saturación cruzada de la búsqueda de comparación por los alumnos en el clima de maestría sugerida por los índices de modificación, sí</w:t>
      </w:r>
      <w:r w:rsidR="00103A85" w:rsidRPr="00280D84">
        <w:t xml:space="preserve"> </w:t>
      </w:r>
      <w:r w:rsidRPr="00280D84">
        <w:t>aportó un ajuste a los datos mucho más satisfactorio: χ</w:t>
      </w:r>
      <w:r w:rsidRPr="00280D84">
        <w:rPr>
          <w:vertAlign w:val="superscript"/>
        </w:rPr>
        <w:t>2</w:t>
      </w:r>
      <w:r w:rsidRPr="00280D84">
        <w:rPr>
          <w:vertAlign w:val="subscript"/>
        </w:rPr>
        <w:t>95</w:t>
      </w:r>
      <w:r w:rsidRPr="00280D84">
        <w:t xml:space="preserve"> = 25</w:t>
      </w:r>
      <w:r w:rsidR="00280D84" w:rsidRPr="00280D84">
        <w:t>2</w:t>
      </w:r>
      <w:r w:rsidRPr="00280D84">
        <w:t>.</w:t>
      </w:r>
      <w:r w:rsidR="00280D84" w:rsidRPr="00280D84">
        <w:t>23</w:t>
      </w:r>
      <w:r w:rsidRPr="00280D84">
        <w:t>, p &lt; .001, CFI = .9</w:t>
      </w:r>
      <w:r w:rsidR="00280D84" w:rsidRPr="00280D84">
        <w:t>3</w:t>
      </w:r>
      <w:r w:rsidRPr="00280D84">
        <w:t>, RMSEA = .062 [.053 - .07</w:t>
      </w:r>
      <w:r w:rsidR="00280D84" w:rsidRPr="00280D84">
        <w:t>2</w:t>
      </w:r>
      <w:r w:rsidRPr="00280D84">
        <w:t xml:space="preserve">]. </w:t>
      </w:r>
      <w:r w:rsidR="00280D84" w:rsidRPr="00280D84">
        <w:t xml:space="preserve">Aunque la figura 3, donde aparece el modelo, no representa, por simplicidad, el modelo de medida de los factores latentes, éste era satisfactorio. Todas las saturaciones de los indicadores del clima motivacional estaban entre .53 y .79, los de aproximación entre .62 y .81 y los de satisfacción con la vida entre .53 y .79. </w:t>
      </w:r>
      <w:r w:rsidRPr="00280D84">
        <w:t>Los resultados de este modelo muestran que el clima de maestría se encuentra positiva y directamente relacionado con la orientación de aproximación a la maestría y con la aproximación al rendimiento, mientras que el clima de rendimiento está relacionado positivamente con la orientación de meta de aproximación al rendimiento. Por otro lado, la aproximación a la maestría se relaciona positivamente con la satisfacción con la vida, y a su vez la aproximación al rendimiento muestra una relación negativa con la satisfacción con la vida de los alumnos.</w:t>
      </w:r>
    </w:p>
    <w:p w:rsidR="00BD276D" w:rsidRDefault="00DF6A5C" w:rsidP="00DF6A5C">
      <w:pPr>
        <w:pStyle w:val="Default"/>
        <w:spacing w:before="120"/>
        <w:ind w:firstLine="284"/>
        <w:jc w:val="both"/>
        <w:rPr>
          <w:rFonts w:ascii="Times New Roman" w:hAnsi="Times New Roman" w:cs="Times New Roman"/>
          <w:color w:val="auto"/>
        </w:rPr>
      </w:pPr>
      <w:r w:rsidRPr="00280D84">
        <w:rPr>
          <w:rFonts w:ascii="Times New Roman" w:hAnsi="Times New Roman" w:cs="Times New Roman"/>
          <w:color w:val="auto"/>
        </w:rPr>
        <w:t>Así pues, tal como se expone en la Fig. 3, la orientación de metas de aproximación a la maestría es predicha en un 50.1% por el clima de maestría (</w:t>
      </w:r>
      <w:r w:rsidRPr="00280D84">
        <w:rPr>
          <w:rFonts w:ascii="Times New Roman" w:hAnsi="Times New Roman" w:cs="Times New Roman"/>
          <w:i/>
          <w:iCs/>
          <w:color w:val="auto"/>
        </w:rPr>
        <w:t xml:space="preserve">β </w:t>
      </w:r>
      <w:r w:rsidRPr="00280D84">
        <w:rPr>
          <w:rFonts w:ascii="Times New Roman" w:hAnsi="Times New Roman" w:cs="Times New Roman"/>
          <w:color w:val="auto"/>
        </w:rPr>
        <w:t>= .71), la aproximación al rendimiento es predicha en un 10.9% por el clima de maestría (</w:t>
      </w:r>
      <w:r w:rsidRPr="00280D84">
        <w:rPr>
          <w:rFonts w:ascii="Times New Roman" w:hAnsi="Times New Roman" w:cs="Times New Roman"/>
          <w:i/>
          <w:iCs/>
          <w:color w:val="auto"/>
        </w:rPr>
        <w:t xml:space="preserve">β </w:t>
      </w:r>
      <w:r w:rsidRPr="00280D84">
        <w:rPr>
          <w:rFonts w:ascii="Times New Roman" w:hAnsi="Times New Roman" w:cs="Times New Roman"/>
          <w:color w:val="auto"/>
        </w:rPr>
        <w:t>= .18) y por el clima de rendimiento (</w:t>
      </w:r>
      <w:r w:rsidRPr="00280D84">
        <w:rPr>
          <w:rFonts w:ascii="Times New Roman" w:hAnsi="Times New Roman" w:cs="Times New Roman"/>
          <w:i/>
          <w:iCs/>
          <w:color w:val="auto"/>
        </w:rPr>
        <w:t xml:space="preserve">β </w:t>
      </w:r>
      <w:r w:rsidRPr="00280D84">
        <w:rPr>
          <w:rFonts w:ascii="Times New Roman" w:hAnsi="Times New Roman" w:cs="Times New Roman"/>
          <w:color w:val="auto"/>
        </w:rPr>
        <w:t>= .29). Finalmente, la satisfacción con la vida de los alumnos es predicha en un 24.2% por la aproximación a la maestría (</w:t>
      </w:r>
      <w:r w:rsidRPr="00280D84">
        <w:rPr>
          <w:rFonts w:ascii="Times New Roman" w:hAnsi="Times New Roman" w:cs="Times New Roman"/>
          <w:i/>
          <w:iCs/>
          <w:color w:val="auto"/>
        </w:rPr>
        <w:t xml:space="preserve">β </w:t>
      </w:r>
      <w:r w:rsidRPr="00280D84">
        <w:rPr>
          <w:rFonts w:ascii="Times New Roman" w:hAnsi="Times New Roman" w:cs="Times New Roman"/>
          <w:color w:val="auto"/>
        </w:rPr>
        <w:t>= .62) y de manera inversa por la aproximación al rendimiento (</w:t>
      </w:r>
      <w:r w:rsidRPr="00280D84">
        <w:rPr>
          <w:rFonts w:ascii="Times New Roman" w:hAnsi="Times New Roman" w:cs="Times New Roman"/>
          <w:i/>
          <w:iCs/>
          <w:color w:val="auto"/>
        </w:rPr>
        <w:t xml:space="preserve">β </w:t>
      </w:r>
      <w:r w:rsidRPr="00280D84">
        <w:rPr>
          <w:rFonts w:ascii="Times New Roman" w:hAnsi="Times New Roman" w:cs="Times New Roman"/>
          <w:color w:val="auto"/>
        </w:rPr>
        <w:t>= -.49).</w:t>
      </w:r>
    </w:p>
    <w:p w:rsidR="004F234C" w:rsidRDefault="004F234C" w:rsidP="004F234C">
      <w:pPr>
        <w:pStyle w:val="Default"/>
        <w:spacing w:before="120"/>
        <w:jc w:val="center"/>
        <w:rPr>
          <w:rFonts w:ascii="Times New Roman" w:hAnsi="Times New Roman" w:cs="Times New Roman"/>
          <w:color w:val="auto"/>
        </w:rPr>
      </w:pPr>
      <w:r>
        <w:rPr>
          <w:rFonts w:ascii="Times New Roman" w:hAnsi="Times New Roman" w:cs="Times New Roman"/>
          <w:color w:val="auto"/>
        </w:rPr>
        <w:t>PONER POR AQUÍ FIGURA 3</w:t>
      </w:r>
    </w:p>
    <w:p w:rsidR="00BD276D" w:rsidRPr="00280D84" w:rsidRDefault="00BD276D" w:rsidP="0031491F">
      <w:pPr>
        <w:spacing w:before="120"/>
        <w:jc w:val="center"/>
        <w:rPr>
          <w:b/>
        </w:rPr>
      </w:pPr>
      <w:r w:rsidRPr="00280D84">
        <w:rPr>
          <w:b/>
        </w:rPr>
        <w:t>Discusión y conclusion</w:t>
      </w:r>
      <w:r w:rsidR="00613A75" w:rsidRPr="00280D84">
        <w:rPr>
          <w:b/>
        </w:rPr>
        <w:t>e</w:t>
      </w:r>
      <w:r w:rsidRPr="00280D84">
        <w:rPr>
          <w:b/>
        </w:rPr>
        <w:t>s</w:t>
      </w:r>
    </w:p>
    <w:p w:rsidR="0029678C" w:rsidRPr="00280D84" w:rsidRDefault="0029678C" w:rsidP="0029678C">
      <w:pPr>
        <w:spacing w:before="120"/>
        <w:ind w:firstLine="284"/>
        <w:jc w:val="both"/>
      </w:pPr>
      <w:r w:rsidRPr="00280D84">
        <w:t xml:space="preserve">El objetivo principal de este trabajo ha consistido en la aplicación de modelos de ecuaciones estructurales para predecir la satisfacción con la vida de los adolescentes a partir de su percepción del clima motivacional de la clase de EF y de su orientación de metas de logro. </w:t>
      </w:r>
      <w:r w:rsidR="00280D84" w:rsidRPr="00280D84">
        <w:t>Se hipotetizó</w:t>
      </w:r>
      <w:r w:rsidRPr="00280D84">
        <w:t xml:space="preserve"> que </w:t>
      </w:r>
      <w:r w:rsidRPr="00280D84">
        <w:rPr>
          <w:rFonts w:ascii="AdvPS6F00" w:eastAsia="Calibri" w:hAnsi="AdvPS6F00" w:cs="AdvPS6F00"/>
        </w:rPr>
        <w:t>la percepción del clima motivacional de la clase estaría relacionada con la</w:t>
      </w:r>
      <w:r w:rsidR="00427A16" w:rsidRPr="00280D84">
        <w:rPr>
          <w:rFonts w:ascii="AdvPS6F00" w:eastAsia="Calibri" w:hAnsi="AdvPS6F00" w:cs="AdvPS6F00"/>
        </w:rPr>
        <w:t>s</w:t>
      </w:r>
      <w:r w:rsidRPr="00280D84">
        <w:rPr>
          <w:rFonts w:ascii="AdvPS6F00" w:eastAsia="Calibri" w:hAnsi="AdvPS6F00" w:cs="AdvPS6F00"/>
        </w:rPr>
        <w:t xml:space="preserve"> orientaci</w:t>
      </w:r>
      <w:r w:rsidR="00427A16" w:rsidRPr="00280D84">
        <w:rPr>
          <w:rFonts w:ascii="AdvPS6F00" w:eastAsia="Calibri" w:hAnsi="AdvPS6F00" w:cs="AdvPS6F00"/>
        </w:rPr>
        <w:t>ones de meta</w:t>
      </w:r>
      <w:r w:rsidRPr="00280D84">
        <w:rPr>
          <w:rFonts w:ascii="AdvPS6F00" w:eastAsia="Calibri" w:hAnsi="AdvPS6F00" w:cs="AdvPS6F00"/>
        </w:rPr>
        <w:t xml:space="preserve"> de los alumnos, y éstas, a su vez, con su satisfacción con la vida. </w:t>
      </w:r>
    </w:p>
    <w:p w:rsidR="00E02658" w:rsidRPr="00280D84" w:rsidRDefault="0029678C" w:rsidP="00103A85">
      <w:pPr>
        <w:spacing w:before="120"/>
        <w:ind w:firstLine="284"/>
        <w:jc w:val="both"/>
      </w:pPr>
      <w:r w:rsidRPr="00280D84">
        <w:t xml:space="preserve">A la vista de los resultados obtenidos cabe destacar, en primer lugar, que la fiabilidad de los instrumentos empleados ha resultado satisfactoria para </w:t>
      </w:r>
      <w:r w:rsidR="00CD189C" w:rsidRPr="00280D84">
        <w:t xml:space="preserve">su empleo con esta muestra </w:t>
      </w:r>
      <w:r w:rsidR="00CD189C" w:rsidRPr="00280D84">
        <w:lastRenderedPageBreak/>
        <w:t>de alumnos.</w:t>
      </w:r>
      <w:r w:rsidR="00103A85" w:rsidRPr="00280D84">
        <w:t xml:space="preserve"> </w:t>
      </w:r>
      <w:r w:rsidRPr="00280D84">
        <w:t>Con respecto al cumplimiento de las hipótesis planteadas, cabe señalar que</w:t>
      </w:r>
      <w:r w:rsidR="0064493B" w:rsidRPr="00280D84">
        <w:t xml:space="preserve"> se han cumplido en su mayor parte, aunque con algunas matizaciones que seguidamente </w:t>
      </w:r>
      <w:r w:rsidR="00CD189C" w:rsidRPr="00280D84">
        <w:t>indicaremos</w:t>
      </w:r>
      <w:r w:rsidR="0064493B" w:rsidRPr="00280D84">
        <w:t>. En cuanto a la primera hipótesis, que suponía el efecto directo</w:t>
      </w:r>
      <w:r w:rsidR="00E02658" w:rsidRPr="00280D84">
        <w:t xml:space="preserve"> de </w:t>
      </w:r>
      <w:r w:rsidR="00E02658" w:rsidRPr="00280D84">
        <w:rPr>
          <w:rFonts w:ascii="AdvPS6F00" w:eastAsia="Calibri" w:hAnsi="AdvPS6F00" w:cs="AdvPS6F00"/>
        </w:rPr>
        <w:t xml:space="preserve">la percepción del clima de maestría sobre la meta orientada a la maestría, y de la percepción del clima de rendimiento sobre la meta de orientación al rendimiento, ésta se ha visto cumplida, aunque hay que señalar la desaparición de las orientaciones de evitación de la maestría y evitación del rendimiento como variables significativas en el resultado del modelo teórico inicialmente propuesto. Además, así como el clima de maestría </w:t>
      </w:r>
      <w:r w:rsidR="00427A16" w:rsidRPr="00280D84">
        <w:rPr>
          <w:rFonts w:ascii="AdvPS6F00" w:eastAsia="Calibri" w:hAnsi="AdvPS6F00" w:cs="AdvPS6F00"/>
        </w:rPr>
        <w:t xml:space="preserve">también </w:t>
      </w:r>
      <w:r w:rsidR="00E02658" w:rsidRPr="00280D84">
        <w:rPr>
          <w:rFonts w:ascii="AdvPS6F00" w:eastAsia="Calibri" w:hAnsi="AdvPS6F00" w:cs="AdvPS6F00"/>
        </w:rPr>
        <w:t xml:space="preserve">se ha relacionado con la </w:t>
      </w:r>
      <w:r w:rsidR="00427A16" w:rsidRPr="00280D84">
        <w:rPr>
          <w:rFonts w:ascii="AdvPS6F00" w:eastAsia="Calibri" w:hAnsi="AdvPS6F00" w:cs="AdvPS6F00"/>
        </w:rPr>
        <w:t>aproximación</w:t>
      </w:r>
      <w:r w:rsidR="00E02658" w:rsidRPr="00280D84">
        <w:rPr>
          <w:rFonts w:ascii="AdvPS6F00" w:eastAsia="Calibri" w:hAnsi="AdvPS6F00" w:cs="AdvPS6F00"/>
        </w:rPr>
        <w:t xml:space="preserve"> a</w:t>
      </w:r>
      <w:r w:rsidR="00427A16" w:rsidRPr="00280D84">
        <w:rPr>
          <w:rFonts w:ascii="AdvPS6F00" w:eastAsia="Calibri" w:hAnsi="AdvPS6F00" w:cs="AdvPS6F00"/>
        </w:rPr>
        <w:t>l rendimiento</w:t>
      </w:r>
      <w:r w:rsidR="00E02658" w:rsidRPr="00280D84">
        <w:rPr>
          <w:rFonts w:ascii="AdvPS6F00" w:eastAsia="Calibri" w:hAnsi="AdvPS6F00" w:cs="AdvPS6F00"/>
        </w:rPr>
        <w:t>, el clima de rendimiento únicamente ha mostrado relación con la aproximación al rendimiento. Estos resultados</w:t>
      </w:r>
      <w:r w:rsidR="00C70CBB" w:rsidRPr="00280D84">
        <w:rPr>
          <w:rFonts w:ascii="AdvPS6F00" w:eastAsia="Calibri" w:hAnsi="AdvPS6F00" w:cs="AdvPS6F00"/>
        </w:rPr>
        <w:t xml:space="preserve"> se corresponden </w:t>
      </w:r>
      <w:r w:rsidR="009D20F6" w:rsidRPr="00280D84">
        <w:rPr>
          <w:rFonts w:ascii="AdvPS6F00" w:eastAsia="Calibri" w:hAnsi="AdvPS6F00" w:cs="AdvPS6F00"/>
        </w:rPr>
        <w:t xml:space="preserve">parcialmente </w:t>
      </w:r>
      <w:r w:rsidR="00C70CBB" w:rsidRPr="00280D84">
        <w:rPr>
          <w:rFonts w:ascii="AdvPS6F00" w:eastAsia="Calibri" w:hAnsi="AdvPS6F00" w:cs="AdvPS6F00"/>
        </w:rPr>
        <w:t>con los obtenidos por</w:t>
      </w:r>
      <w:r w:rsidR="00E02658" w:rsidRPr="00280D84">
        <w:rPr>
          <w:rFonts w:ascii="AdvPS6F00" w:eastAsia="Calibri" w:hAnsi="AdvPS6F00" w:cs="AdvPS6F00"/>
        </w:rPr>
        <w:t xml:space="preserve"> </w:t>
      </w:r>
      <w:r w:rsidR="00974970" w:rsidRPr="00280D84">
        <w:rPr>
          <w:rFonts w:ascii="AdvPS6F00" w:eastAsia="Calibri" w:hAnsi="AdvPS6F00" w:cs="AdvPS6F00"/>
        </w:rPr>
        <w:t xml:space="preserve">Ommundsen (2006), </w:t>
      </w:r>
      <w:r w:rsidR="008B1904" w:rsidRPr="00280D84">
        <w:t xml:space="preserve">Smith, et al. (2009), </w:t>
      </w:r>
      <w:r w:rsidR="009D20F6" w:rsidRPr="00280D84">
        <w:t xml:space="preserve">Halvari, et al. (2011), </w:t>
      </w:r>
      <w:r w:rsidR="00402DC6" w:rsidRPr="00280D84">
        <w:rPr>
          <w:rFonts w:ascii="AdvPS6F00" w:eastAsia="Calibri" w:hAnsi="AdvPS6F00" w:cs="AdvPS6F00"/>
        </w:rPr>
        <w:t xml:space="preserve">Galand, et al. (2012), </w:t>
      </w:r>
      <w:r w:rsidR="009D20F6" w:rsidRPr="00280D84">
        <w:rPr>
          <w:rFonts w:ascii="AdvPS6F00" w:eastAsia="Calibri" w:hAnsi="AdvPS6F00" w:cs="AdvPS6F00"/>
        </w:rPr>
        <w:t xml:space="preserve">y </w:t>
      </w:r>
      <w:r w:rsidR="009D20F6" w:rsidRPr="00280D84">
        <w:t>Gran</w:t>
      </w:r>
      <w:r w:rsidR="00415119" w:rsidRPr="00280D84">
        <w:t>er</w:t>
      </w:r>
      <w:r w:rsidR="009D20F6" w:rsidRPr="00280D84">
        <w:t>o-Ga</w:t>
      </w:r>
      <w:r w:rsidR="000E0E79" w:rsidRPr="00280D84">
        <w:t xml:space="preserve">llegos &amp; Baena-Extremera (2014), y los obtenidos por Jaakkola, et al. (2016), en cuyo </w:t>
      </w:r>
      <w:r w:rsidR="00ED3612" w:rsidRPr="00280D84">
        <w:t>trabajo trataron de predecir la diversión con la práctica a partir del clima motivacional y de las orientaciones de meta. Un matiz que añadieron estos autores fue la diferenciación en los resultados en función de la habilidad percibida de los deportistas.</w:t>
      </w:r>
      <w:r w:rsidR="000E0E79" w:rsidRPr="00280D84">
        <w:t xml:space="preserve">  </w:t>
      </w:r>
      <w:r w:rsidR="009D20F6" w:rsidRPr="00280D84">
        <w:t xml:space="preserve"> </w:t>
      </w:r>
    </w:p>
    <w:p w:rsidR="003641D9" w:rsidRPr="00280D84" w:rsidRDefault="00E02658" w:rsidP="0029678C">
      <w:pPr>
        <w:spacing w:before="120"/>
        <w:ind w:firstLine="284"/>
        <w:jc w:val="both"/>
        <w:rPr>
          <w:rFonts w:ascii="AdvPS6F00" w:eastAsia="Calibri" w:hAnsi="AdvPS6F00" w:cs="AdvPS6F00"/>
        </w:rPr>
      </w:pPr>
      <w:r w:rsidRPr="00280D84">
        <w:rPr>
          <w:rFonts w:ascii="AdvPS6F00" w:eastAsia="Calibri" w:hAnsi="AdvPS6F00" w:cs="AdvPS6F00"/>
        </w:rPr>
        <w:t>En relación con la segunda hipótesis, según la cual</w:t>
      </w:r>
      <w:r w:rsidR="003641D9" w:rsidRPr="00280D84">
        <w:rPr>
          <w:rFonts w:ascii="AdvPS6F00" w:eastAsia="Calibri" w:hAnsi="AdvPS6F00" w:cs="AdvPS6F00"/>
        </w:rPr>
        <w:t xml:space="preserve"> se esperaba que la orientación de metas de logro actuaría como mediador entre la percepción del clima motivacional de la clase y la satisfacción con la vida de los alumnos, ésta se ha visto cumplida, aunque sólo en la vertiente de aproximación a la maestría y al rendimiento no en las dimensiones de evitación de la maestría y </w:t>
      </w:r>
      <w:r w:rsidR="00427A16" w:rsidRPr="00280D84">
        <w:rPr>
          <w:rFonts w:ascii="AdvPS6F00" w:eastAsia="Calibri" w:hAnsi="AdvPS6F00" w:cs="AdvPS6F00"/>
        </w:rPr>
        <w:t xml:space="preserve">evitación </w:t>
      </w:r>
      <w:r w:rsidR="00974970" w:rsidRPr="00280D84">
        <w:rPr>
          <w:rFonts w:ascii="AdvPS6F00" w:eastAsia="Calibri" w:hAnsi="AdvPS6F00" w:cs="AdvPS6F00"/>
        </w:rPr>
        <w:t xml:space="preserve">del rendimiento. </w:t>
      </w:r>
      <w:r w:rsidR="009D20F6" w:rsidRPr="00280D84">
        <w:rPr>
          <w:rFonts w:ascii="AdvPS6F00" w:eastAsia="Calibri" w:hAnsi="AdvPS6F00" w:cs="AdvPS6F00"/>
        </w:rPr>
        <w:t>Apoyo a estos resultados los encontramos en el trabajo de Galand, et al. (2012).</w:t>
      </w:r>
      <w:r w:rsidR="00402DC6" w:rsidRPr="00280D84">
        <w:rPr>
          <w:rFonts w:ascii="AdvPS6F00" w:eastAsia="Calibri" w:hAnsi="AdvPS6F00" w:cs="AdvPS6F00"/>
        </w:rPr>
        <w:t xml:space="preserve"> </w:t>
      </w:r>
    </w:p>
    <w:p w:rsidR="0029678C" w:rsidRPr="00280D84" w:rsidRDefault="003641D9" w:rsidP="0029678C">
      <w:pPr>
        <w:spacing w:before="120"/>
        <w:ind w:firstLine="284"/>
        <w:jc w:val="both"/>
        <w:rPr>
          <w:lang w:val="en-US"/>
        </w:rPr>
      </w:pPr>
      <w:r w:rsidRPr="00280D84">
        <w:rPr>
          <w:rFonts w:ascii="AdvPS6F00" w:eastAsia="Calibri" w:hAnsi="AdvPS6F00" w:cs="AdvPS6F00"/>
        </w:rPr>
        <w:t xml:space="preserve">Por último, la tercera hipótesis planteaba que la orientación a la maestría estaría positivamente relacionada con la satisfacción con la vida de los alumnos, mientras que la orientación al rendimiento </w:t>
      </w:r>
      <w:r w:rsidR="00427A16" w:rsidRPr="00280D84">
        <w:rPr>
          <w:rFonts w:ascii="AdvPS6F00" w:eastAsia="Calibri" w:hAnsi="AdvPS6F00" w:cs="AdvPS6F00"/>
        </w:rPr>
        <w:t>presentaría</w:t>
      </w:r>
      <w:r w:rsidRPr="00280D84">
        <w:rPr>
          <w:rFonts w:ascii="AdvPS6F00" w:eastAsia="Calibri" w:hAnsi="AdvPS6F00" w:cs="AdvPS6F00"/>
        </w:rPr>
        <w:t xml:space="preserve"> una relación negativa. Tal como muestran los resultados, una vez eliminadas las relaciones procedentes de las dimensiones de evitación de la maestría y evitación del rendimiento, por no ser significativas, realmente se cumple que la aproximación a la maestría predice positivamente la satisfacción con la vida, mientras que la aproximación al rendimiento muestra una relación inversa en la predicción de la satisfacción con la vida de los alumnos de EF.</w:t>
      </w:r>
      <w:r w:rsidR="0029678C" w:rsidRPr="00280D84">
        <w:t xml:space="preserve"> </w:t>
      </w:r>
      <w:r w:rsidR="009D20F6" w:rsidRPr="00280D84">
        <w:t xml:space="preserve">Estos resultados se encuentran en línea con los mostrados por la literatura especializada sobre los hallazgos de Standage, et al. </w:t>
      </w:r>
      <w:r w:rsidR="009D20F6" w:rsidRPr="00280D84">
        <w:rPr>
          <w:lang w:val="en-US"/>
        </w:rPr>
        <w:t>(2012)</w:t>
      </w:r>
      <w:r w:rsidR="00DF3E71" w:rsidRPr="00280D84">
        <w:rPr>
          <w:lang w:val="en-US"/>
        </w:rPr>
        <w:t xml:space="preserve">, </w:t>
      </w:r>
      <w:r w:rsidR="009D20F6" w:rsidRPr="00280D84">
        <w:rPr>
          <w:lang w:val="en-US"/>
        </w:rPr>
        <w:t xml:space="preserve">de </w:t>
      </w:r>
      <w:r w:rsidR="00341457" w:rsidRPr="00280D84">
        <w:rPr>
          <w:rFonts w:ascii="AdvPS6F00" w:eastAsia="Calibri" w:hAnsi="AdvPS6F00" w:cs="AdvPS6F00"/>
          <w:lang w:val="en-US"/>
        </w:rPr>
        <w:t>Brown &amp; Fry (2014)</w:t>
      </w:r>
      <w:r w:rsidR="00DF3E71" w:rsidRPr="00280D84">
        <w:rPr>
          <w:rFonts w:ascii="AdvPS6F00" w:eastAsia="Calibri" w:hAnsi="AdvPS6F00" w:cs="AdvPS6F00"/>
          <w:lang w:val="en-US"/>
        </w:rPr>
        <w:t xml:space="preserve"> y de </w:t>
      </w:r>
      <w:r w:rsidR="00DF3E71" w:rsidRPr="00280D84">
        <w:rPr>
          <w:lang w:val="en-US"/>
        </w:rPr>
        <w:t>Gunnell, Crocker, Mack, Wilson &amp; Zumbo (2014).</w:t>
      </w:r>
      <w:r w:rsidR="00341457" w:rsidRPr="00280D84">
        <w:rPr>
          <w:rFonts w:ascii="AdvPS6F00" w:eastAsia="Calibri" w:hAnsi="AdvPS6F00" w:cs="AdvPS6F00"/>
          <w:lang w:val="en-US"/>
        </w:rPr>
        <w:t xml:space="preserve"> </w:t>
      </w:r>
    </w:p>
    <w:p w:rsidR="0029678C" w:rsidRPr="00280D84" w:rsidRDefault="009D20F6" w:rsidP="009D20F6">
      <w:pPr>
        <w:spacing w:before="120"/>
        <w:ind w:firstLine="284"/>
        <w:jc w:val="both"/>
      </w:pPr>
      <w:r w:rsidRPr="00280D84">
        <w:t xml:space="preserve">Como conclusión final cabe señalar que, efectivamente, el clima de la clase ha mostrado capacidad predictiva sobre la satisfacción con la vida de los alumnos de EF, actuando como mediadoras las orientaciones de meta, </w:t>
      </w:r>
      <w:r w:rsidR="00FD1D29" w:rsidRPr="00280D84">
        <w:t xml:space="preserve">siendo el clima de maestría el de mayor significación para la predicción de la satisfacción de la vida de los alumnos, </w:t>
      </w:r>
      <w:r w:rsidRPr="00280D84">
        <w:t xml:space="preserve">resultado coincidente con el encontrado en el trabajo de </w:t>
      </w:r>
      <w:r w:rsidR="00103A85" w:rsidRPr="00280D84">
        <w:rPr>
          <w:rFonts w:ascii="AdvPS6F00" w:eastAsia="Calibri" w:hAnsi="AdvPS6F00" w:cs="AdvPS6F00"/>
        </w:rPr>
        <w:t xml:space="preserve">Galand, et al. (2012), y </w:t>
      </w:r>
      <w:r w:rsidR="00CF11A8" w:rsidRPr="00280D84">
        <w:rPr>
          <w:rFonts w:ascii="AdvPS6F00" w:eastAsia="Calibri" w:hAnsi="AdvPS6F00" w:cs="AdvPS6F00"/>
        </w:rPr>
        <w:t xml:space="preserve">con los obtenidos por Núñez, León, González &amp; Martín-Albo (2011), aunque en este </w:t>
      </w:r>
      <w:r w:rsidR="00103A85" w:rsidRPr="00280D84">
        <w:rPr>
          <w:rFonts w:ascii="AdvPS6F00" w:eastAsia="Calibri" w:hAnsi="AdvPS6F00" w:cs="AdvPS6F00"/>
        </w:rPr>
        <w:t xml:space="preserve">último </w:t>
      </w:r>
      <w:r w:rsidR="00CF11A8" w:rsidRPr="00280D84">
        <w:rPr>
          <w:rFonts w:ascii="AdvPS6F00" w:eastAsia="Calibri" w:hAnsi="AdvPS6F00" w:cs="AdvPS6F00"/>
        </w:rPr>
        <w:t xml:space="preserve">caso utilizaron la inteligencia emocional como variable mediadora para predecir el bienestar </w:t>
      </w:r>
      <w:r w:rsidR="00B20A56" w:rsidRPr="00280D84">
        <w:rPr>
          <w:rFonts w:ascii="AdvPS6F00" w:eastAsia="Calibri" w:hAnsi="AdvPS6F00" w:cs="AdvPS6F00"/>
        </w:rPr>
        <w:t>subjetivo</w:t>
      </w:r>
      <w:r w:rsidR="009541FC" w:rsidRPr="00280D84">
        <w:rPr>
          <w:rFonts w:ascii="AdvPS6F00" w:eastAsia="Calibri" w:hAnsi="AdvPS6F00" w:cs="AdvPS6F00"/>
        </w:rPr>
        <w:t xml:space="preserve"> en el contexto deportivo</w:t>
      </w:r>
      <w:r w:rsidR="00CF11A8" w:rsidRPr="00280D84">
        <w:rPr>
          <w:rFonts w:ascii="AdvPS6F00" w:eastAsia="Calibri" w:hAnsi="AdvPS6F00" w:cs="AdvPS6F00"/>
        </w:rPr>
        <w:t>.</w:t>
      </w:r>
    </w:p>
    <w:p w:rsidR="00BD276D" w:rsidRPr="00280D84" w:rsidRDefault="00FD1D29" w:rsidP="00FD1D29">
      <w:pPr>
        <w:spacing w:before="120"/>
        <w:ind w:firstLine="284"/>
        <w:jc w:val="both"/>
      </w:pPr>
      <w:r w:rsidRPr="00280D84">
        <w:t xml:space="preserve">Desde una perspectiva aplicada, estos resultados nos llevan a proponer a los profesionales de la EF la promoción de ambientes de clase en los que predomine el clima de maestría o aprendizaje, dado que es más probable que éste influya sobre la orientación a la maestría de los alumnos y ésta, a su vez, se relacionará positivamente con su satisfacción con la vida, mientras que hemos visto cómo cuanto mayor sea la orientación </w:t>
      </w:r>
      <w:r w:rsidRPr="00280D84">
        <w:lastRenderedPageBreak/>
        <w:t xml:space="preserve">al rendimiento menor será la satisfacción con la vida de los alumnos en el contexto de la EF. Aparte de esto, nos hacemos eco de los hallazgo y propuestas de </w:t>
      </w:r>
      <w:r w:rsidR="00AA47A7" w:rsidRPr="00280D84">
        <w:t>González, Garcés de los Fayos &amp; García (2012)</w:t>
      </w:r>
      <w:r w:rsidRPr="00280D84">
        <w:t>, que</w:t>
      </w:r>
      <w:r w:rsidR="00AA47A7" w:rsidRPr="00280D84">
        <w:t xml:space="preserve"> encontraron una correspondencia positiva entre los índices de bienestar </w:t>
      </w:r>
      <w:r w:rsidR="00B20A56" w:rsidRPr="00280D84">
        <w:t>subjetivo</w:t>
      </w:r>
      <w:r w:rsidR="00AA47A7" w:rsidRPr="00280D84">
        <w:t xml:space="preserve"> percibido por los alumnos y la forma en que sus docentes transmiten la </w:t>
      </w:r>
      <w:r w:rsidRPr="00280D84">
        <w:t>EF</w:t>
      </w:r>
      <w:r w:rsidR="00AA47A7" w:rsidRPr="00280D84">
        <w:t xml:space="preserve">, lo cual les llevó a </w:t>
      </w:r>
      <w:r w:rsidRPr="00280D84">
        <w:t>resaltar</w:t>
      </w:r>
      <w:r w:rsidR="00AA47A7" w:rsidRPr="00280D84">
        <w:t xml:space="preserve"> la importancia </w:t>
      </w:r>
      <w:r w:rsidRPr="00280D84">
        <w:t>que</w:t>
      </w:r>
      <w:r w:rsidR="00AA47A7" w:rsidRPr="00280D84">
        <w:t xml:space="preserve"> la transmisión pedagógica de la actividad física </w:t>
      </w:r>
      <w:r w:rsidRPr="00280D84">
        <w:t xml:space="preserve">puede desempeñar </w:t>
      </w:r>
      <w:r w:rsidR="00AA47A7" w:rsidRPr="00280D84">
        <w:t xml:space="preserve">como modelo favorecedor del bienestar </w:t>
      </w:r>
      <w:r w:rsidR="00B20A56" w:rsidRPr="00280D84">
        <w:t>subjetivo</w:t>
      </w:r>
      <w:r w:rsidR="00AA47A7" w:rsidRPr="00280D84">
        <w:t xml:space="preserve"> de los adolescentes.</w:t>
      </w:r>
      <w:r w:rsidRPr="00280D84">
        <w:t xml:space="preserve"> Señalan además estos autores la necesidad</w:t>
      </w:r>
      <w:r w:rsidR="00AA47A7" w:rsidRPr="00280D84">
        <w:t xml:space="preserve"> de establecer medidas para que los estilos educativos de los profesores de </w:t>
      </w:r>
      <w:r w:rsidR="0029678C" w:rsidRPr="00280D84">
        <w:t>EF</w:t>
      </w:r>
      <w:r w:rsidR="00AA47A7" w:rsidRPr="00280D84">
        <w:t xml:space="preserve"> inf</w:t>
      </w:r>
      <w:r w:rsidR="00594DC2" w:rsidRPr="00280D84">
        <w:t>luyan</w:t>
      </w:r>
      <w:r w:rsidR="00AA47A7" w:rsidRPr="00280D84">
        <w:t xml:space="preserve"> positivamente en sus alumnos</w:t>
      </w:r>
      <w:r w:rsidR="00594DC2" w:rsidRPr="00280D84">
        <w:t xml:space="preserve">, de tal manera que se consigan </w:t>
      </w:r>
      <w:r w:rsidR="00AA47A7" w:rsidRPr="00280D84">
        <w:t>mayores niveles de implicac</w:t>
      </w:r>
      <w:r w:rsidR="00594DC2" w:rsidRPr="00280D84">
        <w:t>ión, compromiso y participación. Todo ello incidirá favorablemente</w:t>
      </w:r>
      <w:r w:rsidR="00AA47A7" w:rsidRPr="00280D84">
        <w:t xml:space="preserve"> </w:t>
      </w:r>
      <w:r w:rsidR="00594DC2" w:rsidRPr="00280D84">
        <w:t xml:space="preserve">en </w:t>
      </w:r>
      <w:r w:rsidR="00AA47A7" w:rsidRPr="00280D84">
        <w:t xml:space="preserve">el desarrollo de la personalidad de </w:t>
      </w:r>
      <w:r w:rsidR="00594DC2" w:rsidRPr="00280D84">
        <w:t>lo</w:t>
      </w:r>
      <w:r w:rsidR="00AA47A7" w:rsidRPr="00280D84">
        <w:t xml:space="preserve">s alumnos, así como </w:t>
      </w:r>
      <w:r w:rsidR="00594DC2" w:rsidRPr="00280D84">
        <w:t>en</w:t>
      </w:r>
      <w:r w:rsidR="00AA47A7" w:rsidRPr="00280D84">
        <w:t xml:space="preserve"> su bienestar y </w:t>
      </w:r>
      <w:r w:rsidR="00594DC2" w:rsidRPr="00280D84">
        <w:t xml:space="preserve">en la adopción de </w:t>
      </w:r>
      <w:r w:rsidR="00AA47A7" w:rsidRPr="00280D84">
        <w:t>un estilo de vida activo y autosuficiente</w:t>
      </w:r>
      <w:r w:rsidR="006D53C0" w:rsidRPr="00280D84">
        <w:t>, aspectos fundamentales de la perspectiva de la psicología positiva (</w:t>
      </w:r>
      <w:r w:rsidR="00B05218" w:rsidRPr="00280D84">
        <w:t>Sun &amp; Shek, 2012)</w:t>
      </w:r>
      <w:r w:rsidR="00AA47A7" w:rsidRPr="00280D84">
        <w:t>.</w:t>
      </w:r>
      <w:r w:rsidR="006D53C0" w:rsidRPr="00280D84">
        <w:t xml:space="preserve"> </w:t>
      </w:r>
      <w:r w:rsidR="00B05218" w:rsidRPr="00280D84">
        <w:t>Además, c</w:t>
      </w:r>
      <w:r w:rsidR="006D53C0" w:rsidRPr="00280D84">
        <w:t>abe recordar, como señalaban Taylor, et al. (2014),</w:t>
      </w:r>
      <w:r w:rsidR="00FA562E" w:rsidRPr="00280D84">
        <w:t xml:space="preserve"> que las escuelas han sido consideradas lugares apropiados para ayudar a los jóvenes a desarrollar todo su potencial y sentirse bien consigo mismos. Así pues, en las manos de los profesores recae gran parte de la responsabilidad de cumplir este objetivo. </w:t>
      </w:r>
      <w:r w:rsidR="006D53C0" w:rsidRPr="00280D84">
        <w:t xml:space="preserve"> </w:t>
      </w:r>
    </w:p>
    <w:p w:rsidR="00614ED0" w:rsidRPr="008A22F0" w:rsidRDefault="00C311F8" w:rsidP="00594DC2">
      <w:pPr>
        <w:spacing w:before="120"/>
        <w:ind w:firstLine="284"/>
        <w:jc w:val="both"/>
      </w:pPr>
      <w:r w:rsidRPr="008A22F0">
        <w:t xml:space="preserve">Como cualquier estudio, éste </w:t>
      </w:r>
      <w:r w:rsidR="00CD189C" w:rsidRPr="008A22F0">
        <w:t xml:space="preserve">también </w:t>
      </w:r>
      <w:r w:rsidRPr="008A22F0">
        <w:t xml:space="preserve">presenta </w:t>
      </w:r>
      <w:r w:rsidR="00594DC2" w:rsidRPr="008A22F0">
        <w:t>su</w:t>
      </w:r>
      <w:r w:rsidRPr="008A22F0">
        <w:t xml:space="preserve">s limitaciones. Así, aunque el tamaño de la muestra </w:t>
      </w:r>
      <w:r w:rsidR="00594DC2" w:rsidRPr="008A22F0">
        <w:t xml:space="preserve">de estudio </w:t>
      </w:r>
      <w:r w:rsidRPr="008A22F0">
        <w:t xml:space="preserve">es </w:t>
      </w:r>
      <w:r w:rsidR="00594DC2" w:rsidRPr="008A22F0">
        <w:t xml:space="preserve">razonablemente </w:t>
      </w:r>
      <w:r w:rsidRPr="008A22F0">
        <w:t>amplio, los datos fueron obtenidos a través de colaboradores o muestreo por conveniencia, y recogidos mediante autoinformes de los a</w:t>
      </w:r>
      <w:r w:rsidR="00594DC2" w:rsidRPr="008A22F0">
        <w:t>lumnos</w:t>
      </w:r>
      <w:r w:rsidRPr="008A22F0">
        <w:t xml:space="preserve">, lo cual ha podido incorporar </w:t>
      </w:r>
      <w:r w:rsidR="00103A85" w:rsidRPr="008A22F0">
        <w:t>en cierto modo el</w:t>
      </w:r>
      <w:r w:rsidRPr="008A22F0">
        <w:t xml:space="preserve"> efecto de la deseabilidad social.</w:t>
      </w:r>
      <w:r w:rsidR="00D42ED1" w:rsidRPr="008A22F0">
        <w:t xml:space="preserve"> </w:t>
      </w:r>
      <w:r w:rsidRPr="008A22F0">
        <w:t xml:space="preserve"> Además, los datos utilizados en este estudio son transversales, por lo que no se pueden establecer conclusiones fundamentadas en relaciones causa-efecto. En este sentido, u</w:t>
      </w:r>
      <w:r w:rsidR="00CD189C" w:rsidRPr="008A22F0">
        <w:t>n diseño longitudinal en el que se tomaran datos</w:t>
      </w:r>
      <w:r w:rsidR="00594DC2" w:rsidRPr="008A22F0">
        <w:t xml:space="preserve"> </w:t>
      </w:r>
      <w:r w:rsidR="008A22F0" w:rsidRPr="008A22F0">
        <w:t xml:space="preserve">preferiblemente en tres o más </w:t>
      </w:r>
      <w:r w:rsidR="00CD189C" w:rsidRPr="008A22F0">
        <w:t>momentos temporales</w:t>
      </w:r>
      <w:r w:rsidRPr="008A22F0">
        <w:t xml:space="preserve"> proporcionar</w:t>
      </w:r>
      <w:r w:rsidR="008A22F0" w:rsidRPr="008A22F0">
        <w:t>ía</w:t>
      </w:r>
      <w:r w:rsidRPr="008A22F0">
        <w:t xml:space="preserve"> mayor </w:t>
      </w:r>
      <w:r w:rsidR="00CD189C" w:rsidRPr="008A22F0">
        <w:t>garantía</w:t>
      </w:r>
      <w:r w:rsidR="00594DC2" w:rsidRPr="008A22F0">
        <w:t xml:space="preserve"> a las conclusiones. </w:t>
      </w:r>
      <w:r w:rsidRPr="008A22F0">
        <w:t>Por otro lado, el modelo aquí sometido a comprobación mediante ecuaciones estructurales es sólo uno de los posibles, pudiendo existir otros modelos capaces de contribuir con nuevas explicaciones a la interpretación de las relaciones entre las vari</w:t>
      </w:r>
      <w:r w:rsidR="00CD189C" w:rsidRPr="008A22F0">
        <w:t>ables estudiadas, o incluir otra</w:t>
      </w:r>
      <w:r w:rsidRPr="008A22F0">
        <w:t xml:space="preserve">s </w:t>
      </w:r>
      <w:r w:rsidR="00CD189C" w:rsidRPr="008A22F0">
        <w:t xml:space="preserve">variables </w:t>
      </w:r>
      <w:r w:rsidRPr="008A22F0">
        <w:t>no analizadas en este momento</w:t>
      </w:r>
      <w:r w:rsidR="00CD189C" w:rsidRPr="008A22F0">
        <w:t xml:space="preserve">. Por ejemplo, </w:t>
      </w:r>
      <w:r w:rsidR="00614ED0" w:rsidRPr="008A22F0">
        <w:t>como advertían Gallagher</w:t>
      </w:r>
      <w:r w:rsidR="005E18D4" w:rsidRPr="008A22F0">
        <w:t xml:space="preserve"> </w:t>
      </w:r>
      <w:r w:rsidR="00CD189C" w:rsidRPr="008A22F0">
        <w:t>&amp;</w:t>
      </w:r>
      <w:r w:rsidR="00614ED0" w:rsidRPr="008A22F0">
        <w:t xml:space="preserve"> Vella-Brodrick (2008), podría resultar conveniente contemplar los otros dos componentes del bienestar subjetivo de los adolescen</w:t>
      </w:r>
      <w:r w:rsidR="00CD189C" w:rsidRPr="008A22F0">
        <w:t>tes (</w:t>
      </w:r>
      <w:r w:rsidR="00594DC2" w:rsidRPr="008A22F0">
        <w:t xml:space="preserve">el </w:t>
      </w:r>
      <w:r w:rsidR="00CD189C" w:rsidRPr="008A22F0">
        <w:t>afecto positivo y</w:t>
      </w:r>
      <w:r w:rsidR="00614ED0" w:rsidRPr="008A22F0">
        <w:t xml:space="preserve"> </w:t>
      </w:r>
      <w:r w:rsidR="00594DC2" w:rsidRPr="008A22F0">
        <w:t xml:space="preserve">el </w:t>
      </w:r>
      <w:r w:rsidR="00614ED0" w:rsidRPr="008A22F0">
        <w:t>afecto negativo), y no limitarse únicamente a su representación a través de la satisfacción con la vida, puesto que existen resultados en la literatura científica que indican la predic</w:t>
      </w:r>
      <w:r w:rsidR="00594DC2" w:rsidRPr="008A22F0">
        <w:t>ción diferencial</w:t>
      </w:r>
      <w:r w:rsidR="00614ED0" w:rsidRPr="008A22F0">
        <w:t xml:space="preserve"> de </w:t>
      </w:r>
      <w:r w:rsidR="00CD189C" w:rsidRPr="008A22F0">
        <w:t>cada uno de los</w:t>
      </w:r>
      <w:r w:rsidR="00614ED0" w:rsidRPr="008A22F0">
        <w:t xml:space="preserve"> componentes </w:t>
      </w:r>
      <w:r w:rsidR="00CD189C" w:rsidRPr="008A22F0">
        <w:t xml:space="preserve">que integran </w:t>
      </w:r>
      <w:r w:rsidR="00614ED0" w:rsidRPr="008A22F0">
        <w:t>el bienestar subjetivo</w:t>
      </w:r>
      <w:r w:rsidR="00CD189C" w:rsidRPr="008A22F0">
        <w:t xml:space="preserve"> de l</w:t>
      </w:r>
      <w:r w:rsidR="00D42ED1" w:rsidRPr="008A22F0">
        <w:t>os alumnos</w:t>
      </w:r>
      <w:r w:rsidR="00614ED0" w:rsidRPr="008A22F0">
        <w:t>.</w:t>
      </w:r>
    </w:p>
    <w:p w:rsidR="004F234C" w:rsidRDefault="004F234C">
      <w:pPr>
        <w:spacing w:after="160" w:line="259" w:lineRule="auto"/>
        <w:rPr>
          <w:color w:val="0000CC"/>
        </w:rPr>
      </w:pPr>
      <w:r>
        <w:rPr>
          <w:color w:val="0000CC"/>
        </w:rPr>
        <w:br w:type="page"/>
      </w:r>
    </w:p>
    <w:p w:rsidR="00BD276D" w:rsidRDefault="00BD276D" w:rsidP="005E18D4">
      <w:pPr>
        <w:widowControl w:val="0"/>
        <w:ind w:left="284" w:hanging="284"/>
        <w:jc w:val="both"/>
        <w:rPr>
          <w:color w:val="0000CC"/>
        </w:rPr>
      </w:pPr>
    </w:p>
    <w:p w:rsidR="004F234C" w:rsidRPr="008150E3" w:rsidRDefault="004F234C" w:rsidP="004F234C">
      <w:pPr>
        <w:widowControl w:val="0"/>
        <w:spacing w:before="60" w:after="60"/>
        <w:ind w:left="360" w:right="44" w:hanging="360"/>
      </w:pPr>
      <w:r w:rsidRPr="008150E3">
        <w:t xml:space="preserve">Tabla 1.  </w:t>
      </w:r>
    </w:p>
    <w:p w:rsidR="004F234C" w:rsidRPr="008150E3" w:rsidRDefault="004F234C" w:rsidP="004F234C">
      <w:pPr>
        <w:widowControl w:val="0"/>
        <w:spacing w:before="60" w:after="60"/>
        <w:ind w:left="360" w:right="44" w:hanging="360"/>
      </w:pPr>
      <w:r w:rsidRPr="008150E3">
        <w:t>Distribución de la muestra según el sexo y el curso</w:t>
      </w:r>
    </w:p>
    <w:tbl>
      <w:tblPr>
        <w:tblW w:w="8038" w:type="dxa"/>
        <w:jc w:val="center"/>
        <w:tblLayout w:type="fixed"/>
        <w:tblLook w:val="01E0" w:firstRow="1" w:lastRow="1" w:firstColumn="1" w:lastColumn="1" w:noHBand="0" w:noVBand="0"/>
      </w:tblPr>
      <w:tblGrid>
        <w:gridCol w:w="1320"/>
        <w:gridCol w:w="1200"/>
        <w:gridCol w:w="1080"/>
        <w:gridCol w:w="1200"/>
        <w:gridCol w:w="1125"/>
        <w:gridCol w:w="1080"/>
        <w:gridCol w:w="1033"/>
      </w:tblGrid>
      <w:tr w:rsidR="004F234C" w:rsidRPr="008150E3" w:rsidTr="00E45D5D">
        <w:trPr>
          <w:jc w:val="center"/>
        </w:trPr>
        <w:tc>
          <w:tcPr>
            <w:tcW w:w="1320"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Curso</w:t>
            </w:r>
          </w:p>
        </w:tc>
        <w:tc>
          <w:tcPr>
            <w:tcW w:w="2280" w:type="dxa"/>
            <w:gridSpan w:val="2"/>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Chicos</w:t>
            </w:r>
          </w:p>
        </w:tc>
        <w:tc>
          <w:tcPr>
            <w:tcW w:w="2325" w:type="dxa"/>
            <w:gridSpan w:val="2"/>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Chicas</w:t>
            </w:r>
          </w:p>
        </w:tc>
        <w:tc>
          <w:tcPr>
            <w:tcW w:w="2113" w:type="dxa"/>
            <w:gridSpan w:val="2"/>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Total</w:t>
            </w:r>
          </w:p>
        </w:tc>
      </w:tr>
      <w:tr w:rsidR="004F234C" w:rsidRPr="008150E3" w:rsidTr="00E45D5D">
        <w:trPr>
          <w:jc w:val="center"/>
        </w:trPr>
        <w:tc>
          <w:tcPr>
            <w:tcW w:w="1320" w:type="dxa"/>
            <w:tcBorders>
              <w:top w:val="single" w:sz="4" w:space="0" w:color="auto"/>
            </w:tcBorders>
            <w:shd w:val="clear" w:color="auto" w:fill="auto"/>
          </w:tcPr>
          <w:p w:rsidR="004F234C" w:rsidRPr="008150E3" w:rsidRDefault="004F234C" w:rsidP="00E45D5D">
            <w:pPr>
              <w:widowControl w:val="0"/>
              <w:spacing w:line="240" w:lineRule="exact"/>
              <w:jc w:val="center"/>
            </w:pPr>
            <w:r w:rsidRPr="008150E3">
              <w:t>1º ESO</w:t>
            </w:r>
          </w:p>
        </w:tc>
        <w:tc>
          <w:tcPr>
            <w:tcW w:w="1200" w:type="dxa"/>
            <w:tcBorders>
              <w:top w:val="single" w:sz="4" w:space="0" w:color="auto"/>
            </w:tcBorders>
            <w:shd w:val="clear" w:color="auto" w:fill="auto"/>
          </w:tcPr>
          <w:p w:rsidR="004F234C" w:rsidRPr="008150E3" w:rsidRDefault="004F234C" w:rsidP="00E45D5D">
            <w:pPr>
              <w:widowControl w:val="0"/>
              <w:spacing w:line="240" w:lineRule="exact"/>
              <w:jc w:val="center"/>
            </w:pPr>
            <w:r w:rsidRPr="008150E3">
              <w:t>64</w:t>
            </w:r>
          </w:p>
        </w:tc>
        <w:tc>
          <w:tcPr>
            <w:tcW w:w="1080" w:type="dxa"/>
            <w:tcBorders>
              <w:top w:val="single" w:sz="4" w:space="0" w:color="auto"/>
            </w:tcBorders>
            <w:shd w:val="clear" w:color="auto" w:fill="auto"/>
          </w:tcPr>
          <w:p w:rsidR="004F234C" w:rsidRPr="008150E3" w:rsidRDefault="004F234C" w:rsidP="00E45D5D">
            <w:pPr>
              <w:widowControl w:val="0"/>
              <w:spacing w:line="240" w:lineRule="exact"/>
              <w:jc w:val="both"/>
            </w:pPr>
            <w:r w:rsidRPr="008150E3">
              <w:t>10.5%</w:t>
            </w:r>
          </w:p>
        </w:tc>
        <w:tc>
          <w:tcPr>
            <w:tcW w:w="1200" w:type="dxa"/>
            <w:tcBorders>
              <w:top w:val="single" w:sz="4" w:space="0" w:color="auto"/>
            </w:tcBorders>
            <w:shd w:val="clear" w:color="auto" w:fill="auto"/>
          </w:tcPr>
          <w:p w:rsidR="004F234C" w:rsidRPr="008150E3" w:rsidRDefault="004F234C" w:rsidP="00E45D5D">
            <w:pPr>
              <w:widowControl w:val="0"/>
              <w:spacing w:line="240" w:lineRule="exact"/>
              <w:jc w:val="center"/>
            </w:pPr>
            <w:r w:rsidRPr="008150E3">
              <w:t>51</w:t>
            </w:r>
          </w:p>
        </w:tc>
        <w:tc>
          <w:tcPr>
            <w:tcW w:w="1125" w:type="dxa"/>
            <w:tcBorders>
              <w:top w:val="single" w:sz="4" w:space="0" w:color="auto"/>
            </w:tcBorders>
            <w:shd w:val="clear" w:color="auto" w:fill="auto"/>
          </w:tcPr>
          <w:p w:rsidR="004F234C" w:rsidRPr="008150E3" w:rsidRDefault="004F234C" w:rsidP="00E45D5D">
            <w:pPr>
              <w:widowControl w:val="0"/>
              <w:spacing w:line="240" w:lineRule="exact"/>
              <w:jc w:val="center"/>
            </w:pPr>
            <w:r w:rsidRPr="008150E3">
              <w:t>8.4%</w:t>
            </w:r>
          </w:p>
        </w:tc>
        <w:tc>
          <w:tcPr>
            <w:tcW w:w="1080" w:type="dxa"/>
            <w:tcBorders>
              <w:top w:val="single" w:sz="4" w:space="0" w:color="auto"/>
            </w:tcBorders>
            <w:shd w:val="clear" w:color="auto" w:fill="auto"/>
          </w:tcPr>
          <w:p w:rsidR="004F234C" w:rsidRPr="008150E3" w:rsidRDefault="004F234C" w:rsidP="00E45D5D">
            <w:pPr>
              <w:widowControl w:val="0"/>
              <w:spacing w:line="240" w:lineRule="exact"/>
              <w:jc w:val="center"/>
            </w:pPr>
            <w:r w:rsidRPr="008150E3">
              <w:t>115</w:t>
            </w:r>
          </w:p>
        </w:tc>
        <w:tc>
          <w:tcPr>
            <w:tcW w:w="1033" w:type="dxa"/>
            <w:tcBorders>
              <w:top w:val="single" w:sz="4" w:space="0" w:color="auto"/>
            </w:tcBorders>
            <w:shd w:val="clear" w:color="auto" w:fill="auto"/>
          </w:tcPr>
          <w:p w:rsidR="004F234C" w:rsidRPr="008150E3" w:rsidRDefault="004F234C" w:rsidP="00E45D5D">
            <w:pPr>
              <w:widowControl w:val="0"/>
              <w:spacing w:line="240" w:lineRule="exact"/>
              <w:jc w:val="center"/>
            </w:pPr>
            <w:r w:rsidRPr="008150E3">
              <w:t>18.9%</w:t>
            </w:r>
          </w:p>
        </w:tc>
      </w:tr>
      <w:tr w:rsidR="004F234C" w:rsidRPr="008150E3" w:rsidTr="00E45D5D">
        <w:trPr>
          <w:jc w:val="center"/>
        </w:trPr>
        <w:tc>
          <w:tcPr>
            <w:tcW w:w="1320" w:type="dxa"/>
            <w:shd w:val="clear" w:color="auto" w:fill="auto"/>
          </w:tcPr>
          <w:p w:rsidR="004F234C" w:rsidRPr="008150E3" w:rsidRDefault="004F234C" w:rsidP="00E45D5D">
            <w:pPr>
              <w:widowControl w:val="0"/>
              <w:spacing w:line="240" w:lineRule="exact"/>
              <w:jc w:val="center"/>
            </w:pPr>
            <w:r w:rsidRPr="008150E3">
              <w:t>2º ESO</w:t>
            </w:r>
          </w:p>
        </w:tc>
        <w:tc>
          <w:tcPr>
            <w:tcW w:w="1200" w:type="dxa"/>
            <w:shd w:val="clear" w:color="auto" w:fill="auto"/>
          </w:tcPr>
          <w:p w:rsidR="004F234C" w:rsidRPr="008150E3" w:rsidRDefault="004F234C" w:rsidP="00E45D5D">
            <w:pPr>
              <w:widowControl w:val="0"/>
              <w:spacing w:line="240" w:lineRule="exact"/>
              <w:jc w:val="center"/>
            </w:pPr>
            <w:r w:rsidRPr="008150E3">
              <w:t>77</w:t>
            </w:r>
          </w:p>
        </w:tc>
        <w:tc>
          <w:tcPr>
            <w:tcW w:w="1080" w:type="dxa"/>
            <w:shd w:val="clear" w:color="auto" w:fill="auto"/>
          </w:tcPr>
          <w:p w:rsidR="004F234C" w:rsidRPr="008150E3" w:rsidRDefault="004F234C" w:rsidP="00E45D5D">
            <w:pPr>
              <w:widowControl w:val="0"/>
              <w:spacing w:line="240" w:lineRule="exact"/>
              <w:jc w:val="both"/>
            </w:pPr>
            <w:r w:rsidRPr="008150E3">
              <w:t>12.7%</w:t>
            </w:r>
          </w:p>
        </w:tc>
        <w:tc>
          <w:tcPr>
            <w:tcW w:w="1200" w:type="dxa"/>
            <w:shd w:val="clear" w:color="auto" w:fill="auto"/>
          </w:tcPr>
          <w:p w:rsidR="004F234C" w:rsidRPr="008150E3" w:rsidRDefault="004F234C" w:rsidP="00E45D5D">
            <w:pPr>
              <w:widowControl w:val="0"/>
              <w:spacing w:line="240" w:lineRule="exact"/>
              <w:jc w:val="center"/>
            </w:pPr>
            <w:r w:rsidRPr="008150E3">
              <w:t>60</w:t>
            </w:r>
          </w:p>
        </w:tc>
        <w:tc>
          <w:tcPr>
            <w:tcW w:w="1125" w:type="dxa"/>
            <w:shd w:val="clear" w:color="auto" w:fill="auto"/>
          </w:tcPr>
          <w:p w:rsidR="004F234C" w:rsidRPr="008150E3" w:rsidRDefault="004F234C" w:rsidP="00E45D5D">
            <w:pPr>
              <w:widowControl w:val="0"/>
              <w:spacing w:line="240" w:lineRule="exact"/>
              <w:jc w:val="center"/>
            </w:pPr>
            <w:r w:rsidRPr="008150E3">
              <w:t>9.9%</w:t>
            </w:r>
          </w:p>
        </w:tc>
        <w:tc>
          <w:tcPr>
            <w:tcW w:w="1080" w:type="dxa"/>
            <w:shd w:val="clear" w:color="auto" w:fill="auto"/>
          </w:tcPr>
          <w:p w:rsidR="004F234C" w:rsidRPr="008150E3" w:rsidRDefault="004F234C" w:rsidP="00E45D5D">
            <w:pPr>
              <w:widowControl w:val="0"/>
              <w:spacing w:line="240" w:lineRule="exact"/>
              <w:jc w:val="center"/>
            </w:pPr>
            <w:r w:rsidRPr="008150E3">
              <w:t>137</w:t>
            </w:r>
          </w:p>
        </w:tc>
        <w:tc>
          <w:tcPr>
            <w:tcW w:w="1033" w:type="dxa"/>
            <w:shd w:val="clear" w:color="auto" w:fill="auto"/>
          </w:tcPr>
          <w:p w:rsidR="004F234C" w:rsidRPr="008150E3" w:rsidRDefault="004F234C" w:rsidP="00E45D5D">
            <w:pPr>
              <w:widowControl w:val="0"/>
              <w:spacing w:line="240" w:lineRule="exact"/>
              <w:jc w:val="center"/>
            </w:pPr>
            <w:r w:rsidRPr="008150E3">
              <w:t>22.5%</w:t>
            </w:r>
          </w:p>
        </w:tc>
      </w:tr>
      <w:tr w:rsidR="004F234C" w:rsidRPr="008150E3" w:rsidTr="00E45D5D">
        <w:trPr>
          <w:jc w:val="center"/>
        </w:trPr>
        <w:tc>
          <w:tcPr>
            <w:tcW w:w="1320" w:type="dxa"/>
            <w:shd w:val="clear" w:color="auto" w:fill="auto"/>
          </w:tcPr>
          <w:p w:rsidR="004F234C" w:rsidRPr="008150E3" w:rsidRDefault="004F234C" w:rsidP="00E45D5D">
            <w:pPr>
              <w:widowControl w:val="0"/>
              <w:spacing w:line="240" w:lineRule="exact"/>
              <w:jc w:val="center"/>
            </w:pPr>
            <w:r w:rsidRPr="008150E3">
              <w:t>3º ESO</w:t>
            </w:r>
          </w:p>
        </w:tc>
        <w:tc>
          <w:tcPr>
            <w:tcW w:w="1200" w:type="dxa"/>
            <w:shd w:val="clear" w:color="auto" w:fill="auto"/>
          </w:tcPr>
          <w:p w:rsidR="004F234C" w:rsidRPr="008150E3" w:rsidRDefault="004F234C" w:rsidP="00E45D5D">
            <w:pPr>
              <w:widowControl w:val="0"/>
              <w:spacing w:line="240" w:lineRule="exact"/>
              <w:jc w:val="center"/>
            </w:pPr>
            <w:r w:rsidRPr="008150E3">
              <w:t>73</w:t>
            </w:r>
          </w:p>
        </w:tc>
        <w:tc>
          <w:tcPr>
            <w:tcW w:w="1080" w:type="dxa"/>
            <w:shd w:val="clear" w:color="auto" w:fill="auto"/>
          </w:tcPr>
          <w:p w:rsidR="004F234C" w:rsidRPr="008150E3" w:rsidRDefault="004F234C" w:rsidP="00E45D5D">
            <w:pPr>
              <w:widowControl w:val="0"/>
              <w:spacing w:line="240" w:lineRule="exact"/>
              <w:jc w:val="both"/>
            </w:pPr>
            <w:r w:rsidRPr="008150E3">
              <w:t>20.0%</w:t>
            </w:r>
          </w:p>
        </w:tc>
        <w:tc>
          <w:tcPr>
            <w:tcW w:w="1200" w:type="dxa"/>
            <w:shd w:val="clear" w:color="auto" w:fill="auto"/>
          </w:tcPr>
          <w:p w:rsidR="004F234C" w:rsidRPr="008150E3" w:rsidRDefault="004F234C" w:rsidP="00E45D5D">
            <w:pPr>
              <w:widowControl w:val="0"/>
              <w:spacing w:line="240" w:lineRule="exact"/>
              <w:jc w:val="center"/>
            </w:pPr>
            <w:r w:rsidRPr="008150E3">
              <w:t>60</w:t>
            </w:r>
          </w:p>
        </w:tc>
        <w:tc>
          <w:tcPr>
            <w:tcW w:w="1125" w:type="dxa"/>
            <w:shd w:val="clear" w:color="auto" w:fill="auto"/>
          </w:tcPr>
          <w:p w:rsidR="004F234C" w:rsidRPr="008150E3" w:rsidRDefault="004F234C" w:rsidP="00E45D5D">
            <w:pPr>
              <w:widowControl w:val="0"/>
              <w:spacing w:line="240" w:lineRule="exact"/>
              <w:jc w:val="center"/>
            </w:pPr>
            <w:r w:rsidRPr="008150E3">
              <w:t>9.9%</w:t>
            </w:r>
          </w:p>
        </w:tc>
        <w:tc>
          <w:tcPr>
            <w:tcW w:w="1080" w:type="dxa"/>
            <w:shd w:val="clear" w:color="auto" w:fill="auto"/>
          </w:tcPr>
          <w:p w:rsidR="004F234C" w:rsidRPr="008150E3" w:rsidRDefault="004F234C" w:rsidP="00E45D5D">
            <w:pPr>
              <w:widowControl w:val="0"/>
              <w:spacing w:line="240" w:lineRule="exact"/>
              <w:jc w:val="center"/>
            </w:pPr>
            <w:r w:rsidRPr="008150E3">
              <w:t>133</w:t>
            </w:r>
          </w:p>
        </w:tc>
        <w:tc>
          <w:tcPr>
            <w:tcW w:w="1033" w:type="dxa"/>
            <w:shd w:val="clear" w:color="auto" w:fill="auto"/>
          </w:tcPr>
          <w:p w:rsidR="004F234C" w:rsidRPr="008150E3" w:rsidRDefault="004F234C" w:rsidP="00E45D5D">
            <w:pPr>
              <w:widowControl w:val="0"/>
              <w:spacing w:line="240" w:lineRule="exact"/>
              <w:jc w:val="center"/>
            </w:pPr>
            <w:r w:rsidRPr="008150E3">
              <w:t>21.9%</w:t>
            </w:r>
          </w:p>
        </w:tc>
      </w:tr>
      <w:tr w:rsidR="004F234C" w:rsidRPr="008150E3" w:rsidTr="00E45D5D">
        <w:trPr>
          <w:jc w:val="center"/>
        </w:trPr>
        <w:tc>
          <w:tcPr>
            <w:tcW w:w="1320" w:type="dxa"/>
            <w:shd w:val="clear" w:color="auto" w:fill="auto"/>
          </w:tcPr>
          <w:p w:rsidR="004F234C" w:rsidRPr="008150E3" w:rsidRDefault="004F234C" w:rsidP="00E45D5D">
            <w:pPr>
              <w:widowControl w:val="0"/>
              <w:spacing w:line="240" w:lineRule="exact"/>
              <w:jc w:val="center"/>
            </w:pPr>
            <w:r w:rsidRPr="008150E3">
              <w:t>4º ESO</w:t>
            </w:r>
          </w:p>
        </w:tc>
        <w:tc>
          <w:tcPr>
            <w:tcW w:w="1200" w:type="dxa"/>
            <w:shd w:val="clear" w:color="auto" w:fill="auto"/>
          </w:tcPr>
          <w:p w:rsidR="004F234C" w:rsidRPr="008150E3" w:rsidRDefault="004F234C" w:rsidP="00E45D5D">
            <w:pPr>
              <w:widowControl w:val="0"/>
              <w:spacing w:line="240" w:lineRule="exact"/>
              <w:jc w:val="center"/>
            </w:pPr>
            <w:r w:rsidRPr="008150E3">
              <w:t>70</w:t>
            </w:r>
          </w:p>
        </w:tc>
        <w:tc>
          <w:tcPr>
            <w:tcW w:w="1080" w:type="dxa"/>
            <w:shd w:val="clear" w:color="auto" w:fill="auto"/>
          </w:tcPr>
          <w:p w:rsidR="004F234C" w:rsidRPr="008150E3" w:rsidRDefault="004F234C" w:rsidP="00E45D5D">
            <w:pPr>
              <w:widowControl w:val="0"/>
              <w:spacing w:line="240" w:lineRule="exact"/>
              <w:jc w:val="both"/>
            </w:pPr>
            <w:r w:rsidRPr="008150E3">
              <w:t>11.5%</w:t>
            </w:r>
          </w:p>
        </w:tc>
        <w:tc>
          <w:tcPr>
            <w:tcW w:w="1200" w:type="dxa"/>
            <w:shd w:val="clear" w:color="auto" w:fill="auto"/>
          </w:tcPr>
          <w:p w:rsidR="004F234C" w:rsidRPr="008150E3" w:rsidRDefault="004F234C" w:rsidP="00E45D5D">
            <w:pPr>
              <w:widowControl w:val="0"/>
              <w:spacing w:line="240" w:lineRule="exact"/>
              <w:jc w:val="center"/>
            </w:pPr>
            <w:r w:rsidRPr="008150E3">
              <w:t>50</w:t>
            </w:r>
          </w:p>
        </w:tc>
        <w:tc>
          <w:tcPr>
            <w:tcW w:w="1125" w:type="dxa"/>
            <w:shd w:val="clear" w:color="auto" w:fill="auto"/>
          </w:tcPr>
          <w:p w:rsidR="004F234C" w:rsidRPr="008150E3" w:rsidRDefault="004F234C" w:rsidP="00E45D5D">
            <w:pPr>
              <w:widowControl w:val="0"/>
              <w:spacing w:line="240" w:lineRule="exact"/>
              <w:jc w:val="center"/>
            </w:pPr>
            <w:r w:rsidRPr="008150E3">
              <w:t>8.2%</w:t>
            </w:r>
          </w:p>
        </w:tc>
        <w:tc>
          <w:tcPr>
            <w:tcW w:w="1080" w:type="dxa"/>
            <w:shd w:val="clear" w:color="auto" w:fill="auto"/>
          </w:tcPr>
          <w:p w:rsidR="004F234C" w:rsidRPr="008150E3" w:rsidRDefault="004F234C" w:rsidP="00E45D5D">
            <w:pPr>
              <w:widowControl w:val="0"/>
              <w:spacing w:line="240" w:lineRule="exact"/>
              <w:jc w:val="center"/>
            </w:pPr>
            <w:r w:rsidRPr="008150E3">
              <w:t>120</w:t>
            </w:r>
          </w:p>
        </w:tc>
        <w:tc>
          <w:tcPr>
            <w:tcW w:w="1033" w:type="dxa"/>
            <w:shd w:val="clear" w:color="auto" w:fill="auto"/>
          </w:tcPr>
          <w:p w:rsidR="004F234C" w:rsidRPr="008150E3" w:rsidRDefault="004F234C" w:rsidP="00E45D5D">
            <w:pPr>
              <w:widowControl w:val="0"/>
              <w:spacing w:line="240" w:lineRule="exact"/>
              <w:jc w:val="center"/>
            </w:pPr>
            <w:r w:rsidRPr="008150E3">
              <w:t>19.7%</w:t>
            </w:r>
          </w:p>
        </w:tc>
      </w:tr>
      <w:tr w:rsidR="004F234C" w:rsidRPr="008150E3" w:rsidTr="00E45D5D">
        <w:trPr>
          <w:jc w:val="center"/>
        </w:trPr>
        <w:tc>
          <w:tcPr>
            <w:tcW w:w="1320" w:type="dxa"/>
            <w:tcBorders>
              <w:bottom w:val="single" w:sz="4" w:space="0" w:color="auto"/>
            </w:tcBorders>
            <w:shd w:val="clear" w:color="auto" w:fill="auto"/>
          </w:tcPr>
          <w:p w:rsidR="004F234C" w:rsidRPr="008150E3" w:rsidRDefault="004F234C" w:rsidP="00E45D5D">
            <w:pPr>
              <w:widowControl w:val="0"/>
              <w:spacing w:line="240" w:lineRule="exact"/>
              <w:jc w:val="center"/>
            </w:pPr>
            <w:r w:rsidRPr="008150E3">
              <w:t>1º BACH.</w:t>
            </w:r>
          </w:p>
        </w:tc>
        <w:tc>
          <w:tcPr>
            <w:tcW w:w="1200" w:type="dxa"/>
            <w:tcBorders>
              <w:bottom w:val="single" w:sz="4" w:space="0" w:color="auto"/>
            </w:tcBorders>
            <w:shd w:val="clear" w:color="auto" w:fill="auto"/>
          </w:tcPr>
          <w:p w:rsidR="004F234C" w:rsidRPr="008150E3" w:rsidRDefault="004F234C" w:rsidP="00E45D5D">
            <w:pPr>
              <w:widowControl w:val="0"/>
              <w:spacing w:line="240" w:lineRule="exact"/>
              <w:jc w:val="center"/>
            </w:pPr>
            <w:r w:rsidRPr="008150E3">
              <w:t>52</w:t>
            </w:r>
          </w:p>
        </w:tc>
        <w:tc>
          <w:tcPr>
            <w:tcW w:w="1080" w:type="dxa"/>
            <w:tcBorders>
              <w:bottom w:val="single" w:sz="4" w:space="0" w:color="auto"/>
            </w:tcBorders>
            <w:shd w:val="clear" w:color="auto" w:fill="auto"/>
          </w:tcPr>
          <w:p w:rsidR="004F234C" w:rsidRPr="008150E3" w:rsidRDefault="004F234C" w:rsidP="00E45D5D">
            <w:pPr>
              <w:widowControl w:val="0"/>
              <w:spacing w:line="240" w:lineRule="exact"/>
              <w:jc w:val="both"/>
            </w:pPr>
            <w:r w:rsidRPr="008150E3">
              <w:t>8.6%</w:t>
            </w:r>
          </w:p>
        </w:tc>
        <w:tc>
          <w:tcPr>
            <w:tcW w:w="1200" w:type="dxa"/>
            <w:tcBorders>
              <w:bottom w:val="single" w:sz="4" w:space="0" w:color="auto"/>
            </w:tcBorders>
            <w:shd w:val="clear" w:color="auto" w:fill="auto"/>
          </w:tcPr>
          <w:p w:rsidR="004F234C" w:rsidRPr="008150E3" w:rsidRDefault="004F234C" w:rsidP="00E45D5D">
            <w:pPr>
              <w:widowControl w:val="0"/>
              <w:spacing w:line="240" w:lineRule="exact"/>
              <w:jc w:val="center"/>
            </w:pPr>
            <w:r w:rsidRPr="008150E3">
              <w:t>51</w:t>
            </w:r>
          </w:p>
        </w:tc>
        <w:tc>
          <w:tcPr>
            <w:tcW w:w="1125" w:type="dxa"/>
            <w:tcBorders>
              <w:bottom w:val="single" w:sz="4" w:space="0" w:color="auto"/>
            </w:tcBorders>
            <w:shd w:val="clear" w:color="auto" w:fill="auto"/>
          </w:tcPr>
          <w:p w:rsidR="004F234C" w:rsidRPr="008150E3" w:rsidRDefault="004F234C" w:rsidP="00E45D5D">
            <w:pPr>
              <w:widowControl w:val="0"/>
              <w:spacing w:line="240" w:lineRule="exact"/>
              <w:jc w:val="center"/>
            </w:pPr>
            <w:r w:rsidRPr="008150E3">
              <w:t>8.4%</w:t>
            </w:r>
          </w:p>
        </w:tc>
        <w:tc>
          <w:tcPr>
            <w:tcW w:w="1080" w:type="dxa"/>
            <w:tcBorders>
              <w:bottom w:val="single" w:sz="4" w:space="0" w:color="auto"/>
            </w:tcBorders>
            <w:shd w:val="clear" w:color="auto" w:fill="auto"/>
          </w:tcPr>
          <w:p w:rsidR="004F234C" w:rsidRPr="008150E3" w:rsidRDefault="004F234C" w:rsidP="00E45D5D">
            <w:pPr>
              <w:widowControl w:val="0"/>
              <w:spacing w:line="240" w:lineRule="exact"/>
              <w:jc w:val="center"/>
            </w:pPr>
            <w:r w:rsidRPr="008150E3">
              <w:t>103</w:t>
            </w:r>
          </w:p>
        </w:tc>
        <w:tc>
          <w:tcPr>
            <w:tcW w:w="1033" w:type="dxa"/>
            <w:tcBorders>
              <w:bottom w:val="single" w:sz="4" w:space="0" w:color="auto"/>
            </w:tcBorders>
            <w:shd w:val="clear" w:color="auto" w:fill="auto"/>
          </w:tcPr>
          <w:p w:rsidR="004F234C" w:rsidRPr="008150E3" w:rsidRDefault="004F234C" w:rsidP="00E45D5D">
            <w:pPr>
              <w:widowControl w:val="0"/>
              <w:spacing w:line="240" w:lineRule="exact"/>
              <w:jc w:val="center"/>
            </w:pPr>
            <w:r w:rsidRPr="008150E3">
              <w:t>16.9%</w:t>
            </w:r>
          </w:p>
        </w:tc>
      </w:tr>
      <w:tr w:rsidR="004F234C" w:rsidRPr="008150E3" w:rsidTr="00E45D5D">
        <w:trPr>
          <w:jc w:val="center"/>
        </w:trPr>
        <w:tc>
          <w:tcPr>
            <w:tcW w:w="1320"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Total</w:t>
            </w:r>
          </w:p>
        </w:tc>
        <w:tc>
          <w:tcPr>
            <w:tcW w:w="1200"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336</w:t>
            </w:r>
          </w:p>
        </w:tc>
        <w:tc>
          <w:tcPr>
            <w:tcW w:w="1080"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both"/>
            </w:pPr>
            <w:r w:rsidRPr="008150E3">
              <w:t>55.3%</w:t>
            </w:r>
          </w:p>
        </w:tc>
        <w:tc>
          <w:tcPr>
            <w:tcW w:w="1200"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272</w:t>
            </w:r>
          </w:p>
        </w:tc>
        <w:tc>
          <w:tcPr>
            <w:tcW w:w="1125"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44.7%</w:t>
            </w:r>
          </w:p>
        </w:tc>
        <w:tc>
          <w:tcPr>
            <w:tcW w:w="1080"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608</w:t>
            </w:r>
          </w:p>
        </w:tc>
        <w:tc>
          <w:tcPr>
            <w:tcW w:w="1033" w:type="dxa"/>
            <w:tcBorders>
              <w:top w:val="single" w:sz="4" w:space="0" w:color="auto"/>
              <w:bottom w:val="single" w:sz="4" w:space="0" w:color="auto"/>
            </w:tcBorders>
            <w:shd w:val="clear" w:color="auto" w:fill="auto"/>
          </w:tcPr>
          <w:p w:rsidR="004F234C" w:rsidRPr="008150E3" w:rsidRDefault="004F234C" w:rsidP="00E45D5D">
            <w:pPr>
              <w:widowControl w:val="0"/>
              <w:spacing w:line="240" w:lineRule="exact"/>
              <w:jc w:val="center"/>
            </w:pPr>
            <w:r w:rsidRPr="008150E3">
              <w:t>100.0%</w:t>
            </w:r>
          </w:p>
        </w:tc>
      </w:tr>
    </w:tbl>
    <w:p w:rsidR="004F234C" w:rsidRDefault="004F234C" w:rsidP="005E18D4">
      <w:pPr>
        <w:widowControl w:val="0"/>
        <w:ind w:left="284" w:hanging="284"/>
        <w:jc w:val="both"/>
        <w:rPr>
          <w:color w:val="0000CC"/>
        </w:rPr>
      </w:pPr>
    </w:p>
    <w:p w:rsidR="004F234C" w:rsidRDefault="004F234C" w:rsidP="005E18D4">
      <w:pPr>
        <w:widowControl w:val="0"/>
        <w:ind w:left="284" w:hanging="284"/>
        <w:jc w:val="both"/>
        <w:rPr>
          <w:color w:val="0000CC"/>
        </w:rPr>
      </w:pPr>
    </w:p>
    <w:p w:rsidR="004F234C" w:rsidRDefault="004F234C" w:rsidP="005E18D4">
      <w:pPr>
        <w:widowControl w:val="0"/>
        <w:ind w:left="284" w:hanging="284"/>
        <w:jc w:val="both"/>
        <w:rPr>
          <w:color w:val="0000CC"/>
        </w:rPr>
      </w:pPr>
    </w:p>
    <w:p w:rsidR="004F234C" w:rsidRDefault="004F234C" w:rsidP="005E18D4">
      <w:pPr>
        <w:widowControl w:val="0"/>
        <w:ind w:left="284" w:hanging="284"/>
        <w:jc w:val="both"/>
        <w:rPr>
          <w:color w:val="0000CC"/>
        </w:rPr>
      </w:pPr>
    </w:p>
    <w:p w:rsidR="004F234C" w:rsidRDefault="004F234C" w:rsidP="005E18D4">
      <w:pPr>
        <w:widowControl w:val="0"/>
        <w:ind w:left="284" w:hanging="284"/>
        <w:jc w:val="both"/>
        <w:rPr>
          <w:color w:val="0000CC"/>
        </w:rPr>
      </w:pPr>
    </w:p>
    <w:p w:rsidR="004F234C" w:rsidRPr="00DC106D" w:rsidRDefault="004F234C" w:rsidP="004F234C">
      <w:pPr>
        <w:spacing w:before="120"/>
        <w:jc w:val="both"/>
        <w:rPr>
          <w:sz w:val="22"/>
          <w:szCs w:val="22"/>
        </w:rPr>
      </w:pPr>
      <w:r w:rsidRPr="00DC106D">
        <w:rPr>
          <w:sz w:val="22"/>
          <w:szCs w:val="22"/>
        </w:rPr>
        <w:t xml:space="preserve">Tabla 2. </w:t>
      </w:r>
    </w:p>
    <w:p w:rsidR="004F234C" w:rsidRPr="00DC106D" w:rsidRDefault="004F234C" w:rsidP="004F234C">
      <w:pPr>
        <w:jc w:val="both"/>
        <w:rPr>
          <w:sz w:val="22"/>
          <w:szCs w:val="22"/>
        </w:rPr>
      </w:pPr>
      <w:r w:rsidRPr="00DC106D">
        <w:rPr>
          <w:sz w:val="22"/>
          <w:szCs w:val="22"/>
        </w:rPr>
        <w:t>Medias, desviaciones típicas, alfas y correlaciones bivariadas entre las variables estudiadas</w:t>
      </w:r>
    </w:p>
    <w:p w:rsidR="004F234C" w:rsidRPr="00DC106D" w:rsidRDefault="004F234C" w:rsidP="004F234C">
      <w:pPr>
        <w:rPr>
          <w:i/>
          <w:sz w:val="22"/>
          <w:szCs w:val="22"/>
        </w:rPr>
      </w:pPr>
    </w:p>
    <w:tbl>
      <w:tblPr>
        <w:tblW w:w="8209" w:type="dxa"/>
        <w:jc w:val="center"/>
        <w:tblLook w:val="01E0" w:firstRow="1" w:lastRow="1" w:firstColumn="1" w:lastColumn="1" w:noHBand="0" w:noVBand="0"/>
      </w:tblPr>
      <w:tblGrid>
        <w:gridCol w:w="1405"/>
        <w:gridCol w:w="567"/>
        <w:gridCol w:w="567"/>
        <w:gridCol w:w="567"/>
        <w:gridCol w:w="567"/>
        <w:gridCol w:w="567"/>
        <w:gridCol w:w="567"/>
        <w:gridCol w:w="567"/>
        <w:gridCol w:w="567"/>
        <w:gridCol w:w="567"/>
        <w:gridCol w:w="567"/>
        <w:gridCol w:w="567"/>
        <w:gridCol w:w="567"/>
      </w:tblGrid>
      <w:tr w:rsidR="004F234C" w:rsidRPr="00DC106D" w:rsidTr="00E45D5D">
        <w:trPr>
          <w:jc w:val="center"/>
        </w:trPr>
        <w:tc>
          <w:tcPr>
            <w:tcW w:w="1405" w:type="dxa"/>
            <w:tcBorders>
              <w:top w:val="single" w:sz="4" w:space="0" w:color="auto"/>
              <w:bottom w:val="single" w:sz="4" w:space="0" w:color="auto"/>
            </w:tcBorders>
            <w:vAlign w:val="center"/>
          </w:tcPr>
          <w:p w:rsidR="004F234C" w:rsidRPr="00DC106D" w:rsidRDefault="004F234C" w:rsidP="00E45D5D">
            <w:pPr>
              <w:spacing w:line="360" w:lineRule="auto"/>
              <w:rPr>
                <w:b/>
                <w:sz w:val="20"/>
                <w:szCs w:val="20"/>
              </w:rPr>
            </w:pPr>
            <w:r w:rsidRPr="00DC106D">
              <w:rPr>
                <w:b/>
                <w:sz w:val="20"/>
                <w:szCs w:val="20"/>
              </w:rPr>
              <w:t>Variables</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1</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2</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3</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4</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5</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6</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7</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8</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9</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10</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11</w:t>
            </w:r>
          </w:p>
        </w:tc>
        <w:tc>
          <w:tcPr>
            <w:tcW w:w="567" w:type="dxa"/>
            <w:tcBorders>
              <w:top w:val="single" w:sz="4" w:space="0" w:color="auto"/>
              <w:bottom w:val="single" w:sz="4" w:space="0" w:color="auto"/>
            </w:tcBorders>
            <w:vAlign w:val="center"/>
          </w:tcPr>
          <w:p w:rsidR="004F234C" w:rsidRPr="00DC106D" w:rsidRDefault="004F234C" w:rsidP="00E45D5D">
            <w:pPr>
              <w:spacing w:line="360" w:lineRule="auto"/>
              <w:jc w:val="center"/>
              <w:rPr>
                <w:b/>
                <w:sz w:val="20"/>
                <w:szCs w:val="20"/>
              </w:rPr>
            </w:pPr>
            <w:r w:rsidRPr="00DC106D">
              <w:rPr>
                <w:b/>
                <w:sz w:val="20"/>
                <w:szCs w:val="20"/>
              </w:rPr>
              <w:t>12</w:t>
            </w:r>
          </w:p>
        </w:tc>
      </w:tr>
      <w:tr w:rsidR="004F234C" w:rsidRPr="00DC106D" w:rsidTr="00E45D5D">
        <w:trPr>
          <w:jc w:val="center"/>
        </w:trPr>
        <w:tc>
          <w:tcPr>
            <w:tcW w:w="1405" w:type="dxa"/>
            <w:tcBorders>
              <w:top w:val="single" w:sz="4" w:space="0" w:color="auto"/>
            </w:tcBorders>
            <w:vAlign w:val="center"/>
          </w:tcPr>
          <w:p w:rsidR="004F234C" w:rsidRPr="00DC106D" w:rsidRDefault="004F234C" w:rsidP="00E45D5D">
            <w:pPr>
              <w:spacing w:line="360" w:lineRule="auto"/>
              <w:rPr>
                <w:sz w:val="20"/>
                <w:szCs w:val="20"/>
              </w:rPr>
            </w:pPr>
            <w:r w:rsidRPr="00DC106D">
              <w:rPr>
                <w:sz w:val="20"/>
                <w:szCs w:val="20"/>
              </w:rPr>
              <w:t>1.BusqPrAl</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.68</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.65</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.27</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.42</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.89</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.55</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.69</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.48</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.41</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.57</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.60</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2. PrApProf</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.55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.17</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.23</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.91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.38</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.58</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.29</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.33</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.56</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3. BuComAl</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.36</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.49</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.65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.74</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.56</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.55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.48</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.45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.47</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4. PrComProf</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.57</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.22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.78</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.21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.26</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.36</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.19</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5. MiedoErr</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.33</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.89</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.39</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.40</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.028</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6. ClMaestría</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.48</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.68</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.38</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.39</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.42</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.62</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7. ClRendim.</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.43</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.44</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.43</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.50</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.38</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8. AprMaest.</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.49</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.56</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.47</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.50</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9. EvMaestría</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shd w:val="clear" w:color="auto" w:fill="auto"/>
            <w:vAlign w:val="center"/>
          </w:tcPr>
          <w:p w:rsidR="004F234C" w:rsidRPr="00DC106D" w:rsidRDefault="004F234C" w:rsidP="00E45D5D">
            <w:pPr>
              <w:spacing w:line="360" w:lineRule="auto"/>
              <w:jc w:val="center"/>
              <w:rPr>
                <w:sz w:val="20"/>
                <w:szCs w:val="20"/>
              </w:rPr>
            </w:pP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.43</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.56</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.28</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10. AprRend.</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shd w:val="clear" w:color="auto" w:fill="auto"/>
            <w:vAlign w:val="center"/>
          </w:tcPr>
          <w:p w:rsidR="004F234C" w:rsidRPr="00DC106D" w:rsidRDefault="004F234C" w:rsidP="00E45D5D">
            <w:pPr>
              <w:spacing w:line="360" w:lineRule="auto"/>
              <w:jc w:val="center"/>
              <w:rPr>
                <w:sz w:val="20"/>
                <w:szCs w:val="20"/>
              </w:rPr>
            </w:pPr>
          </w:p>
        </w:tc>
        <w:tc>
          <w:tcPr>
            <w:tcW w:w="567" w:type="dxa"/>
            <w:shd w:val="clear" w:color="auto" w:fill="auto"/>
            <w:vAlign w:val="center"/>
          </w:tcPr>
          <w:p w:rsidR="004F234C" w:rsidRPr="00DC106D" w:rsidRDefault="004F234C" w:rsidP="00E45D5D">
            <w:pPr>
              <w:spacing w:line="360" w:lineRule="auto"/>
              <w:jc w:val="center"/>
              <w:rPr>
                <w:sz w:val="20"/>
                <w:szCs w:val="20"/>
              </w:rPr>
            </w:pP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.40</w:t>
            </w:r>
          </w:p>
        </w:tc>
        <w:tc>
          <w:tcPr>
            <w:tcW w:w="567" w:type="dxa"/>
            <w:shd w:val="clear" w:color="auto" w:fill="auto"/>
            <w:vAlign w:val="center"/>
          </w:tcPr>
          <w:p w:rsidR="004F234C" w:rsidRPr="00DC106D" w:rsidRDefault="004F234C" w:rsidP="00E45D5D">
            <w:pPr>
              <w:spacing w:line="360" w:lineRule="auto"/>
              <w:jc w:val="center"/>
              <w:rPr>
                <w:sz w:val="20"/>
                <w:szCs w:val="20"/>
              </w:rPr>
            </w:pPr>
            <w:r w:rsidRPr="00DC106D">
              <w:rPr>
                <w:sz w:val="20"/>
                <w:szCs w:val="20"/>
              </w:rPr>
              <w:t>.30</w:t>
            </w:r>
          </w:p>
        </w:tc>
      </w:tr>
      <w:tr w:rsidR="004F234C" w:rsidRPr="00DC106D" w:rsidTr="00E45D5D">
        <w:trPr>
          <w:jc w:val="center"/>
        </w:trPr>
        <w:tc>
          <w:tcPr>
            <w:tcW w:w="1405" w:type="dxa"/>
            <w:vAlign w:val="center"/>
          </w:tcPr>
          <w:p w:rsidR="004F234C" w:rsidRPr="00DC106D" w:rsidRDefault="004F234C" w:rsidP="00E45D5D">
            <w:pPr>
              <w:spacing w:line="360" w:lineRule="auto"/>
              <w:rPr>
                <w:sz w:val="20"/>
                <w:szCs w:val="20"/>
              </w:rPr>
            </w:pPr>
            <w:r w:rsidRPr="00DC106D">
              <w:rPr>
                <w:sz w:val="20"/>
                <w:szCs w:val="20"/>
              </w:rPr>
              <w:t>11. EvRend.</w:t>
            </w: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1</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.35</w:t>
            </w:r>
          </w:p>
        </w:tc>
      </w:tr>
      <w:tr w:rsidR="004F234C" w:rsidRPr="00DC106D" w:rsidTr="00E45D5D">
        <w:trPr>
          <w:jc w:val="center"/>
        </w:trPr>
        <w:tc>
          <w:tcPr>
            <w:tcW w:w="1405" w:type="dxa"/>
            <w:tcBorders>
              <w:bottom w:val="single" w:sz="4" w:space="0" w:color="auto"/>
            </w:tcBorders>
            <w:vAlign w:val="center"/>
          </w:tcPr>
          <w:p w:rsidR="004F234C" w:rsidRPr="00DC106D" w:rsidRDefault="004F234C" w:rsidP="00E45D5D">
            <w:pPr>
              <w:spacing w:line="360" w:lineRule="auto"/>
              <w:rPr>
                <w:sz w:val="20"/>
                <w:szCs w:val="20"/>
              </w:rPr>
            </w:pPr>
            <w:r w:rsidRPr="00DC106D">
              <w:rPr>
                <w:sz w:val="20"/>
                <w:szCs w:val="20"/>
              </w:rPr>
              <w:t>12. SatVida</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1</w:t>
            </w:r>
          </w:p>
        </w:tc>
      </w:tr>
      <w:tr w:rsidR="004F234C" w:rsidRPr="00DC106D" w:rsidTr="00E45D5D">
        <w:trPr>
          <w:jc w:val="center"/>
        </w:trPr>
        <w:tc>
          <w:tcPr>
            <w:tcW w:w="1405" w:type="dxa"/>
            <w:tcBorders>
              <w:top w:val="single" w:sz="4" w:space="0" w:color="auto"/>
            </w:tcBorders>
            <w:vAlign w:val="center"/>
          </w:tcPr>
          <w:p w:rsidR="004F234C" w:rsidRPr="00DC106D" w:rsidRDefault="004F234C" w:rsidP="00E45D5D">
            <w:pPr>
              <w:spacing w:line="360" w:lineRule="auto"/>
              <w:rPr>
                <w:i/>
                <w:sz w:val="20"/>
                <w:szCs w:val="20"/>
              </w:rPr>
            </w:pPr>
            <w:r w:rsidRPr="00DC106D">
              <w:rPr>
                <w:i/>
                <w:sz w:val="20"/>
                <w:szCs w:val="20"/>
              </w:rPr>
              <w:t>M</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3.19</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3.54</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3.33</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2.72</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2.82</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3.39</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2.94</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3.44</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2.91</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3.10</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3.08</w:t>
            </w:r>
          </w:p>
        </w:tc>
        <w:tc>
          <w:tcPr>
            <w:tcW w:w="567" w:type="dxa"/>
            <w:tcBorders>
              <w:top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3.60</w:t>
            </w:r>
          </w:p>
        </w:tc>
      </w:tr>
      <w:tr w:rsidR="004F234C" w:rsidRPr="00DC106D" w:rsidTr="00E45D5D">
        <w:trPr>
          <w:jc w:val="center"/>
        </w:trPr>
        <w:tc>
          <w:tcPr>
            <w:tcW w:w="1405" w:type="dxa"/>
            <w:vAlign w:val="center"/>
          </w:tcPr>
          <w:p w:rsidR="004F234C" w:rsidRPr="00DC106D" w:rsidRDefault="004F234C" w:rsidP="00E45D5D">
            <w:pPr>
              <w:spacing w:line="360" w:lineRule="auto"/>
              <w:rPr>
                <w:i/>
                <w:sz w:val="20"/>
                <w:szCs w:val="20"/>
              </w:rPr>
            </w:pPr>
            <w:r w:rsidRPr="00DC106D">
              <w:rPr>
                <w:i/>
                <w:sz w:val="20"/>
                <w:szCs w:val="20"/>
              </w:rPr>
              <w:t>DT</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0.86</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0.95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0.82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0.82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0.82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0.85</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0.67</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0.98</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0.89</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0.92</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0.90</w:t>
            </w:r>
          </w:p>
        </w:tc>
        <w:tc>
          <w:tcPr>
            <w:tcW w:w="567" w:type="dxa"/>
            <w:vAlign w:val="center"/>
          </w:tcPr>
          <w:p w:rsidR="004F234C" w:rsidRPr="00DC106D" w:rsidRDefault="004F234C" w:rsidP="00E45D5D">
            <w:pPr>
              <w:spacing w:line="360" w:lineRule="auto"/>
              <w:jc w:val="center"/>
              <w:rPr>
                <w:sz w:val="20"/>
                <w:szCs w:val="20"/>
              </w:rPr>
            </w:pPr>
            <w:r w:rsidRPr="00DC106D">
              <w:rPr>
                <w:sz w:val="20"/>
                <w:szCs w:val="20"/>
              </w:rPr>
              <w:t>0.76</w:t>
            </w:r>
          </w:p>
        </w:tc>
      </w:tr>
      <w:tr w:rsidR="004F234C" w:rsidRPr="00DC106D" w:rsidTr="00E45D5D">
        <w:trPr>
          <w:jc w:val="center"/>
        </w:trPr>
        <w:tc>
          <w:tcPr>
            <w:tcW w:w="1405" w:type="dxa"/>
            <w:tcBorders>
              <w:bottom w:val="single" w:sz="4" w:space="0" w:color="auto"/>
            </w:tcBorders>
            <w:vAlign w:val="center"/>
          </w:tcPr>
          <w:p w:rsidR="004F234C" w:rsidRPr="00DC106D" w:rsidRDefault="004F234C" w:rsidP="00E45D5D">
            <w:pPr>
              <w:spacing w:line="360" w:lineRule="auto"/>
              <w:rPr>
                <w:i/>
                <w:sz w:val="20"/>
                <w:szCs w:val="20"/>
              </w:rPr>
            </w:pPr>
            <w:r w:rsidRPr="00DC106D">
              <w:rPr>
                <w:i/>
                <w:sz w:val="20"/>
                <w:szCs w:val="20"/>
              </w:rPr>
              <w:t>Alfa</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.83</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.83</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.70</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.69</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.74</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.89</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.81</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.82</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.73</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.72</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.69</w:t>
            </w:r>
          </w:p>
        </w:tc>
        <w:tc>
          <w:tcPr>
            <w:tcW w:w="567" w:type="dxa"/>
            <w:tcBorders>
              <w:bottom w:val="single" w:sz="4" w:space="0" w:color="auto"/>
            </w:tcBorders>
            <w:vAlign w:val="center"/>
          </w:tcPr>
          <w:p w:rsidR="004F234C" w:rsidRPr="00DC106D" w:rsidRDefault="004F234C" w:rsidP="00E45D5D">
            <w:pPr>
              <w:spacing w:line="360" w:lineRule="auto"/>
              <w:jc w:val="center"/>
              <w:rPr>
                <w:sz w:val="20"/>
                <w:szCs w:val="20"/>
              </w:rPr>
            </w:pPr>
            <w:r w:rsidRPr="00DC106D">
              <w:rPr>
                <w:sz w:val="20"/>
                <w:szCs w:val="20"/>
              </w:rPr>
              <w:t>.81</w:t>
            </w:r>
          </w:p>
        </w:tc>
      </w:tr>
    </w:tbl>
    <w:p w:rsidR="004F234C" w:rsidRPr="00DC106D" w:rsidRDefault="004F234C" w:rsidP="004F234C">
      <w:pPr>
        <w:rPr>
          <w:i/>
          <w:sz w:val="22"/>
          <w:szCs w:val="22"/>
        </w:rPr>
      </w:pPr>
    </w:p>
    <w:p w:rsidR="004F234C" w:rsidRPr="00DC106D" w:rsidRDefault="004F234C" w:rsidP="004F234C">
      <w:pPr>
        <w:jc w:val="both"/>
        <w:rPr>
          <w:sz w:val="20"/>
          <w:szCs w:val="20"/>
        </w:rPr>
      </w:pPr>
      <w:r w:rsidRPr="00DC106D">
        <w:rPr>
          <w:i/>
          <w:sz w:val="20"/>
          <w:szCs w:val="20"/>
        </w:rPr>
        <w:t>Notas.</w:t>
      </w:r>
      <w:r w:rsidRPr="00DC106D">
        <w:rPr>
          <w:sz w:val="20"/>
          <w:szCs w:val="20"/>
        </w:rPr>
        <w:t xml:space="preserve"> Todas las correlaciones son significativas con </w:t>
      </w:r>
      <w:r w:rsidRPr="00DC106D">
        <w:rPr>
          <w:i/>
          <w:sz w:val="20"/>
          <w:szCs w:val="20"/>
        </w:rPr>
        <w:t>p</w:t>
      </w:r>
      <w:r w:rsidRPr="00DC106D">
        <w:rPr>
          <w:sz w:val="20"/>
          <w:szCs w:val="20"/>
        </w:rPr>
        <w:t xml:space="preserve"> &lt; .01; BusqPrAl: Búsqueda de progreso por los alumnos; PrApProf: Promoción de aprendizaje por el profesor; BuComAl: Búsqueda de comparación por los alumnos; PrComProf: Promoción de comparación por el profesor; MiedoErr: Miedo de los alumnos a cometer errores; ClMaestría: Clima de Maestría; ClRendim.: Clima de rendimiento; AprMaest.: Aproximacoión a la maestría; EvMaestría: Evitación de la maestría; AprRend.: Aproximación al rendimiento; EvRend.: Evitación del rendimiento; SatVida: Satisfacción con la vida.</w:t>
      </w:r>
    </w:p>
    <w:p w:rsidR="004F234C" w:rsidRDefault="004F234C" w:rsidP="005E18D4">
      <w:pPr>
        <w:widowControl w:val="0"/>
        <w:ind w:left="284" w:hanging="284"/>
        <w:jc w:val="both"/>
        <w:rPr>
          <w:color w:val="0000CC"/>
        </w:rPr>
      </w:pPr>
    </w:p>
    <w:p w:rsidR="004F234C" w:rsidRDefault="004F234C">
      <w:pPr>
        <w:spacing w:after="160" w:line="259" w:lineRule="auto"/>
        <w:rPr>
          <w:color w:val="0000CC"/>
        </w:rPr>
      </w:pPr>
      <w:r>
        <w:rPr>
          <w:color w:val="0000CC"/>
        </w:rPr>
        <w:br w:type="page"/>
      </w:r>
    </w:p>
    <w:p w:rsidR="004F234C" w:rsidRPr="007204E5" w:rsidRDefault="004F234C" w:rsidP="004F234C">
      <w:pPr>
        <w:widowControl w:val="0"/>
        <w:spacing w:before="60" w:after="60"/>
        <w:jc w:val="both"/>
        <w:rPr>
          <w:rFonts w:ascii="AdvPS6F00" w:eastAsia="Calibri" w:hAnsi="AdvPS6F00" w:cs="AdvPS6F00"/>
        </w:rPr>
      </w:pPr>
      <w:r w:rsidRPr="00AD3A2C">
        <w:rPr>
          <w:rFonts w:eastAsia="Calibri"/>
          <w:noProof/>
        </w:rPr>
        <w:lastRenderedPageBreak/>
        <w:drawing>
          <wp:inline distT="0" distB="0" distL="0" distR="0" wp14:anchorId="34C12127" wp14:editId="7021A5F0">
            <wp:extent cx="5400040" cy="319196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191963"/>
                    </a:xfrm>
                    <a:prstGeom prst="rect">
                      <a:avLst/>
                    </a:prstGeom>
                    <a:noFill/>
                    <a:ln>
                      <a:noFill/>
                    </a:ln>
                  </pic:spPr>
                </pic:pic>
              </a:graphicData>
            </a:graphic>
          </wp:inline>
        </w:drawing>
      </w:r>
    </w:p>
    <w:p w:rsidR="004F234C" w:rsidRPr="008150E3" w:rsidRDefault="004F234C" w:rsidP="004F234C">
      <w:pPr>
        <w:jc w:val="both"/>
      </w:pPr>
      <w:r w:rsidRPr="008150E3">
        <w:t xml:space="preserve">Fig. 1. Modelo teórico propuesto para las relaciones entre los factores del clima motivacional de la clase de EF, la orientación de metas de logro y la satisfacción con la vida de los alumnos. </w:t>
      </w:r>
    </w:p>
    <w:p w:rsidR="004F234C" w:rsidRDefault="004F234C" w:rsidP="005E18D4">
      <w:pPr>
        <w:widowControl w:val="0"/>
        <w:ind w:left="284" w:hanging="284"/>
        <w:jc w:val="both"/>
        <w:rPr>
          <w:color w:val="0000CC"/>
        </w:rPr>
      </w:pPr>
    </w:p>
    <w:p w:rsidR="004F234C" w:rsidRDefault="004F234C" w:rsidP="005E18D4">
      <w:pPr>
        <w:widowControl w:val="0"/>
        <w:ind w:left="284" w:hanging="284"/>
        <w:jc w:val="both"/>
        <w:rPr>
          <w:color w:val="0000CC"/>
        </w:rPr>
      </w:pPr>
    </w:p>
    <w:p w:rsidR="004F234C" w:rsidRPr="00DC106D" w:rsidRDefault="004F234C" w:rsidP="004F234C">
      <w:pPr>
        <w:spacing w:before="120"/>
        <w:jc w:val="both"/>
      </w:pPr>
      <w:r w:rsidRPr="00AD3A2C">
        <w:rPr>
          <w:noProof/>
        </w:rPr>
        <w:drawing>
          <wp:inline distT="0" distB="0" distL="0" distR="0" wp14:anchorId="430A8C1A" wp14:editId="06AD8F00">
            <wp:extent cx="5343277" cy="2811264"/>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6614" cy="2828804"/>
                    </a:xfrm>
                    <a:prstGeom prst="rect">
                      <a:avLst/>
                    </a:prstGeom>
                    <a:noFill/>
                    <a:ln>
                      <a:noFill/>
                    </a:ln>
                  </pic:spPr>
                </pic:pic>
              </a:graphicData>
            </a:graphic>
          </wp:inline>
        </w:drawing>
      </w:r>
    </w:p>
    <w:p w:rsidR="004F234C" w:rsidRPr="00280D84" w:rsidRDefault="004F234C" w:rsidP="004F234C">
      <w:pPr>
        <w:spacing w:before="120"/>
        <w:jc w:val="both"/>
      </w:pPr>
      <w:r w:rsidRPr="00280D84">
        <w:t xml:space="preserve">Fig. 2. Solución estandarizada para el modelo propuesto de las relaciones entre el clima motivacional de la clase de EF, la orientación de metas de logro y la satisfacción con la vida de los alumnos. </w:t>
      </w:r>
      <w:r w:rsidRPr="00280D84">
        <w:rPr>
          <w:i/>
        </w:rPr>
        <w:t>Nota:</w:t>
      </w:r>
      <w:r w:rsidRPr="00280D84">
        <w:t xml:space="preserve"> por simplicidad, solamente se muestra</w:t>
      </w:r>
      <w:r>
        <w:t>n</w:t>
      </w:r>
      <w:r w:rsidRPr="00280D84">
        <w:t xml:space="preserve"> las relaciones estructurales entre variables latentes y no el modelo de medida.</w:t>
      </w:r>
    </w:p>
    <w:p w:rsidR="004F234C" w:rsidRDefault="004F234C">
      <w:pPr>
        <w:spacing w:after="160" w:line="259" w:lineRule="auto"/>
        <w:rPr>
          <w:color w:val="0000CC"/>
        </w:rPr>
      </w:pPr>
      <w:r>
        <w:rPr>
          <w:color w:val="0000CC"/>
        </w:rPr>
        <w:br w:type="page"/>
      </w:r>
    </w:p>
    <w:p w:rsidR="004F234C" w:rsidRPr="00280D84" w:rsidRDefault="004F234C" w:rsidP="004F234C">
      <w:pPr>
        <w:pStyle w:val="Default"/>
        <w:spacing w:before="120"/>
        <w:jc w:val="both"/>
        <w:rPr>
          <w:rFonts w:ascii="Times New Roman" w:hAnsi="Times New Roman" w:cs="Times New Roman"/>
          <w:color w:val="auto"/>
        </w:rPr>
      </w:pPr>
      <w:r w:rsidRPr="00AD3A2C">
        <w:rPr>
          <w:noProof/>
          <w:lang w:eastAsia="es-ES"/>
        </w:rPr>
        <w:lastRenderedPageBreak/>
        <w:drawing>
          <wp:inline distT="0" distB="0" distL="0" distR="0" wp14:anchorId="14207BC8" wp14:editId="3D3976EE">
            <wp:extent cx="5360881" cy="22422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0587" cy="2250509"/>
                    </a:xfrm>
                    <a:prstGeom prst="rect">
                      <a:avLst/>
                    </a:prstGeom>
                    <a:noFill/>
                    <a:ln>
                      <a:noFill/>
                    </a:ln>
                  </pic:spPr>
                </pic:pic>
              </a:graphicData>
            </a:graphic>
          </wp:inline>
        </w:drawing>
      </w:r>
    </w:p>
    <w:p w:rsidR="004F234C" w:rsidRDefault="004F234C" w:rsidP="004F234C">
      <w:pPr>
        <w:jc w:val="both"/>
      </w:pPr>
    </w:p>
    <w:p w:rsidR="004F234C" w:rsidRPr="00C70CBB" w:rsidRDefault="004F234C" w:rsidP="004F234C">
      <w:pPr>
        <w:jc w:val="both"/>
        <w:rPr>
          <w:color w:val="000099"/>
        </w:rPr>
      </w:pPr>
      <w:r w:rsidRPr="00280D84">
        <w:t xml:space="preserve">Fig. 3. </w:t>
      </w:r>
      <w:r>
        <w:t>Resultado final de la s</w:t>
      </w:r>
      <w:r w:rsidRPr="00280D84">
        <w:t xml:space="preserve">olución estandarizada para el modelo propuesto de predicción de la satisfacción con la vida de los alumnos de EF, a partir del clima motivacional de la clase y de las orientaciones de meta. </w:t>
      </w:r>
      <w:r w:rsidRPr="00280D84">
        <w:rPr>
          <w:i/>
        </w:rPr>
        <w:t>Nota:</w:t>
      </w:r>
      <w:r w:rsidRPr="00280D84">
        <w:t xml:space="preserve"> por simplicidad, solamente se muestra</w:t>
      </w:r>
      <w:r>
        <w:t>n</w:t>
      </w:r>
      <w:r w:rsidRPr="00280D84">
        <w:t xml:space="preserve"> las relaciones estructurales entre variables latentes y no el modelo de medida.</w:t>
      </w:r>
    </w:p>
    <w:p w:rsidR="004F234C" w:rsidRDefault="004F234C" w:rsidP="005E18D4">
      <w:pPr>
        <w:widowControl w:val="0"/>
        <w:ind w:left="284" w:hanging="284"/>
        <w:jc w:val="both"/>
        <w:rPr>
          <w:color w:val="0000CC"/>
        </w:rPr>
      </w:pPr>
    </w:p>
    <w:p w:rsidR="004E5081" w:rsidRPr="008A22F0" w:rsidRDefault="004E5081" w:rsidP="004E5081">
      <w:pPr>
        <w:spacing w:before="120"/>
        <w:jc w:val="both"/>
        <w:rPr>
          <w:b/>
          <w:lang w:val="en-US"/>
        </w:rPr>
      </w:pPr>
      <w:r w:rsidRPr="008A22F0">
        <w:rPr>
          <w:b/>
          <w:lang w:val="en-US"/>
        </w:rPr>
        <w:t>Referencias bibliográficas</w:t>
      </w:r>
    </w:p>
    <w:p w:rsidR="004E5081" w:rsidRPr="008A22F0" w:rsidRDefault="004E5081" w:rsidP="004E5081">
      <w:pPr>
        <w:widowControl w:val="0"/>
        <w:spacing w:before="120"/>
        <w:ind w:left="284" w:hanging="284"/>
        <w:jc w:val="both"/>
        <w:rPr>
          <w:lang w:val="en-US"/>
        </w:rPr>
      </w:pPr>
      <w:r w:rsidRPr="008A22F0">
        <w:rPr>
          <w:lang w:val="en-US"/>
        </w:rPr>
        <w:t xml:space="preserve">Ames, C. (1992). Classrooms: goals, structures, and student motivation. </w:t>
      </w:r>
      <w:r w:rsidRPr="008A22F0">
        <w:rPr>
          <w:i/>
          <w:lang w:val="en-US"/>
        </w:rPr>
        <w:t>Journal of Educational Psychology, 84</w:t>
      </w:r>
      <w:r w:rsidRPr="008A22F0">
        <w:rPr>
          <w:lang w:val="en-US"/>
        </w:rPr>
        <w:t>, 261-271.</w:t>
      </w:r>
    </w:p>
    <w:p w:rsidR="004E5081" w:rsidRPr="008A22F0" w:rsidRDefault="004E5081" w:rsidP="004E5081">
      <w:pPr>
        <w:widowControl w:val="0"/>
        <w:ind w:left="284" w:hanging="284"/>
        <w:jc w:val="both"/>
        <w:rPr>
          <w:lang w:val="en-GB"/>
        </w:rPr>
      </w:pPr>
      <w:r w:rsidRPr="008A22F0">
        <w:rPr>
          <w:lang w:val="en-US"/>
        </w:rPr>
        <w:t xml:space="preserve">Anataramian, S. P., Huebner, E. S., &amp; Valois, R. F. (2008). </w:t>
      </w:r>
      <w:r w:rsidRPr="008A22F0">
        <w:rPr>
          <w:lang w:val="en-GB"/>
        </w:rPr>
        <w:t xml:space="preserve">Adolescent life satisfaction. </w:t>
      </w:r>
      <w:r w:rsidRPr="008A22F0">
        <w:rPr>
          <w:i/>
          <w:lang w:val="en-GB"/>
        </w:rPr>
        <w:t>Applied Psychology, 57</w:t>
      </w:r>
      <w:r w:rsidRPr="008A22F0">
        <w:rPr>
          <w:lang w:val="en-GB"/>
        </w:rPr>
        <w:t>, 112-126.</w:t>
      </w:r>
    </w:p>
    <w:p w:rsidR="004E5081" w:rsidRPr="008A22F0" w:rsidRDefault="004E5081" w:rsidP="004E5081">
      <w:pPr>
        <w:widowControl w:val="0"/>
        <w:ind w:left="284" w:hanging="284"/>
        <w:jc w:val="both"/>
        <w:rPr>
          <w:lang w:val="en-US"/>
        </w:rPr>
      </w:pPr>
      <w:r w:rsidRPr="008A22F0">
        <w:rPr>
          <w:lang w:val="en-US"/>
        </w:rPr>
        <w:t xml:space="preserve">Bagoien, T. E., Halvari, H., &amp; Nesheim, H. (2010). Self-determined motivation in physical education and its links to motivation for leisure-time physical activity, and well-being in general. </w:t>
      </w:r>
      <w:r w:rsidRPr="008A22F0">
        <w:rPr>
          <w:i/>
          <w:lang w:val="en-US"/>
        </w:rPr>
        <w:t>Perceptual and Motor Skills, 111</w:t>
      </w:r>
      <w:r w:rsidRPr="008A22F0">
        <w:rPr>
          <w:lang w:val="en-US"/>
        </w:rPr>
        <w:t>(2), 407-432.</w:t>
      </w:r>
    </w:p>
    <w:p w:rsidR="004E5081" w:rsidRPr="008A22F0" w:rsidRDefault="004E5081" w:rsidP="004E5081">
      <w:pPr>
        <w:widowControl w:val="0"/>
        <w:ind w:left="284" w:hanging="284"/>
        <w:jc w:val="both"/>
        <w:rPr>
          <w:lang w:val="en-US"/>
        </w:rPr>
      </w:pPr>
      <w:r w:rsidRPr="008A22F0">
        <w:rPr>
          <w:lang w:val="en-US"/>
        </w:rPr>
        <w:t xml:space="preserve">Bentler, P. M. (1990). Comparative fit indices in structural models. </w:t>
      </w:r>
      <w:r w:rsidRPr="008A22F0">
        <w:rPr>
          <w:i/>
          <w:lang w:val="en-US"/>
        </w:rPr>
        <w:t>Psychological Bulletin, 107</w:t>
      </w:r>
      <w:r w:rsidRPr="008A22F0">
        <w:rPr>
          <w:lang w:val="en-US"/>
        </w:rPr>
        <w:t>, 238-246.</w:t>
      </w:r>
    </w:p>
    <w:p w:rsidR="004E5081" w:rsidRPr="008A22F0" w:rsidRDefault="004E5081" w:rsidP="004E5081">
      <w:pPr>
        <w:widowControl w:val="0"/>
        <w:ind w:left="284" w:hanging="284"/>
        <w:jc w:val="both"/>
        <w:rPr>
          <w:lang w:val="en-US"/>
        </w:rPr>
      </w:pPr>
      <w:r w:rsidRPr="008A22F0">
        <w:rPr>
          <w:lang w:val="en-US"/>
        </w:rPr>
        <w:t xml:space="preserve">Biddle, S. J. (2001). Enhancing motivation in physical education. En G. C. Roberts (Ed.), </w:t>
      </w:r>
      <w:r w:rsidRPr="008A22F0">
        <w:rPr>
          <w:i/>
          <w:lang w:val="en-US"/>
        </w:rPr>
        <w:t>Advances in motivation in sport and exercise</w:t>
      </w:r>
      <w:r w:rsidRPr="008A22F0">
        <w:rPr>
          <w:lang w:val="en-US"/>
        </w:rPr>
        <w:t xml:space="preserve"> (pp. 101-127). Champaign, IL: Human Kinetics.</w:t>
      </w:r>
    </w:p>
    <w:p w:rsidR="004E5081" w:rsidRPr="008A22F0" w:rsidRDefault="004E5081" w:rsidP="004E5081">
      <w:pPr>
        <w:widowControl w:val="0"/>
        <w:ind w:left="284" w:hanging="284"/>
        <w:jc w:val="both"/>
        <w:rPr>
          <w:lang w:val="en-GB"/>
        </w:rPr>
      </w:pPr>
      <w:r w:rsidRPr="008A22F0">
        <w:rPr>
          <w:lang w:val="en-US"/>
        </w:rPr>
        <w:t xml:space="preserve">Biddle, S. J, Cury, F., Goudas, M., Sarrazin, Ph., Famose, J.P. y Durand, M. (1995). </w:t>
      </w:r>
      <w:r w:rsidRPr="008A22F0">
        <w:rPr>
          <w:lang w:val="en-GB"/>
        </w:rPr>
        <w:t xml:space="preserve">Development of scales to measure perceived physical education class climate: A cross-national project. </w:t>
      </w:r>
      <w:r w:rsidRPr="008A22F0">
        <w:rPr>
          <w:i/>
          <w:lang w:val="en-GB"/>
        </w:rPr>
        <w:t>British Journal of Educational Psychology, 65</w:t>
      </w:r>
      <w:r w:rsidRPr="008A22F0">
        <w:rPr>
          <w:lang w:val="en-GB"/>
        </w:rPr>
        <w:t>, 341-358.</w:t>
      </w:r>
    </w:p>
    <w:p w:rsidR="004E5081" w:rsidRPr="008A22F0" w:rsidRDefault="004E5081" w:rsidP="004E5081">
      <w:pPr>
        <w:widowControl w:val="0"/>
        <w:ind w:left="284" w:hanging="284"/>
        <w:jc w:val="both"/>
        <w:rPr>
          <w:lang w:val="en-US"/>
        </w:rPr>
      </w:pPr>
      <w:r w:rsidRPr="008A22F0">
        <w:rPr>
          <w:lang w:val="en-US"/>
        </w:rPr>
        <w:t xml:space="preserve">Brown, T .C., &amp; Fry, M. D. (2014). Motivational climate, staff and members’ behaviors, and members’ psychological well-being at a national fitness franchise. </w:t>
      </w:r>
      <w:r w:rsidRPr="008A22F0">
        <w:rPr>
          <w:i/>
          <w:lang w:val="en-US"/>
        </w:rPr>
        <w:t>Research Quarterly for Exercise and Sport, 85</w:t>
      </w:r>
      <w:r w:rsidRPr="008A22F0">
        <w:rPr>
          <w:lang w:val="en-US"/>
        </w:rPr>
        <w:t>, 208-217.</w:t>
      </w:r>
    </w:p>
    <w:p w:rsidR="004E5081" w:rsidRPr="008A22F0" w:rsidRDefault="004E5081" w:rsidP="004E5081">
      <w:pPr>
        <w:widowControl w:val="0"/>
        <w:ind w:left="284" w:hanging="284"/>
        <w:jc w:val="both"/>
        <w:rPr>
          <w:lang w:val="en-US"/>
        </w:rPr>
      </w:pPr>
      <w:r w:rsidRPr="008A22F0">
        <w:rPr>
          <w:lang w:val="en-US"/>
        </w:rPr>
        <w:t>Centers for Disease Control and Prevention. (2011).</w:t>
      </w:r>
      <w:r w:rsidRPr="008A22F0">
        <w:rPr>
          <w:i/>
          <w:lang w:val="en-US"/>
        </w:rPr>
        <w:t xml:space="preserve"> School health guidelines to promote healthy eating and physical activity. Morbidity and Mortality Weekly Report. Recommendations and Reports.</w:t>
      </w:r>
      <w:r w:rsidRPr="008A22F0">
        <w:rPr>
          <w:lang w:val="en-US"/>
        </w:rPr>
        <w:t xml:space="preserve"> U.S. Department of Health and Human Services.</w:t>
      </w:r>
    </w:p>
    <w:p w:rsidR="004E5081" w:rsidRPr="008A22F0" w:rsidRDefault="004E5081" w:rsidP="004E5081">
      <w:pPr>
        <w:widowControl w:val="0"/>
        <w:ind w:left="284" w:hanging="284"/>
        <w:jc w:val="both"/>
        <w:rPr>
          <w:lang w:val="en-GB"/>
        </w:rPr>
      </w:pPr>
      <w:r w:rsidRPr="008A22F0">
        <w:rPr>
          <w:lang w:val="en-GB"/>
        </w:rPr>
        <w:t xml:space="preserve">Church, M. A., Elliot, A. J., &amp; Gable, S. L. (2001). Perceptions of classroom environment, achievement goals, and achievement outcomes. </w:t>
      </w:r>
      <w:r w:rsidRPr="008A22F0">
        <w:rPr>
          <w:i/>
          <w:lang w:val="en-GB"/>
        </w:rPr>
        <w:t>Journal of Educational Psychology, 93</w:t>
      </w:r>
      <w:r w:rsidRPr="008A22F0">
        <w:rPr>
          <w:lang w:val="en-GB"/>
        </w:rPr>
        <w:t>(1), 43-54.</w:t>
      </w:r>
    </w:p>
    <w:p w:rsidR="004E5081" w:rsidRPr="008A22F0" w:rsidRDefault="004E5081" w:rsidP="004E5081">
      <w:pPr>
        <w:widowControl w:val="0"/>
        <w:ind w:left="284" w:hanging="284"/>
        <w:jc w:val="both"/>
        <w:rPr>
          <w:lang w:val="en-US"/>
        </w:rPr>
      </w:pPr>
      <w:r w:rsidRPr="008A22F0">
        <w:rPr>
          <w:lang w:val="en-US"/>
        </w:rPr>
        <w:t>Deci, E. L. &amp; Ryan, R. M. (1985). Intrinsic motivation and self-determination in human behavior. New York: Plenum Press.</w:t>
      </w:r>
    </w:p>
    <w:p w:rsidR="004E5081" w:rsidRPr="008A22F0" w:rsidRDefault="004E5081" w:rsidP="004E5081">
      <w:pPr>
        <w:widowControl w:val="0"/>
        <w:ind w:left="284" w:hanging="284"/>
        <w:jc w:val="both"/>
        <w:rPr>
          <w:lang w:val="en-US"/>
        </w:rPr>
      </w:pPr>
      <w:r w:rsidRPr="008A22F0">
        <w:rPr>
          <w:lang w:val="en-US"/>
        </w:rPr>
        <w:t xml:space="preserve">Deci, E. L., &amp; Ryan, R. M. (2000). The “what” and “why” of goal pursuits: human needs and the self-determination of behavior. </w:t>
      </w:r>
      <w:r w:rsidRPr="008A22F0">
        <w:rPr>
          <w:i/>
          <w:lang w:val="en-US"/>
        </w:rPr>
        <w:t>Psychological Inquiry, 11</w:t>
      </w:r>
      <w:r w:rsidRPr="008A22F0">
        <w:rPr>
          <w:lang w:val="en-US"/>
        </w:rPr>
        <w:t>, 227-268.</w:t>
      </w:r>
    </w:p>
    <w:p w:rsidR="004E5081" w:rsidRPr="008A22F0" w:rsidRDefault="004E5081" w:rsidP="004E5081">
      <w:pPr>
        <w:widowControl w:val="0"/>
        <w:ind w:left="284" w:hanging="284"/>
        <w:jc w:val="both"/>
        <w:rPr>
          <w:lang w:val="en-US"/>
        </w:rPr>
      </w:pPr>
      <w:r w:rsidRPr="008A22F0">
        <w:rPr>
          <w:lang w:val="en-US"/>
        </w:rPr>
        <w:lastRenderedPageBreak/>
        <w:t xml:space="preserve">Deci, E. L., &amp; Ryan, R. M. (2008a). Self-determination theory: A machrotheory of human motivation, development, and health. </w:t>
      </w:r>
      <w:r w:rsidRPr="008A22F0">
        <w:rPr>
          <w:i/>
          <w:lang w:val="en-US"/>
        </w:rPr>
        <w:t>Canadian Psychology, 49</w:t>
      </w:r>
      <w:r w:rsidRPr="008A22F0">
        <w:rPr>
          <w:lang w:val="en-US"/>
        </w:rPr>
        <w:t>(3), 182-185.</w:t>
      </w:r>
    </w:p>
    <w:p w:rsidR="004E5081" w:rsidRPr="008A22F0" w:rsidRDefault="004E5081" w:rsidP="004E5081">
      <w:pPr>
        <w:widowControl w:val="0"/>
        <w:ind w:left="284" w:hanging="284"/>
        <w:jc w:val="both"/>
        <w:rPr>
          <w:lang w:val="en-US"/>
        </w:rPr>
      </w:pPr>
      <w:r w:rsidRPr="008A22F0">
        <w:rPr>
          <w:lang w:val="en-US"/>
        </w:rPr>
        <w:t xml:space="preserve">Deci, E. L., &amp; Ryan, R. M. (2008b). Facilitating optimal motivation and psychological wellbeing across life’s domains. </w:t>
      </w:r>
      <w:r w:rsidRPr="008A22F0">
        <w:rPr>
          <w:i/>
          <w:lang w:val="en-US"/>
        </w:rPr>
        <w:t>Canadian Psychology, 49</w:t>
      </w:r>
      <w:r w:rsidRPr="008A22F0">
        <w:rPr>
          <w:lang w:val="en-US"/>
        </w:rPr>
        <w:t>, 14-23.</w:t>
      </w:r>
    </w:p>
    <w:p w:rsidR="004E5081" w:rsidRPr="008A22F0" w:rsidRDefault="004E5081" w:rsidP="004E5081">
      <w:pPr>
        <w:widowControl w:val="0"/>
        <w:ind w:left="284" w:hanging="284"/>
        <w:jc w:val="both"/>
        <w:rPr>
          <w:lang w:val="en-GB"/>
        </w:rPr>
      </w:pPr>
      <w:r w:rsidRPr="008A22F0">
        <w:rPr>
          <w:lang w:val="en-US"/>
        </w:rPr>
        <w:t xml:space="preserve">Diener, E., &amp; Diener, M. (2009). </w:t>
      </w:r>
      <w:r w:rsidRPr="008A22F0">
        <w:rPr>
          <w:lang w:val="en-GB"/>
        </w:rPr>
        <w:t xml:space="preserve">Cross-cultural correlates in life satisfaction and self-esteem. En E. Diener (Ed.), Culture and well-being: The collected works of Ed Diener. </w:t>
      </w:r>
      <w:r w:rsidRPr="008A22F0">
        <w:rPr>
          <w:i/>
          <w:lang w:val="en-GB"/>
        </w:rPr>
        <w:t>Social Indicators Research Series 38</w:t>
      </w:r>
      <w:r w:rsidRPr="008A22F0">
        <w:rPr>
          <w:lang w:val="en-GB"/>
        </w:rPr>
        <w:t>, 71-91.</w:t>
      </w:r>
    </w:p>
    <w:p w:rsidR="004E5081" w:rsidRPr="008A22F0" w:rsidRDefault="004E5081" w:rsidP="004E5081">
      <w:pPr>
        <w:widowControl w:val="0"/>
        <w:ind w:left="284" w:hanging="284"/>
        <w:jc w:val="both"/>
        <w:rPr>
          <w:lang w:val="en-US"/>
        </w:rPr>
      </w:pPr>
      <w:r w:rsidRPr="008A22F0">
        <w:rPr>
          <w:lang w:val="en-US"/>
        </w:rPr>
        <w:t xml:space="preserve">Elliot, A. J. (1999). Approach and avoidance motivation and achievement goals. </w:t>
      </w:r>
      <w:r w:rsidRPr="008A22F0">
        <w:rPr>
          <w:i/>
          <w:lang w:val="en-US"/>
        </w:rPr>
        <w:t>Educational Psychologist, 34</w:t>
      </w:r>
      <w:r w:rsidRPr="008A22F0">
        <w:rPr>
          <w:lang w:val="en-US"/>
        </w:rPr>
        <w:t>, 169-189.</w:t>
      </w:r>
    </w:p>
    <w:p w:rsidR="004E5081" w:rsidRPr="008A22F0" w:rsidRDefault="004E5081" w:rsidP="004E5081">
      <w:pPr>
        <w:widowControl w:val="0"/>
        <w:ind w:left="284" w:hanging="284"/>
        <w:jc w:val="both"/>
        <w:rPr>
          <w:lang w:val="en-US"/>
        </w:rPr>
      </w:pPr>
      <w:r w:rsidRPr="008A22F0">
        <w:rPr>
          <w:lang w:val="en-US"/>
        </w:rPr>
        <w:t xml:space="preserve">Elliot, A. J., &amp; McGregor, H. A. (2001). A 2 x 2 achievement goal framework. </w:t>
      </w:r>
      <w:r w:rsidRPr="008A22F0">
        <w:rPr>
          <w:i/>
          <w:lang w:val="en-US"/>
        </w:rPr>
        <w:t>Journal of Personality and Social Psychology, 80</w:t>
      </w:r>
      <w:r w:rsidRPr="008A22F0">
        <w:rPr>
          <w:lang w:val="en-US"/>
        </w:rPr>
        <w:t>, 501-519.</w:t>
      </w:r>
    </w:p>
    <w:p w:rsidR="004E5081" w:rsidRPr="008A22F0" w:rsidRDefault="004E5081" w:rsidP="004E5081">
      <w:pPr>
        <w:widowControl w:val="0"/>
        <w:ind w:left="284" w:hanging="284"/>
        <w:jc w:val="both"/>
        <w:rPr>
          <w:lang w:val="en-US"/>
        </w:rPr>
      </w:pPr>
      <w:r w:rsidRPr="008A22F0">
        <w:rPr>
          <w:lang w:val="en-US"/>
        </w:rPr>
        <w:t xml:space="preserve">Elmore, G. M., &amp; Huebner, E. S. (2010). Adolescents’ satisfaction with school experiences: Relationships with demographics, attachment relationships, and school engagement behavior. Psychology in the Schools, 47, 525-537. </w:t>
      </w:r>
    </w:p>
    <w:p w:rsidR="004E5081" w:rsidRPr="008A22F0" w:rsidRDefault="004E5081" w:rsidP="004E5081">
      <w:pPr>
        <w:widowControl w:val="0"/>
        <w:ind w:left="284" w:hanging="284"/>
        <w:jc w:val="both"/>
        <w:rPr>
          <w:lang w:val="en-US"/>
        </w:rPr>
      </w:pPr>
      <w:r w:rsidRPr="008A22F0">
        <w:rPr>
          <w:lang w:val="en-US"/>
        </w:rPr>
        <w:t xml:space="preserve">Finney, S. J., &amp; DiStefano, C. (2006). Non-normal and categorical data in SEM. En G. R. Hancock &amp; R. O. Mueller (Eds.), </w:t>
      </w:r>
      <w:r w:rsidRPr="008A22F0">
        <w:rPr>
          <w:i/>
          <w:lang w:val="en-US"/>
        </w:rPr>
        <w:t>Structural Equation Modelling: A second course</w:t>
      </w:r>
      <w:r w:rsidRPr="008A22F0">
        <w:rPr>
          <w:lang w:val="en-US"/>
        </w:rPr>
        <w:t xml:space="preserve"> (pp.269-314). Greenwich, CO: Information Age Publishing.</w:t>
      </w:r>
    </w:p>
    <w:p w:rsidR="004E5081" w:rsidRPr="008A22F0" w:rsidRDefault="004E5081" w:rsidP="004E5081">
      <w:pPr>
        <w:widowControl w:val="0"/>
        <w:ind w:left="284" w:hanging="284"/>
        <w:jc w:val="both"/>
        <w:rPr>
          <w:lang w:val="en-US"/>
        </w:rPr>
      </w:pPr>
      <w:r w:rsidRPr="008A22F0">
        <w:rPr>
          <w:lang w:val="en-US"/>
        </w:rPr>
        <w:t xml:space="preserve">Fox, K. R. (1997). </w:t>
      </w:r>
      <w:r w:rsidRPr="008A22F0">
        <w:rPr>
          <w:i/>
          <w:lang w:val="en-US"/>
        </w:rPr>
        <w:t>The physical self: from motivation to well-being</w:t>
      </w:r>
      <w:r w:rsidRPr="008A22F0">
        <w:rPr>
          <w:lang w:val="en-US"/>
        </w:rPr>
        <w:t xml:space="preserve">. Champaign, IL: Human Kinetics. </w:t>
      </w:r>
    </w:p>
    <w:p w:rsidR="004E5081" w:rsidRPr="008A22F0" w:rsidRDefault="004E5081" w:rsidP="004E5081">
      <w:pPr>
        <w:widowControl w:val="0"/>
        <w:ind w:left="284" w:hanging="284"/>
        <w:jc w:val="both"/>
        <w:rPr>
          <w:lang w:val="en-US"/>
        </w:rPr>
      </w:pPr>
      <w:r w:rsidRPr="008A22F0">
        <w:rPr>
          <w:lang w:val="en-US"/>
        </w:rPr>
        <w:t xml:space="preserve">Galand, B., Boudrenghien, G., &amp; Rose, A. (2012). Buts personnels, orientations motivationnelles et bien-être subjectif: Effets indépendants ou médiatisés? </w:t>
      </w:r>
      <w:r w:rsidRPr="008A22F0">
        <w:rPr>
          <w:i/>
          <w:lang w:val="en-US"/>
        </w:rPr>
        <w:t>Canadian Journal of Behavioural Science, 44</w:t>
      </w:r>
      <w:r w:rsidRPr="008A22F0">
        <w:rPr>
          <w:lang w:val="en-US"/>
        </w:rPr>
        <w:t xml:space="preserve">(2), 158-167. </w:t>
      </w:r>
    </w:p>
    <w:p w:rsidR="004E5081" w:rsidRPr="008A22F0" w:rsidRDefault="004E5081" w:rsidP="004E5081">
      <w:pPr>
        <w:ind w:left="284" w:hanging="284"/>
        <w:jc w:val="both"/>
        <w:rPr>
          <w:lang w:val="en-US"/>
        </w:rPr>
      </w:pPr>
      <w:r w:rsidRPr="008A22F0">
        <w:rPr>
          <w:lang w:val="en-US"/>
        </w:rPr>
        <w:t xml:space="preserve">Gallagher, E. N., &amp; Vella-Brodrick, D. A. (2008). Social support and emotional intelligence as predictors of subjective well-being. </w:t>
      </w:r>
      <w:r w:rsidRPr="008A22F0">
        <w:rPr>
          <w:i/>
          <w:lang w:val="en-US"/>
        </w:rPr>
        <w:t>Personality and Individual Differences, 44</w:t>
      </w:r>
      <w:r w:rsidRPr="008A22F0">
        <w:rPr>
          <w:lang w:val="en-US"/>
        </w:rPr>
        <w:t>, 1551-1561.</w:t>
      </w:r>
    </w:p>
    <w:p w:rsidR="004E5081" w:rsidRPr="008A22F0" w:rsidRDefault="004E5081" w:rsidP="004E5081">
      <w:pPr>
        <w:ind w:left="284" w:hanging="284"/>
        <w:jc w:val="both"/>
      </w:pPr>
      <w:r w:rsidRPr="008A22F0">
        <w:rPr>
          <w:lang w:val="en-US"/>
        </w:rPr>
        <w:t xml:space="preserve">Georgiadis, M. M., Biddle, S. J. H., &amp; Chatzisarantis, N. (2001). The mediating role of self-determination in the relationship between goal orientations and physical self-worth in Greek exercisers. </w:t>
      </w:r>
      <w:r w:rsidRPr="008A22F0">
        <w:rPr>
          <w:i/>
        </w:rPr>
        <w:t>European Journal of Sport Science, 1</w:t>
      </w:r>
      <w:r w:rsidRPr="008A22F0">
        <w:t>, 1-9.</w:t>
      </w:r>
    </w:p>
    <w:p w:rsidR="004E5081" w:rsidRPr="008A22F0" w:rsidRDefault="004E5081" w:rsidP="004E5081">
      <w:pPr>
        <w:ind w:left="284" w:hanging="284"/>
        <w:jc w:val="both"/>
      </w:pPr>
      <w:r w:rsidRPr="008A22F0">
        <w:t xml:space="preserve">González, J., Garcés de los Fayos, E., &amp; García, A. (2012). Indicadores de bienestar psicológico percibido en alumnos de Educación Física. </w:t>
      </w:r>
      <w:r w:rsidRPr="008A22F0">
        <w:rPr>
          <w:i/>
        </w:rPr>
        <w:t>Revista de Psicología del Deporte, 21</w:t>
      </w:r>
      <w:r w:rsidRPr="008A22F0">
        <w:t>(1), 183-187.</w:t>
      </w:r>
    </w:p>
    <w:p w:rsidR="004E5081" w:rsidRPr="008A22F0" w:rsidRDefault="004E5081" w:rsidP="004E5081">
      <w:pPr>
        <w:widowControl w:val="0"/>
        <w:ind w:left="284" w:hanging="284"/>
        <w:jc w:val="both"/>
        <w:rPr>
          <w:lang w:val="en-US"/>
        </w:rPr>
      </w:pPr>
      <w:r w:rsidRPr="008A22F0">
        <w:t xml:space="preserve">Granero-Gallegos, A., &amp; Baena-Extremera, A. (2014). Predicción de la motivación autodeterminada según las orientaciones de meta y el clima motivacional en EF. </w:t>
      </w:r>
      <w:r w:rsidRPr="008A22F0">
        <w:rPr>
          <w:i/>
          <w:lang w:val="en-US"/>
        </w:rPr>
        <w:t>Retos, 25</w:t>
      </w:r>
      <w:r w:rsidRPr="008A22F0">
        <w:rPr>
          <w:lang w:val="en-US"/>
        </w:rPr>
        <w:t>, 23-27.</w:t>
      </w:r>
    </w:p>
    <w:p w:rsidR="004E5081" w:rsidRPr="008A22F0" w:rsidRDefault="004E5081" w:rsidP="004E5081">
      <w:pPr>
        <w:widowControl w:val="0"/>
        <w:ind w:left="284" w:hanging="284"/>
        <w:jc w:val="both"/>
        <w:rPr>
          <w:lang w:val="en-US"/>
        </w:rPr>
      </w:pPr>
      <w:r w:rsidRPr="008A22F0">
        <w:rPr>
          <w:lang w:val="en-US"/>
        </w:rPr>
        <w:t xml:space="preserve">Guan, J., Xiang, P., McBride, R., &amp; Bruene, A. (2006). Achievement goals, social goals and students’ reported persistence and effort in high school physical education. </w:t>
      </w:r>
      <w:r w:rsidRPr="008A22F0">
        <w:rPr>
          <w:i/>
          <w:lang w:val="en-US"/>
        </w:rPr>
        <w:t>Journal of Teaching in Physical Education, 25</w:t>
      </w:r>
      <w:r w:rsidRPr="008A22F0">
        <w:rPr>
          <w:lang w:val="en-US"/>
        </w:rPr>
        <w:t>, 58-74.</w:t>
      </w:r>
    </w:p>
    <w:p w:rsidR="004E5081" w:rsidRPr="008A22F0" w:rsidRDefault="004E5081" w:rsidP="004E5081">
      <w:pPr>
        <w:widowControl w:val="0"/>
        <w:ind w:left="284" w:hanging="284"/>
        <w:jc w:val="both"/>
      </w:pPr>
      <w:r w:rsidRPr="008A22F0">
        <w:rPr>
          <w:lang w:val="en-US"/>
        </w:rPr>
        <w:t xml:space="preserve">Gunnell, K. E., Crocker, P. R. E., Mack, D. E., Wilson, P. M., &amp; Zumbo, B. D. (2014). Goal contents, motivation, psychological need satisfaction, well-being and physical activity: A test of self-determination theory over 6 months. </w:t>
      </w:r>
      <w:r w:rsidRPr="008A22F0">
        <w:rPr>
          <w:i/>
        </w:rPr>
        <w:t>Psychology of Sport and Exercise, 15</w:t>
      </w:r>
      <w:r w:rsidRPr="008A22F0">
        <w:t>, 19-29.</w:t>
      </w:r>
    </w:p>
    <w:p w:rsidR="004E5081" w:rsidRPr="008A22F0" w:rsidRDefault="004E5081" w:rsidP="004E5081">
      <w:pPr>
        <w:widowControl w:val="0"/>
        <w:ind w:left="284" w:hanging="284"/>
        <w:jc w:val="both"/>
        <w:rPr>
          <w:lang w:val="en-US"/>
        </w:rPr>
      </w:pPr>
      <w:r w:rsidRPr="008A22F0">
        <w:t xml:space="preserve">Gutiérrez, M. (2014). Relaciones entre el clima motivacional, las experiencias en educación física y la motivación intrínseca de los alumnos. </w:t>
      </w:r>
      <w:r w:rsidRPr="008A22F0">
        <w:rPr>
          <w:i/>
          <w:lang w:val="en-US"/>
        </w:rPr>
        <w:t>Retos, 26</w:t>
      </w:r>
      <w:r w:rsidRPr="008A22F0">
        <w:rPr>
          <w:lang w:val="en-US"/>
        </w:rPr>
        <w:t>, 9-14.</w:t>
      </w:r>
    </w:p>
    <w:p w:rsidR="004E5081" w:rsidRPr="008A22F0" w:rsidRDefault="004E5081" w:rsidP="004E5081">
      <w:pPr>
        <w:widowControl w:val="0"/>
        <w:ind w:left="284" w:hanging="284"/>
        <w:jc w:val="both"/>
        <w:rPr>
          <w:lang w:val="en-US"/>
        </w:rPr>
      </w:pPr>
      <w:r w:rsidRPr="008A22F0">
        <w:rPr>
          <w:lang w:val="en-US"/>
        </w:rPr>
        <w:t xml:space="preserve">Gutiérrez, M., &amp; Ruiz, L. M. (2009). </w:t>
      </w:r>
      <w:r w:rsidRPr="008A22F0">
        <w:rPr>
          <w:lang w:val="en-GB"/>
        </w:rPr>
        <w:t xml:space="preserve">Perceived motivational climate, sportsmanship, and students’ attitudes toward physical education classes and teachers. </w:t>
      </w:r>
      <w:r w:rsidRPr="008A22F0">
        <w:rPr>
          <w:i/>
          <w:lang w:val="en-US"/>
        </w:rPr>
        <w:t xml:space="preserve">Perceptual and Motor Skills, 108, </w:t>
      </w:r>
      <w:r w:rsidRPr="008A22F0">
        <w:rPr>
          <w:lang w:val="en-US"/>
        </w:rPr>
        <w:t>308-326.</w:t>
      </w:r>
    </w:p>
    <w:p w:rsidR="004E5081" w:rsidRPr="008A22F0" w:rsidRDefault="004E5081" w:rsidP="004E5081">
      <w:pPr>
        <w:widowControl w:val="0"/>
        <w:ind w:left="284" w:hanging="284"/>
        <w:jc w:val="both"/>
        <w:rPr>
          <w:lang w:val="en-US"/>
        </w:rPr>
      </w:pPr>
      <w:r w:rsidRPr="008A22F0">
        <w:rPr>
          <w:lang w:val="en-US"/>
        </w:rPr>
        <w:t xml:space="preserve">Halvari, H., Skjesol, K., &amp; Bagøien, T E. (2011) Motivational climates, achievement goals, and physical education outcomes: A longitudinal test of achievement goal </w:t>
      </w:r>
      <w:r w:rsidRPr="008A22F0">
        <w:rPr>
          <w:lang w:val="en-US"/>
        </w:rPr>
        <w:lastRenderedPageBreak/>
        <w:t xml:space="preserve">theory. </w:t>
      </w:r>
      <w:r w:rsidRPr="008A22F0">
        <w:rPr>
          <w:i/>
          <w:lang w:val="en-US"/>
        </w:rPr>
        <w:t>Scandinavian Journal of Educational Research, 55</w:t>
      </w:r>
      <w:r w:rsidRPr="008A22F0">
        <w:rPr>
          <w:lang w:val="en-US"/>
        </w:rPr>
        <w:t>(1), 79-104.</w:t>
      </w:r>
    </w:p>
    <w:p w:rsidR="004E5081" w:rsidRPr="008A22F0" w:rsidRDefault="004E5081" w:rsidP="004E5081">
      <w:pPr>
        <w:widowControl w:val="0"/>
        <w:ind w:left="284" w:hanging="284"/>
        <w:jc w:val="both"/>
        <w:rPr>
          <w:lang w:val="en-US"/>
        </w:rPr>
      </w:pPr>
      <w:r w:rsidRPr="008A22F0">
        <w:rPr>
          <w:lang w:val="en-US"/>
        </w:rPr>
        <w:t xml:space="preserve">Hu, L., &amp; Bentler, P. M. (1999). Cut-off criteria for fit indexes in covariance structure analysis: conventional criteria versus new alternatives. </w:t>
      </w:r>
      <w:r w:rsidRPr="008A22F0">
        <w:rPr>
          <w:i/>
          <w:lang w:val="en-US"/>
        </w:rPr>
        <w:t>Structural Equation Modeling, 6</w:t>
      </w:r>
      <w:r w:rsidRPr="008A22F0">
        <w:rPr>
          <w:lang w:val="en-US"/>
        </w:rPr>
        <w:t>, 1-55.</w:t>
      </w:r>
    </w:p>
    <w:p w:rsidR="004E5081" w:rsidRPr="008A22F0" w:rsidRDefault="004E5081" w:rsidP="004E5081">
      <w:pPr>
        <w:widowControl w:val="0"/>
        <w:ind w:left="284" w:hanging="284"/>
        <w:jc w:val="both"/>
        <w:rPr>
          <w:lang w:val="en-US"/>
        </w:rPr>
      </w:pPr>
      <w:r w:rsidRPr="008A22F0">
        <w:rPr>
          <w:lang w:val="en-US"/>
        </w:rPr>
        <w:t xml:space="preserve">Jaakkola, T., Ntoumanis, N., &amp; Liukkonen, J. (2016). Motivational climate, goal orientation, perceived sport ability, and enjoyment within Finnish junior ice hockey players. </w:t>
      </w:r>
      <w:r w:rsidRPr="008A22F0">
        <w:rPr>
          <w:i/>
          <w:lang w:val="en-US"/>
        </w:rPr>
        <w:t>Scandinavian Journal of Medicine &amp; Science in Sports, 26</w:t>
      </w:r>
      <w:r w:rsidRPr="008A22F0">
        <w:rPr>
          <w:lang w:val="en-US"/>
        </w:rPr>
        <w:t>, 109-115.</w:t>
      </w:r>
    </w:p>
    <w:p w:rsidR="004E5081" w:rsidRPr="008A22F0" w:rsidRDefault="004E5081" w:rsidP="004E5081">
      <w:pPr>
        <w:widowControl w:val="0"/>
        <w:ind w:left="284" w:hanging="284"/>
        <w:jc w:val="both"/>
        <w:rPr>
          <w:lang w:val="en-US"/>
        </w:rPr>
      </w:pPr>
      <w:r w:rsidRPr="008A22F0">
        <w:rPr>
          <w:lang w:val="en-US"/>
        </w:rPr>
        <w:t xml:space="preserve">Kaplan, D. (2000). </w:t>
      </w:r>
      <w:r w:rsidRPr="008A22F0">
        <w:rPr>
          <w:i/>
          <w:lang w:val="en-US"/>
        </w:rPr>
        <w:t>Structural equation modeling: Foundations and extensions</w:t>
      </w:r>
      <w:r w:rsidRPr="008A22F0">
        <w:rPr>
          <w:lang w:val="en-US"/>
        </w:rPr>
        <w:t>. Thousand Oaks, CA: Sage.</w:t>
      </w:r>
    </w:p>
    <w:p w:rsidR="004E5081" w:rsidRPr="008A22F0" w:rsidRDefault="004E5081" w:rsidP="004E5081">
      <w:pPr>
        <w:widowControl w:val="0"/>
        <w:ind w:left="284" w:hanging="284"/>
        <w:jc w:val="both"/>
        <w:rPr>
          <w:lang w:val="en-US"/>
        </w:rPr>
      </w:pPr>
      <w:r w:rsidRPr="008A22F0">
        <w:rPr>
          <w:lang w:val="en-US"/>
        </w:rPr>
        <w:t xml:space="preserve">Long, B. C., &amp; van Stavel, R. (1999). Effects of exercise training on anxiety: a metaanalysis. </w:t>
      </w:r>
      <w:r w:rsidRPr="008A22F0">
        <w:rPr>
          <w:i/>
          <w:lang w:val="en-US"/>
        </w:rPr>
        <w:t>Journal of Applied Sport Psychology, 7</w:t>
      </w:r>
      <w:r w:rsidRPr="008A22F0">
        <w:rPr>
          <w:lang w:val="en-US"/>
        </w:rPr>
        <w:t xml:space="preserve">, 167-189. </w:t>
      </w:r>
    </w:p>
    <w:p w:rsidR="004E5081" w:rsidRPr="008A22F0" w:rsidRDefault="004E5081" w:rsidP="004E5081">
      <w:pPr>
        <w:widowControl w:val="0"/>
        <w:ind w:left="284" w:hanging="284"/>
        <w:jc w:val="both"/>
        <w:rPr>
          <w:lang w:val="en-US"/>
        </w:rPr>
      </w:pPr>
      <w:r w:rsidRPr="008A22F0">
        <w:rPr>
          <w:lang w:val="en-US"/>
        </w:rPr>
        <w:t xml:space="preserve">Lu, C., &amp; Buchanan, A. (2014). Developing students' emotional well-being in physical education. </w:t>
      </w:r>
      <w:r w:rsidRPr="008A22F0">
        <w:rPr>
          <w:i/>
          <w:lang w:val="en-US"/>
        </w:rPr>
        <w:t>Journal of Physical Education, Recreation &amp; Dance, 85</w:t>
      </w:r>
      <w:r w:rsidRPr="008A22F0">
        <w:rPr>
          <w:lang w:val="en-US"/>
        </w:rPr>
        <w:t>(4), 28-33.</w:t>
      </w:r>
    </w:p>
    <w:p w:rsidR="004E5081" w:rsidRPr="008A22F0" w:rsidRDefault="004E5081" w:rsidP="004E5081">
      <w:pPr>
        <w:widowControl w:val="0"/>
        <w:ind w:left="284" w:hanging="284"/>
        <w:jc w:val="both"/>
        <w:rPr>
          <w:lang w:val="en-US"/>
        </w:rPr>
      </w:pPr>
      <w:r w:rsidRPr="008A22F0">
        <w:rPr>
          <w:lang w:val="en-US"/>
        </w:rPr>
        <w:t xml:space="preserve">Moreno, J. A., González-Cutre, D., &amp; Sicilia, A. (2008). </w:t>
      </w:r>
      <w:r w:rsidRPr="008A22F0">
        <w:t xml:space="preserve">Metas de logro 2 x 2 en estudiantes españoles de Educación Física. </w:t>
      </w:r>
      <w:r w:rsidRPr="008A22F0">
        <w:rPr>
          <w:i/>
          <w:lang w:val="en-US"/>
        </w:rPr>
        <w:t>Revista de Educación, 347</w:t>
      </w:r>
      <w:r w:rsidRPr="008A22F0">
        <w:rPr>
          <w:lang w:val="en-US"/>
        </w:rPr>
        <w:t>, 299-317.</w:t>
      </w:r>
    </w:p>
    <w:p w:rsidR="004E5081" w:rsidRPr="008A22F0" w:rsidRDefault="004E5081" w:rsidP="004E5081">
      <w:pPr>
        <w:widowControl w:val="0"/>
        <w:ind w:left="284" w:hanging="284"/>
        <w:jc w:val="both"/>
        <w:rPr>
          <w:lang w:val="en-US"/>
        </w:rPr>
      </w:pPr>
      <w:r w:rsidRPr="008A22F0">
        <w:rPr>
          <w:lang w:val="en-US"/>
        </w:rPr>
        <w:t xml:space="preserve">Nicholls, J. (1989). </w:t>
      </w:r>
      <w:r w:rsidRPr="008A22F0">
        <w:rPr>
          <w:i/>
          <w:lang w:val="en-US"/>
        </w:rPr>
        <w:t>The competitive ethos and democratic education</w:t>
      </w:r>
      <w:r w:rsidRPr="008A22F0">
        <w:rPr>
          <w:lang w:val="en-US"/>
        </w:rPr>
        <w:t>. Cambridge, MA: Harvard University Press.</w:t>
      </w:r>
    </w:p>
    <w:p w:rsidR="004E5081" w:rsidRPr="008A22F0" w:rsidRDefault="004E5081" w:rsidP="004E5081">
      <w:pPr>
        <w:widowControl w:val="0"/>
        <w:ind w:left="284" w:hanging="284"/>
        <w:jc w:val="both"/>
      </w:pPr>
      <w:r w:rsidRPr="008A22F0">
        <w:rPr>
          <w:lang w:val="en-GB"/>
        </w:rPr>
        <w:t xml:space="preserve">Nunnally, J. C. (1978). </w:t>
      </w:r>
      <w:r w:rsidRPr="008A22F0">
        <w:rPr>
          <w:i/>
          <w:lang w:val="en-GB"/>
        </w:rPr>
        <w:t>Psychometric theory</w:t>
      </w:r>
      <w:r w:rsidRPr="008A22F0">
        <w:rPr>
          <w:lang w:val="en-GB"/>
        </w:rPr>
        <w:t xml:space="preserve">. </w:t>
      </w:r>
      <w:r w:rsidRPr="008A22F0">
        <w:t>New York: McGraw-Hill.</w:t>
      </w:r>
    </w:p>
    <w:p w:rsidR="004E5081" w:rsidRPr="008A22F0" w:rsidRDefault="004E5081" w:rsidP="004E5081">
      <w:pPr>
        <w:widowControl w:val="0"/>
        <w:ind w:left="284" w:hanging="284"/>
        <w:jc w:val="both"/>
        <w:rPr>
          <w:lang w:val="en-US"/>
        </w:rPr>
      </w:pPr>
      <w:r w:rsidRPr="008A22F0">
        <w:t xml:space="preserve">Núñez, J. L., León, J., González, V. &amp; Martín-Albo, J. (2011). Propuesta de un modelo explicativo del bienestar psicológico en el contexto deportivo. </w:t>
      </w:r>
      <w:r w:rsidRPr="008A22F0">
        <w:rPr>
          <w:i/>
          <w:lang w:val="en-US"/>
        </w:rPr>
        <w:t>Revista de Psicología del Deporte, 20</w:t>
      </w:r>
      <w:r w:rsidRPr="008A22F0">
        <w:rPr>
          <w:lang w:val="en-US"/>
        </w:rPr>
        <w:t>(1), 223-242.</w:t>
      </w:r>
    </w:p>
    <w:p w:rsidR="004E5081" w:rsidRPr="008A22F0" w:rsidRDefault="004E5081" w:rsidP="004E5081">
      <w:pPr>
        <w:widowControl w:val="0"/>
        <w:ind w:left="284" w:hanging="284"/>
        <w:jc w:val="both"/>
        <w:rPr>
          <w:lang w:val="en-GB"/>
        </w:rPr>
      </w:pPr>
      <w:r w:rsidRPr="008A22F0">
        <w:rPr>
          <w:lang w:val="en-US"/>
        </w:rPr>
        <w:t xml:space="preserve">Ommundsen, Y. (2006). </w:t>
      </w:r>
      <w:r w:rsidRPr="008A22F0">
        <w:rPr>
          <w:lang w:val="en-GB"/>
        </w:rPr>
        <w:t xml:space="preserve">Pupils’ self-regulation in physical education: The role of motivational climates and differential achievement goals. </w:t>
      </w:r>
      <w:r w:rsidRPr="008A22F0">
        <w:rPr>
          <w:i/>
          <w:lang w:val="en-GB"/>
        </w:rPr>
        <w:t>European Physical Education Review, 12</w:t>
      </w:r>
      <w:r w:rsidRPr="008A22F0">
        <w:rPr>
          <w:lang w:val="en-GB"/>
        </w:rPr>
        <w:t>(3), 289-315.</w:t>
      </w:r>
    </w:p>
    <w:p w:rsidR="004E5081" w:rsidRPr="008A22F0" w:rsidRDefault="004E5081" w:rsidP="004E5081">
      <w:pPr>
        <w:widowControl w:val="0"/>
        <w:ind w:left="284" w:hanging="284"/>
        <w:jc w:val="both"/>
        <w:rPr>
          <w:lang w:val="en-GB"/>
        </w:rPr>
      </w:pPr>
      <w:r w:rsidRPr="008A22F0">
        <w:rPr>
          <w:lang w:val="en-US"/>
        </w:rPr>
        <w:t xml:space="preserve">Pavot, W., &amp; Diener, E. (2008). </w:t>
      </w:r>
      <w:r w:rsidRPr="008A22F0">
        <w:rPr>
          <w:lang w:val="en-GB"/>
        </w:rPr>
        <w:t xml:space="preserve">The Satisfaction with Life Scale and the emerging construct of life satisfaction. </w:t>
      </w:r>
      <w:r w:rsidRPr="008A22F0">
        <w:rPr>
          <w:i/>
          <w:lang w:val="en-GB"/>
        </w:rPr>
        <w:t>The Journal of Positive Psychology, 3</w:t>
      </w:r>
      <w:r w:rsidRPr="008A22F0">
        <w:rPr>
          <w:lang w:val="en-GB"/>
        </w:rPr>
        <w:t>(2), 137-152.</w:t>
      </w:r>
    </w:p>
    <w:p w:rsidR="004E5081" w:rsidRPr="008A22F0" w:rsidRDefault="004E5081" w:rsidP="004E5081">
      <w:pPr>
        <w:widowControl w:val="0"/>
        <w:ind w:left="284" w:hanging="284"/>
        <w:jc w:val="both"/>
        <w:rPr>
          <w:lang w:val="en-US"/>
        </w:rPr>
      </w:pPr>
      <w:r w:rsidRPr="008A22F0">
        <w:rPr>
          <w:lang w:val="en-US"/>
        </w:rPr>
        <w:t xml:space="preserve">Rink, J. E. (2010). </w:t>
      </w:r>
      <w:r w:rsidRPr="008A22F0">
        <w:rPr>
          <w:i/>
          <w:lang w:val="en-US"/>
        </w:rPr>
        <w:t>Teaching physical education</w:t>
      </w:r>
      <w:r w:rsidRPr="008A22F0">
        <w:rPr>
          <w:lang w:val="en-US"/>
        </w:rPr>
        <w:t xml:space="preserve"> (6th ed.). NY: McGraw Hill.</w:t>
      </w:r>
    </w:p>
    <w:p w:rsidR="004E5081" w:rsidRPr="008A22F0" w:rsidRDefault="004E5081" w:rsidP="004E5081">
      <w:pPr>
        <w:widowControl w:val="0"/>
        <w:ind w:left="284" w:hanging="284"/>
        <w:jc w:val="both"/>
      </w:pPr>
      <w:r w:rsidRPr="008A22F0">
        <w:rPr>
          <w:lang w:val="en-US"/>
        </w:rPr>
        <w:t xml:space="preserve">Roberts, G. C. (2001). Understanding the dynamics of motivation in physical activity: The influence of achievement goals on motivational processes. En G. C. Roberts (Ed.), </w:t>
      </w:r>
      <w:r w:rsidRPr="008A22F0">
        <w:rPr>
          <w:i/>
          <w:iCs/>
          <w:lang w:val="en-US"/>
        </w:rPr>
        <w:t xml:space="preserve">Advances in motivation in sport and exercise </w:t>
      </w:r>
      <w:r w:rsidRPr="008A22F0">
        <w:rPr>
          <w:lang w:val="en-US"/>
        </w:rPr>
        <w:t xml:space="preserve">(pp.1-50). </w:t>
      </w:r>
      <w:r w:rsidRPr="008A22F0">
        <w:t>Champaign, IL: Human Kinetics.</w:t>
      </w:r>
    </w:p>
    <w:p w:rsidR="004E5081" w:rsidRPr="008A22F0" w:rsidRDefault="004E5081" w:rsidP="004E5081">
      <w:pPr>
        <w:widowControl w:val="0"/>
        <w:ind w:left="284" w:hanging="284"/>
        <w:jc w:val="both"/>
      </w:pPr>
      <w:r w:rsidRPr="008A22F0">
        <w:t xml:space="preserve">Romero, A., García-Mas, A., &amp; Brustad, R. (2009). Estado del arte y perspectiva actual del concepto de bienestar psicológico en Psicología del Deporte. </w:t>
      </w:r>
      <w:r w:rsidRPr="008A22F0">
        <w:rPr>
          <w:i/>
        </w:rPr>
        <w:t>Revista Latinoamericana de Psicología, 41</w:t>
      </w:r>
      <w:r w:rsidRPr="008A22F0">
        <w:t>(2), 335-347.</w:t>
      </w:r>
    </w:p>
    <w:p w:rsidR="004E5081" w:rsidRPr="008A22F0" w:rsidRDefault="004E5081" w:rsidP="004E5081">
      <w:pPr>
        <w:widowControl w:val="0"/>
        <w:ind w:left="284" w:hanging="284"/>
        <w:jc w:val="both"/>
        <w:rPr>
          <w:lang w:val="en-US"/>
        </w:rPr>
      </w:pPr>
      <w:r w:rsidRPr="008A22F0">
        <w:t xml:space="preserve">Ryan, R. M., &amp; Deci, E. L. (2000). </w:t>
      </w:r>
      <w:r w:rsidRPr="008A22F0">
        <w:rPr>
          <w:lang w:val="en-US"/>
        </w:rPr>
        <w:t xml:space="preserve">Self-determination theory and the facilitation of intrinsic motivation, social development, and well-being. </w:t>
      </w:r>
      <w:r w:rsidRPr="008A22F0">
        <w:rPr>
          <w:i/>
          <w:lang w:val="en-US"/>
        </w:rPr>
        <w:t>American Psychologist, 55</w:t>
      </w:r>
      <w:r w:rsidRPr="008A22F0">
        <w:rPr>
          <w:lang w:val="en-US"/>
        </w:rPr>
        <w:t>, 68-78.</w:t>
      </w:r>
    </w:p>
    <w:p w:rsidR="004E5081" w:rsidRPr="008A22F0" w:rsidRDefault="004E5081" w:rsidP="004E5081">
      <w:pPr>
        <w:widowControl w:val="0"/>
        <w:ind w:left="284" w:hanging="284"/>
        <w:jc w:val="both"/>
        <w:rPr>
          <w:lang w:val="en-US"/>
        </w:rPr>
      </w:pPr>
      <w:r w:rsidRPr="008A22F0">
        <w:rPr>
          <w:lang w:val="en-US"/>
        </w:rPr>
        <w:t xml:space="preserve">Ryan, R., &amp; Deci, E. (2001). On happiness and human potentials: A review of research on hedonic and eudaimonic well-being. </w:t>
      </w:r>
      <w:r w:rsidRPr="008A22F0">
        <w:rPr>
          <w:i/>
          <w:iCs/>
          <w:lang w:val="en-US"/>
        </w:rPr>
        <w:t>Annual Review of Psychology</w:t>
      </w:r>
      <w:r w:rsidRPr="008A22F0">
        <w:rPr>
          <w:lang w:val="en-US"/>
        </w:rPr>
        <w:t xml:space="preserve">, </w:t>
      </w:r>
      <w:r w:rsidRPr="008A22F0">
        <w:rPr>
          <w:i/>
          <w:iCs/>
          <w:lang w:val="en-US"/>
        </w:rPr>
        <w:t>52</w:t>
      </w:r>
      <w:r w:rsidRPr="008A22F0">
        <w:rPr>
          <w:lang w:val="en-US"/>
        </w:rPr>
        <w:t>, 141-166.</w:t>
      </w:r>
    </w:p>
    <w:p w:rsidR="004E5081" w:rsidRPr="008A22F0" w:rsidRDefault="004E5081" w:rsidP="004E5081">
      <w:pPr>
        <w:widowControl w:val="0"/>
        <w:ind w:left="284" w:hanging="284"/>
        <w:jc w:val="both"/>
        <w:rPr>
          <w:lang w:val="en-US"/>
        </w:rPr>
      </w:pPr>
      <w:r w:rsidRPr="008A22F0">
        <w:rPr>
          <w:lang w:val="en-US"/>
        </w:rPr>
        <w:t xml:space="preserve">Sistkos, B. N., Papaioannou, A. G., &amp; Propios, M. K. (2011). Causal effects between emotional intelligence and a perceived caring classroom climate in physical education. </w:t>
      </w:r>
      <w:r w:rsidRPr="008A22F0">
        <w:rPr>
          <w:i/>
          <w:lang w:val="en-US"/>
        </w:rPr>
        <w:t>International Journal of Physical Education, 48</w:t>
      </w:r>
      <w:r w:rsidRPr="008A22F0">
        <w:rPr>
          <w:lang w:val="en-US"/>
        </w:rPr>
        <w:t>, 7-17.</w:t>
      </w:r>
    </w:p>
    <w:p w:rsidR="004E5081" w:rsidRPr="008A22F0" w:rsidRDefault="004E5081" w:rsidP="004E5081">
      <w:pPr>
        <w:widowControl w:val="0"/>
        <w:ind w:left="284" w:hanging="284"/>
        <w:jc w:val="both"/>
        <w:rPr>
          <w:lang w:val="en-US"/>
        </w:rPr>
      </w:pPr>
      <w:r w:rsidRPr="008A22F0">
        <w:rPr>
          <w:lang w:val="en-GB"/>
        </w:rPr>
        <w:t xml:space="preserve">Smith, R E., Smoll, F. L., &amp; Cumming, S. P. (2009). Motivational climate and changes in young athletes’ achievement goal orientations. </w:t>
      </w:r>
      <w:r w:rsidRPr="008A22F0">
        <w:rPr>
          <w:i/>
          <w:lang w:val="en-US"/>
        </w:rPr>
        <w:t>Motivation &amp; Emotion, 33</w:t>
      </w:r>
      <w:r w:rsidRPr="008A22F0">
        <w:rPr>
          <w:lang w:val="en-US"/>
        </w:rPr>
        <w:t>, 173-183.</w:t>
      </w:r>
    </w:p>
    <w:p w:rsidR="004E5081" w:rsidRPr="008A22F0" w:rsidRDefault="004E5081" w:rsidP="004E5081">
      <w:pPr>
        <w:widowControl w:val="0"/>
        <w:ind w:left="284" w:hanging="284"/>
        <w:jc w:val="both"/>
        <w:rPr>
          <w:lang w:val="en-US"/>
        </w:rPr>
      </w:pPr>
      <w:r w:rsidRPr="008A22F0">
        <w:rPr>
          <w:lang w:val="en-US"/>
        </w:rPr>
        <w:t xml:space="preserve">Standage, M., Gillison, F. B., Ntoumanis, N., &amp; Treasure, D. C. (2012). Predicting students’ physical activity and health-related well-being: A prospective cross-domain investigation of motivation across school physical education and exercise settings. </w:t>
      </w:r>
      <w:r w:rsidRPr="008A22F0">
        <w:rPr>
          <w:i/>
          <w:lang w:val="en-US"/>
        </w:rPr>
        <w:t>Journal of Sport &amp; Exercise Psychology, 34</w:t>
      </w:r>
      <w:r w:rsidRPr="008A22F0">
        <w:rPr>
          <w:lang w:val="en-US"/>
        </w:rPr>
        <w:t>, 37-60.</w:t>
      </w:r>
    </w:p>
    <w:p w:rsidR="004E5081" w:rsidRPr="008A22F0" w:rsidRDefault="004E5081" w:rsidP="004E5081">
      <w:pPr>
        <w:widowControl w:val="0"/>
        <w:ind w:left="284" w:hanging="284"/>
        <w:jc w:val="both"/>
        <w:rPr>
          <w:lang w:val="en-US"/>
        </w:rPr>
      </w:pPr>
      <w:r w:rsidRPr="008A22F0">
        <w:rPr>
          <w:lang w:val="en-US"/>
        </w:rPr>
        <w:lastRenderedPageBreak/>
        <w:t xml:space="preserve">Standage, M., &amp; Gillison, F. (2007). Students’ motivational responses toward school physical education and their relationship to general self-esteem and health-related quality of life. </w:t>
      </w:r>
      <w:r w:rsidRPr="008A22F0">
        <w:rPr>
          <w:i/>
          <w:lang w:val="en-US"/>
        </w:rPr>
        <w:t>Psychology of Sport and Exercise, 8</w:t>
      </w:r>
      <w:r w:rsidRPr="008A22F0">
        <w:rPr>
          <w:lang w:val="en-US"/>
        </w:rPr>
        <w:t>, 704-721.</w:t>
      </w:r>
    </w:p>
    <w:p w:rsidR="004E5081" w:rsidRPr="008A22F0" w:rsidRDefault="004E5081" w:rsidP="004E5081">
      <w:pPr>
        <w:widowControl w:val="0"/>
        <w:ind w:left="284" w:hanging="284"/>
        <w:jc w:val="both"/>
        <w:rPr>
          <w:lang w:val="en-US"/>
        </w:rPr>
      </w:pPr>
      <w:r w:rsidRPr="008A22F0">
        <w:rPr>
          <w:lang w:val="en-US"/>
        </w:rPr>
        <w:t xml:space="preserve">Sun, R. C., &amp; Shek, D. T. (2012). Positive youth development, life satisfaction and problem behaviour among Chinese adolescents in Hong Kong: A replication. </w:t>
      </w:r>
      <w:r w:rsidRPr="008A22F0">
        <w:rPr>
          <w:i/>
          <w:lang w:val="en-US"/>
        </w:rPr>
        <w:t>Social Indicators Research, 105</w:t>
      </w:r>
      <w:r w:rsidRPr="008A22F0">
        <w:rPr>
          <w:lang w:val="en-US"/>
        </w:rPr>
        <w:t>, 541-559.</w:t>
      </w:r>
    </w:p>
    <w:p w:rsidR="004E5081" w:rsidRPr="008A22F0" w:rsidRDefault="004E5081" w:rsidP="004E5081">
      <w:pPr>
        <w:widowControl w:val="0"/>
        <w:ind w:left="284" w:hanging="284"/>
        <w:jc w:val="both"/>
        <w:rPr>
          <w:lang w:val="en-US"/>
        </w:rPr>
      </w:pPr>
      <w:r w:rsidRPr="008A22F0">
        <w:rPr>
          <w:lang w:val="en-US"/>
        </w:rPr>
        <w:t xml:space="preserve">Taylor, I. M., Spray, C. M., &amp; Pearson, N. (2014). The influence of the physical education environment on children’s well-being and physical activity across the transition from primary to secondary school. </w:t>
      </w:r>
      <w:r w:rsidRPr="008A22F0">
        <w:rPr>
          <w:i/>
          <w:lang w:val="en-US"/>
        </w:rPr>
        <w:t>Journal of Sport &amp; Exercise Psychology, 36</w:t>
      </w:r>
      <w:r w:rsidRPr="008A22F0">
        <w:rPr>
          <w:lang w:val="en-US"/>
        </w:rPr>
        <w:t xml:space="preserve">, 574-583.  </w:t>
      </w:r>
    </w:p>
    <w:p w:rsidR="004E5081" w:rsidRPr="004E5081" w:rsidRDefault="004E5081" w:rsidP="004E5081">
      <w:pPr>
        <w:widowControl w:val="0"/>
        <w:ind w:left="284" w:hanging="284"/>
        <w:jc w:val="both"/>
      </w:pPr>
      <w:r w:rsidRPr="008A22F0">
        <w:rPr>
          <w:lang w:val="en-US"/>
        </w:rPr>
        <w:t xml:space="preserve">Wilson, P. M., Rodgers, S., Fraser, W., Murray, T. C., &amp; McIntyre, C. A. (2004). The relationship between psychological need satisfaction and self-perceptions in females. </w:t>
      </w:r>
      <w:r w:rsidRPr="004E5081">
        <w:rPr>
          <w:i/>
        </w:rPr>
        <w:t>Journal of Sport and Exercise Psychology, 26</w:t>
      </w:r>
      <w:r w:rsidRPr="004E5081">
        <w:t>, S200.</w:t>
      </w:r>
    </w:p>
    <w:p w:rsidR="004E5081" w:rsidRPr="00613A75" w:rsidRDefault="004E5081" w:rsidP="005E18D4">
      <w:pPr>
        <w:widowControl w:val="0"/>
        <w:ind w:left="284" w:hanging="284"/>
        <w:jc w:val="both"/>
        <w:rPr>
          <w:color w:val="0000CC"/>
        </w:rPr>
      </w:pPr>
    </w:p>
    <w:sectPr w:rsidR="004E5081" w:rsidRPr="00613A75" w:rsidSect="00182A84">
      <w:headerReference w:type="default" r:id="rId9"/>
      <w:pgSz w:w="11906" w:h="16838"/>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79" w:rsidRDefault="00001F79" w:rsidP="00FC00CE">
      <w:r>
        <w:separator/>
      </w:r>
    </w:p>
  </w:endnote>
  <w:endnote w:type="continuationSeparator" w:id="0">
    <w:p w:rsidR="00001F79" w:rsidRDefault="00001F79" w:rsidP="00F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LTStd-Roman">
    <w:altName w:val="MS Mincho"/>
    <w:panose1 w:val="00000000000000000000"/>
    <w:charset w:val="80"/>
    <w:family w:val="roman"/>
    <w:notTrueType/>
    <w:pitch w:val="default"/>
    <w:sig w:usb0="00000003" w:usb1="08070000" w:usb2="00000010" w:usb3="00000000" w:csb0="00020001" w:csb1="00000000"/>
  </w:font>
  <w:font w:name="AdvPS6F00">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79" w:rsidRDefault="00001F79" w:rsidP="00FC00CE">
      <w:r>
        <w:separator/>
      </w:r>
    </w:p>
  </w:footnote>
  <w:footnote w:type="continuationSeparator" w:id="0">
    <w:p w:rsidR="00001F79" w:rsidRDefault="00001F79" w:rsidP="00FC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80995"/>
      <w:docPartObj>
        <w:docPartGallery w:val="Page Numbers (Top of Page)"/>
        <w:docPartUnique/>
      </w:docPartObj>
    </w:sdtPr>
    <w:sdtEndPr/>
    <w:sdtContent>
      <w:p w:rsidR="008A3994" w:rsidRDefault="008A3994">
        <w:pPr>
          <w:pStyle w:val="Encabezado"/>
          <w:jc w:val="right"/>
        </w:pPr>
        <w:r>
          <w:fldChar w:fldCharType="begin"/>
        </w:r>
        <w:r>
          <w:instrText>PAGE   \* MERGEFORMAT</w:instrText>
        </w:r>
        <w:r>
          <w:fldChar w:fldCharType="separate"/>
        </w:r>
        <w:r w:rsidR="00AB3CC1">
          <w:rPr>
            <w:noProof/>
          </w:rPr>
          <w:t>3</w:t>
        </w:r>
        <w:r>
          <w:fldChar w:fldCharType="end"/>
        </w:r>
      </w:p>
    </w:sdtContent>
  </w:sdt>
  <w:p w:rsidR="008A3994" w:rsidRDefault="008A39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CE"/>
    <w:rsid w:val="00001F79"/>
    <w:rsid w:val="00011A10"/>
    <w:rsid w:val="00014FAC"/>
    <w:rsid w:val="00026859"/>
    <w:rsid w:val="00062339"/>
    <w:rsid w:val="000774C5"/>
    <w:rsid w:val="00082E7A"/>
    <w:rsid w:val="0008397B"/>
    <w:rsid w:val="00086916"/>
    <w:rsid w:val="000B5321"/>
    <w:rsid w:val="000B7F5E"/>
    <w:rsid w:val="000C21B6"/>
    <w:rsid w:val="000E0E79"/>
    <w:rsid w:val="000E1186"/>
    <w:rsid w:val="000E4E41"/>
    <w:rsid w:val="00103A85"/>
    <w:rsid w:val="00107CE0"/>
    <w:rsid w:val="00114E94"/>
    <w:rsid w:val="00126A40"/>
    <w:rsid w:val="00140C18"/>
    <w:rsid w:val="001607AD"/>
    <w:rsid w:val="0016202A"/>
    <w:rsid w:val="0016797E"/>
    <w:rsid w:val="0018039F"/>
    <w:rsid w:val="00180B38"/>
    <w:rsid w:val="00182A84"/>
    <w:rsid w:val="00184749"/>
    <w:rsid w:val="00186111"/>
    <w:rsid w:val="001D360C"/>
    <w:rsid w:val="001D6022"/>
    <w:rsid w:val="001E38B3"/>
    <w:rsid w:val="001E45C0"/>
    <w:rsid w:val="001E7672"/>
    <w:rsid w:val="001F6242"/>
    <w:rsid w:val="00203C77"/>
    <w:rsid w:val="00217CF7"/>
    <w:rsid w:val="002235FC"/>
    <w:rsid w:val="00232827"/>
    <w:rsid w:val="00245AED"/>
    <w:rsid w:val="002504CA"/>
    <w:rsid w:val="002515C7"/>
    <w:rsid w:val="00251DA3"/>
    <w:rsid w:val="00280D84"/>
    <w:rsid w:val="00281692"/>
    <w:rsid w:val="0028564E"/>
    <w:rsid w:val="0029678C"/>
    <w:rsid w:val="002A47D1"/>
    <w:rsid w:val="002D29DC"/>
    <w:rsid w:val="002F6C06"/>
    <w:rsid w:val="0031491F"/>
    <w:rsid w:val="00325754"/>
    <w:rsid w:val="00332679"/>
    <w:rsid w:val="00336BA5"/>
    <w:rsid w:val="003379EC"/>
    <w:rsid w:val="00341457"/>
    <w:rsid w:val="00345BC7"/>
    <w:rsid w:val="00354DF4"/>
    <w:rsid w:val="003641D9"/>
    <w:rsid w:val="003905AA"/>
    <w:rsid w:val="003A3C7D"/>
    <w:rsid w:val="003E3EBC"/>
    <w:rsid w:val="003E6592"/>
    <w:rsid w:val="00402DC6"/>
    <w:rsid w:val="00415119"/>
    <w:rsid w:val="00427A16"/>
    <w:rsid w:val="00436DC3"/>
    <w:rsid w:val="00477A8F"/>
    <w:rsid w:val="00484844"/>
    <w:rsid w:val="00485D48"/>
    <w:rsid w:val="004E1CDE"/>
    <w:rsid w:val="004E5081"/>
    <w:rsid w:val="004E5E51"/>
    <w:rsid w:val="004F234C"/>
    <w:rsid w:val="00516D06"/>
    <w:rsid w:val="00524085"/>
    <w:rsid w:val="005246D1"/>
    <w:rsid w:val="0052474F"/>
    <w:rsid w:val="0057305E"/>
    <w:rsid w:val="005779BB"/>
    <w:rsid w:val="00594DC2"/>
    <w:rsid w:val="005B4635"/>
    <w:rsid w:val="005E18D4"/>
    <w:rsid w:val="006059BF"/>
    <w:rsid w:val="00613A75"/>
    <w:rsid w:val="00614ED0"/>
    <w:rsid w:val="00631441"/>
    <w:rsid w:val="00642D23"/>
    <w:rsid w:val="0064493B"/>
    <w:rsid w:val="006A1DCC"/>
    <w:rsid w:val="006D53C0"/>
    <w:rsid w:val="006D76DF"/>
    <w:rsid w:val="006F45E2"/>
    <w:rsid w:val="006F5D39"/>
    <w:rsid w:val="0070356B"/>
    <w:rsid w:val="007106BD"/>
    <w:rsid w:val="007136F1"/>
    <w:rsid w:val="007204E5"/>
    <w:rsid w:val="00747413"/>
    <w:rsid w:val="007720AE"/>
    <w:rsid w:val="00773CBA"/>
    <w:rsid w:val="0078056F"/>
    <w:rsid w:val="007829F4"/>
    <w:rsid w:val="007902B3"/>
    <w:rsid w:val="007A6AD2"/>
    <w:rsid w:val="00804B68"/>
    <w:rsid w:val="00812089"/>
    <w:rsid w:val="008150E3"/>
    <w:rsid w:val="00843ABC"/>
    <w:rsid w:val="008504BC"/>
    <w:rsid w:val="008533F1"/>
    <w:rsid w:val="00860F48"/>
    <w:rsid w:val="008A22F0"/>
    <w:rsid w:val="008A3994"/>
    <w:rsid w:val="008A6938"/>
    <w:rsid w:val="008B1904"/>
    <w:rsid w:val="008C11ED"/>
    <w:rsid w:val="008D3627"/>
    <w:rsid w:val="008E0B8B"/>
    <w:rsid w:val="008E0E46"/>
    <w:rsid w:val="008E40F1"/>
    <w:rsid w:val="008F1B3C"/>
    <w:rsid w:val="00907732"/>
    <w:rsid w:val="0093388E"/>
    <w:rsid w:val="009541FC"/>
    <w:rsid w:val="0096241D"/>
    <w:rsid w:val="00964A1E"/>
    <w:rsid w:val="009670FF"/>
    <w:rsid w:val="009704F1"/>
    <w:rsid w:val="00974970"/>
    <w:rsid w:val="009931F5"/>
    <w:rsid w:val="009D20F6"/>
    <w:rsid w:val="009F7119"/>
    <w:rsid w:val="00A0673D"/>
    <w:rsid w:val="00A245CD"/>
    <w:rsid w:val="00A35422"/>
    <w:rsid w:val="00A71698"/>
    <w:rsid w:val="00A80D7C"/>
    <w:rsid w:val="00A86152"/>
    <w:rsid w:val="00A96ED3"/>
    <w:rsid w:val="00AA47A7"/>
    <w:rsid w:val="00AB3CC1"/>
    <w:rsid w:val="00AD3A2C"/>
    <w:rsid w:val="00AD60BD"/>
    <w:rsid w:val="00AE31F6"/>
    <w:rsid w:val="00AE6C11"/>
    <w:rsid w:val="00AF2CBE"/>
    <w:rsid w:val="00B05218"/>
    <w:rsid w:val="00B20A56"/>
    <w:rsid w:val="00B32888"/>
    <w:rsid w:val="00B43F8B"/>
    <w:rsid w:val="00B51F8E"/>
    <w:rsid w:val="00B51FCE"/>
    <w:rsid w:val="00B640D5"/>
    <w:rsid w:val="00B66559"/>
    <w:rsid w:val="00B920E5"/>
    <w:rsid w:val="00BB0CAC"/>
    <w:rsid w:val="00BB3CF5"/>
    <w:rsid w:val="00BD276D"/>
    <w:rsid w:val="00BD73E1"/>
    <w:rsid w:val="00BF22D5"/>
    <w:rsid w:val="00BF3466"/>
    <w:rsid w:val="00C066F0"/>
    <w:rsid w:val="00C13869"/>
    <w:rsid w:val="00C177F9"/>
    <w:rsid w:val="00C23D7C"/>
    <w:rsid w:val="00C311F8"/>
    <w:rsid w:val="00C45500"/>
    <w:rsid w:val="00C46971"/>
    <w:rsid w:val="00C70CBB"/>
    <w:rsid w:val="00C87DB5"/>
    <w:rsid w:val="00C9627B"/>
    <w:rsid w:val="00CB52B8"/>
    <w:rsid w:val="00CD189C"/>
    <w:rsid w:val="00CF11A8"/>
    <w:rsid w:val="00CF7300"/>
    <w:rsid w:val="00D36F10"/>
    <w:rsid w:val="00D42ED1"/>
    <w:rsid w:val="00D4364E"/>
    <w:rsid w:val="00D476D8"/>
    <w:rsid w:val="00D47EC7"/>
    <w:rsid w:val="00D54F7E"/>
    <w:rsid w:val="00D60A17"/>
    <w:rsid w:val="00D627BF"/>
    <w:rsid w:val="00D76A8B"/>
    <w:rsid w:val="00D92FB8"/>
    <w:rsid w:val="00D940C0"/>
    <w:rsid w:val="00DC106D"/>
    <w:rsid w:val="00DC2DF0"/>
    <w:rsid w:val="00DC5BE1"/>
    <w:rsid w:val="00DD70C2"/>
    <w:rsid w:val="00DE1F89"/>
    <w:rsid w:val="00DF2B23"/>
    <w:rsid w:val="00DF2FE5"/>
    <w:rsid w:val="00DF3E71"/>
    <w:rsid w:val="00DF6112"/>
    <w:rsid w:val="00DF6A5C"/>
    <w:rsid w:val="00E02658"/>
    <w:rsid w:val="00E16C45"/>
    <w:rsid w:val="00E244C1"/>
    <w:rsid w:val="00E47253"/>
    <w:rsid w:val="00E8255B"/>
    <w:rsid w:val="00E93B48"/>
    <w:rsid w:val="00EB587E"/>
    <w:rsid w:val="00ED3612"/>
    <w:rsid w:val="00ED7D8E"/>
    <w:rsid w:val="00EE336A"/>
    <w:rsid w:val="00EE44AE"/>
    <w:rsid w:val="00EE4C7A"/>
    <w:rsid w:val="00F35487"/>
    <w:rsid w:val="00F63CAF"/>
    <w:rsid w:val="00F70D65"/>
    <w:rsid w:val="00F85129"/>
    <w:rsid w:val="00FA23A9"/>
    <w:rsid w:val="00FA562E"/>
    <w:rsid w:val="00FC00CE"/>
    <w:rsid w:val="00FC709B"/>
    <w:rsid w:val="00FD1D29"/>
    <w:rsid w:val="00FE0EE5"/>
    <w:rsid w:val="00FE62AE"/>
    <w:rsid w:val="00FE6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A422-B766-4F89-B485-6DD8DA08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C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0C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C00CE"/>
  </w:style>
  <w:style w:type="paragraph" w:styleId="Piedepgina">
    <w:name w:val="footer"/>
    <w:basedOn w:val="Normal"/>
    <w:link w:val="PiedepginaCar"/>
    <w:uiPriority w:val="99"/>
    <w:unhideWhenUsed/>
    <w:rsid w:val="00FC00C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C00CE"/>
  </w:style>
  <w:style w:type="paragraph" w:customStyle="1" w:styleId="Default">
    <w:name w:val="Default"/>
    <w:rsid w:val="00F35487"/>
    <w:pPr>
      <w:autoSpaceDE w:val="0"/>
      <w:autoSpaceDN w:val="0"/>
      <w:adjustRightInd w:val="0"/>
      <w:spacing w:after="0" w:line="240" w:lineRule="auto"/>
    </w:pPr>
    <w:rPr>
      <w:rFonts w:ascii="Garamond" w:hAnsi="Garamond" w:cs="Garamond"/>
      <w:color w:val="000000"/>
      <w:sz w:val="24"/>
      <w:szCs w:val="24"/>
    </w:rPr>
  </w:style>
  <w:style w:type="character" w:styleId="Nmerodelnea">
    <w:name w:val="line number"/>
    <w:basedOn w:val="Fuentedeprrafopredeter"/>
    <w:uiPriority w:val="99"/>
    <w:semiHidden/>
    <w:unhideWhenUsed/>
    <w:rsid w:val="0018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92425">
      <w:bodyDiv w:val="1"/>
      <w:marLeft w:val="0"/>
      <w:marRight w:val="0"/>
      <w:marTop w:val="0"/>
      <w:marBottom w:val="0"/>
      <w:divBdr>
        <w:top w:val="none" w:sz="0" w:space="0" w:color="auto"/>
        <w:left w:val="none" w:sz="0" w:space="0" w:color="auto"/>
        <w:bottom w:val="none" w:sz="0" w:space="0" w:color="auto"/>
        <w:right w:val="none" w:sz="0" w:space="0" w:color="auto"/>
      </w:divBdr>
    </w:div>
    <w:div w:id="1333292237">
      <w:bodyDiv w:val="1"/>
      <w:marLeft w:val="0"/>
      <w:marRight w:val="0"/>
      <w:marTop w:val="0"/>
      <w:marBottom w:val="0"/>
      <w:divBdr>
        <w:top w:val="none" w:sz="0" w:space="0" w:color="auto"/>
        <w:left w:val="none" w:sz="0" w:space="0" w:color="auto"/>
        <w:bottom w:val="none" w:sz="0" w:space="0" w:color="auto"/>
        <w:right w:val="none" w:sz="0" w:space="0" w:color="auto"/>
      </w:divBdr>
      <w:divsChild>
        <w:div w:id="431123916">
          <w:marLeft w:val="0"/>
          <w:marRight w:val="0"/>
          <w:marTop w:val="0"/>
          <w:marBottom w:val="0"/>
          <w:divBdr>
            <w:top w:val="none" w:sz="0" w:space="0" w:color="auto"/>
            <w:left w:val="none" w:sz="0" w:space="0" w:color="auto"/>
            <w:bottom w:val="none" w:sz="0" w:space="0" w:color="auto"/>
            <w:right w:val="none" w:sz="0" w:space="0" w:color="auto"/>
          </w:divBdr>
          <w:divsChild>
            <w:div w:id="1326594119">
              <w:marLeft w:val="0"/>
              <w:marRight w:val="0"/>
              <w:marTop w:val="0"/>
              <w:marBottom w:val="0"/>
              <w:divBdr>
                <w:top w:val="none" w:sz="0" w:space="0" w:color="auto"/>
                <w:left w:val="none" w:sz="0" w:space="0" w:color="auto"/>
                <w:bottom w:val="none" w:sz="0" w:space="0" w:color="auto"/>
                <w:right w:val="none" w:sz="0" w:space="0" w:color="auto"/>
              </w:divBdr>
              <w:divsChild>
                <w:div w:id="1433041981">
                  <w:marLeft w:val="0"/>
                  <w:marRight w:val="0"/>
                  <w:marTop w:val="0"/>
                  <w:marBottom w:val="0"/>
                  <w:divBdr>
                    <w:top w:val="none" w:sz="0" w:space="0" w:color="auto"/>
                    <w:left w:val="none" w:sz="0" w:space="0" w:color="auto"/>
                    <w:bottom w:val="none" w:sz="0" w:space="0" w:color="auto"/>
                    <w:right w:val="none" w:sz="0" w:space="0" w:color="auto"/>
                  </w:divBdr>
                  <w:divsChild>
                    <w:div w:id="1859198043">
                      <w:marLeft w:val="0"/>
                      <w:marRight w:val="0"/>
                      <w:marTop w:val="0"/>
                      <w:marBottom w:val="0"/>
                      <w:divBdr>
                        <w:top w:val="none" w:sz="0" w:space="0" w:color="auto"/>
                        <w:left w:val="none" w:sz="0" w:space="0" w:color="auto"/>
                        <w:bottom w:val="none" w:sz="0" w:space="0" w:color="auto"/>
                        <w:right w:val="none" w:sz="0" w:space="0" w:color="auto"/>
                      </w:divBdr>
                      <w:divsChild>
                        <w:div w:id="536818080">
                          <w:marLeft w:val="0"/>
                          <w:marRight w:val="0"/>
                          <w:marTop w:val="0"/>
                          <w:marBottom w:val="0"/>
                          <w:divBdr>
                            <w:top w:val="none" w:sz="0" w:space="0" w:color="auto"/>
                            <w:left w:val="none" w:sz="0" w:space="0" w:color="auto"/>
                            <w:bottom w:val="none" w:sz="0" w:space="0" w:color="auto"/>
                            <w:right w:val="none" w:sz="0" w:space="0" w:color="auto"/>
                          </w:divBdr>
                          <w:divsChild>
                            <w:div w:id="2076512635">
                              <w:marLeft w:val="0"/>
                              <w:marRight w:val="0"/>
                              <w:marTop w:val="0"/>
                              <w:marBottom w:val="0"/>
                              <w:divBdr>
                                <w:top w:val="none" w:sz="0" w:space="0" w:color="auto"/>
                                <w:left w:val="none" w:sz="0" w:space="0" w:color="auto"/>
                                <w:bottom w:val="none" w:sz="0" w:space="0" w:color="auto"/>
                                <w:right w:val="none" w:sz="0" w:space="0" w:color="auto"/>
                              </w:divBdr>
                              <w:divsChild>
                                <w:div w:id="1122305404">
                                  <w:marLeft w:val="0"/>
                                  <w:marRight w:val="0"/>
                                  <w:marTop w:val="0"/>
                                  <w:marBottom w:val="0"/>
                                  <w:divBdr>
                                    <w:top w:val="none" w:sz="0" w:space="0" w:color="auto"/>
                                    <w:left w:val="none" w:sz="0" w:space="0" w:color="auto"/>
                                    <w:bottom w:val="none" w:sz="0" w:space="0" w:color="auto"/>
                                    <w:right w:val="none" w:sz="0" w:space="0" w:color="auto"/>
                                  </w:divBdr>
                                  <w:divsChild>
                                    <w:div w:id="589046334">
                                      <w:marLeft w:val="60"/>
                                      <w:marRight w:val="0"/>
                                      <w:marTop w:val="0"/>
                                      <w:marBottom w:val="0"/>
                                      <w:divBdr>
                                        <w:top w:val="none" w:sz="0" w:space="0" w:color="auto"/>
                                        <w:left w:val="none" w:sz="0" w:space="0" w:color="auto"/>
                                        <w:bottom w:val="none" w:sz="0" w:space="0" w:color="auto"/>
                                        <w:right w:val="none" w:sz="0" w:space="0" w:color="auto"/>
                                      </w:divBdr>
                                      <w:divsChild>
                                        <w:div w:id="1421482010">
                                          <w:marLeft w:val="0"/>
                                          <w:marRight w:val="0"/>
                                          <w:marTop w:val="0"/>
                                          <w:marBottom w:val="0"/>
                                          <w:divBdr>
                                            <w:top w:val="none" w:sz="0" w:space="0" w:color="auto"/>
                                            <w:left w:val="none" w:sz="0" w:space="0" w:color="auto"/>
                                            <w:bottom w:val="none" w:sz="0" w:space="0" w:color="auto"/>
                                            <w:right w:val="none" w:sz="0" w:space="0" w:color="auto"/>
                                          </w:divBdr>
                                          <w:divsChild>
                                            <w:div w:id="588008882">
                                              <w:marLeft w:val="0"/>
                                              <w:marRight w:val="0"/>
                                              <w:marTop w:val="0"/>
                                              <w:marBottom w:val="120"/>
                                              <w:divBdr>
                                                <w:top w:val="single" w:sz="6" w:space="0" w:color="F5F5F5"/>
                                                <w:left w:val="single" w:sz="6" w:space="0" w:color="F5F5F5"/>
                                                <w:bottom w:val="single" w:sz="6" w:space="0" w:color="F5F5F5"/>
                                                <w:right w:val="single" w:sz="6" w:space="0" w:color="F5F5F5"/>
                                              </w:divBdr>
                                              <w:divsChild>
                                                <w:div w:id="453330692">
                                                  <w:marLeft w:val="0"/>
                                                  <w:marRight w:val="0"/>
                                                  <w:marTop w:val="0"/>
                                                  <w:marBottom w:val="0"/>
                                                  <w:divBdr>
                                                    <w:top w:val="none" w:sz="0" w:space="0" w:color="auto"/>
                                                    <w:left w:val="none" w:sz="0" w:space="0" w:color="auto"/>
                                                    <w:bottom w:val="none" w:sz="0" w:space="0" w:color="auto"/>
                                                    <w:right w:val="none" w:sz="0" w:space="0" w:color="auto"/>
                                                  </w:divBdr>
                                                  <w:divsChild>
                                                    <w:div w:id="842280163">
                                                      <w:marLeft w:val="0"/>
                                                      <w:marRight w:val="0"/>
                                                      <w:marTop w:val="0"/>
                                                      <w:marBottom w:val="0"/>
                                                      <w:divBdr>
                                                        <w:top w:val="none" w:sz="0" w:space="0" w:color="auto"/>
                                                        <w:left w:val="none" w:sz="0" w:space="0" w:color="auto"/>
                                                        <w:bottom w:val="none" w:sz="0" w:space="0" w:color="auto"/>
                                                        <w:right w:val="none" w:sz="0" w:space="0" w:color="auto"/>
                                                      </w:divBdr>
                                                    </w:div>
                                                  </w:divsChild>
                                                </w:div>
                                                <w:div w:id="878854570">
                                                  <w:marLeft w:val="0"/>
                                                  <w:marRight w:val="0"/>
                                                  <w:marTop w:val="0"/>
                                                  <w:marBottom w:val="0"/>
                                                  <w:divBdr>
                                                    <w:top w:val="none" w:sz="0" w:space="0" w:color="auto"/>
                                                    <w:left w:val="none" w:sz="0" w:space="0" w:color="auto"/>
                                                    <w:bottom w:val="none" w:sz="0" w:space="0" w:color="auto"/>
                                                    <w:right w:val="none" w:sz="0" w:space="0" w:color="auto"/>
                                                  </w:divBdr>
                                                  <w:divsChild>
                                                    <w:div w:id="20604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7221</Words>
  <Characters>39720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 E L C H O R</cp:lastModifiedBy>
  <cp:revision>4</cp:revision>
  <dcterms:created xsi:type="dcterms:W3CDTF">2016-04-07T06:08:00Z</dcterms:created>
  <dcterms:modified xsi:type="dcterms:W3CDTF">2016-04-07T06:18:00Z</dcterms:modified>
</cp:coreProperties>
</file>