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93921" w14:textId="77777777" w:rsidR="00EB1E5E" w:rsidRPr="00A55200" w:rsidRDefault="4C702470" w:rsidP="007829E5">
      <w:pPr>
        <w:spacing w:after="0" w:line="480" w:lineRule="auto"/>
        <w:rPr>
          <w:rFonts w:ascii="Times New Roman" w:eastAsia="Times New Roman" w:hAnsi="Times New Roman" w:cs="Times New Roman"/>
          <w:b/>
          <w:bCs/>
          <w:sz w:val="24"/>
          <w:szCs w:val="24"/>
        </w:rPr>
      </w:pPr>
      <w:r w:rsidRPr="00A55200">
        <w:rPr>
          <w:rFonts w:ascii="Times New Roman" w:eastAsia="Times New Roman" w:hAnsi="Times New Roman" w:cs="Times New Roman"/>
          <w:b/>
          <w:bCs/>
          <w:sz w:val="24"/>
          <w:szCs w:val="24"/>
        </w:rPr>
        <w:t xml:space="preserve">Las políticas culturales en el sur de Europa tras la crisis global: </w:t>
      </w:r>
      <w:r w:rsidR="0047249B" w:rsidRPr="00A55200">
        <w:rPr>
          <w:rFonts w:ascii="Times New Roman" w:eastAsia="Times New Roman" w:hAnsi="Times New Roman" w:cs="Times New Roman"/>
          <w:b/>
          <w:bCs/>
          <w:sz w:val="24"/>
          <w:szCs w:val="24"/>
        </w:rPr>
        <w:t>su impacto en la participación cultural</w:t>
      </w:r>
    </w:p>
    <w:p w14:paraId="4D81780F" w14:textId="77777777" w:rsidR="00EB1E5E" w:rsidRPr="00A55200" w:rsidRDefault="008F32FE" w:rsidP="007829E5">
      <w:pPr>
        <w:spacing w:after="0" w:line="480" w:lineRule="auto"/>
        <w:rPr>
          <w:rFonts w:ascii="Times New Roman" w:eastAsia="Times New Roman" w:hAnsi="Times New Roman" w:cs="Times New Roman"/>
          <w:sz w:val="24"/>
          <w:szCs w:val="24"/>
        </w:rPr>
      </w:pPr>
      <w:r w:rsidRPr="00A55200">
        <w:rPr>
          <w:rFonts w:ascii="Times New Roman" w:eastAsia="Times New Roman" w:hAnsi="Times New Roman" w:cs="Times New Roman"/>
          <w:sz w:val="24"/>
          <w:szCs w:val="24"/>
        </w:rPr>
        <w:t>Juan Arturo Rubio-</w:t>
      </w:r>
      <w:r w:rsidR="4C702470" w:rsidRPr="00A55200">
        <w:rPr>
          <w:rFonts w:ascii="Times New Roman" w:eastAsia="Times New Roman" w:hAnsi="Times New Roman" w:cs="Times New Roman"/>
          <w:sz w:val="24"/>
          <w:szCs w:val="24"/>
        </w:rPr>
        <w:t>Arostegui</w:t>
      </w:r>
      <w:r w:rsidR="00A938E7" w:rsidRPr="00A55200">
        <w:rPr>
          <w:rFonts w:ascii="Times New Roman" w:eastAsia="Times New Roman" w:hAnsi="Times New Roman" w:cs="Times New Roman"/>
          <w:sz w:val="24"/>
          <w:szCs w:val="24"/>
        </w:rPr>
        <w:t xml:space="preserve"> (Universidad Antonio de Nebrija)</w:t>
      </w:r>
    </w:p>
    <w:p w14:paraId="7AE7C5D1" w14:textId="77777777" w:rsidR="00EB1E5E" w:rsidRPr="00A55200" w:rsidRDefault="008F32FE" w:rsidP="007829E5">
      <w:pPr>
        <w:spacing w:after="0" w:line="480" w:lineRule="auto"/>
        <w:rPr>
          <w:rFonts w:ascii="Times New Roman" w:eastAsia="Times New Roman" w:hAnsi="Times New Roman" w:cs="Times New Roman"/>
          <w:sz w:val="24"/>
          <w:szCs w:val="24"/>
        </w:rPr>
      </w:pPr>
      <w:r w:rsidRPr="00A55200">
        <w:rPr>
          <w:rFonts w:ascii="Times New Roman" w:eastAsia="Times New Roman" w:hAnsi="Times New Roman" w:cs="Times New Roman"/>
          <w:sz w:val="24"/>
          <w:szCs w:val="24"/>
        </w:rPr>
        <w:t>Joaquim Rius-</w:t>
      </w:r>
      <w:r w:rsidR="4C702470" w:rsidRPr="00A55200">
        <w:rPr>
          <w:rFonts w:ascii="Times New Roman" w:eastAsia="Times New Roman" w:hAnsi="Times New Roman" w:cs="Times New Roman"/>
          <w:sz w:val="24"/>
          <w:szCs w:val="24"/>
        </w:rPr>
        <w:t>Ulldemolins</w:t>
      </w:r>
      <w:r w:rsidR="00A938E7" w:rsidRPr="00A55200">
        <w:rPr>
          <w:rFonts w:ascii="Times New Roman" w:eastAsia="Times New Roman" w:hAnsi="Times New Roman" w:cs="Times New Roman"/>
          <w:sz w:val="24"/>
          <w:szCs w:val="24"/>
        </w:rPr>
        <w:t xml:space="preserve"> (Universitat de Valéncia)</w:t>
      </w:r>
    </w:p>
    <w:p w14:paraId="289CD21F" w14:textId="77777777" w:rsidR="007A5D65" w:rsidRPr="00A55200" w:rsidRDefault="00F8618D" w:rsidP="007829E5">
      <w:pPr>
        <w:spacing w:after="0" w:line="480" w:lineRule="auto"/>
        <w:rPr>
          <w:rFonts w:ascii="Times New Roman" w:eastAsia="Times New Roman" w:hAnsi="Times New Roman" w:cs="Times New Roman"/>
          <w:b/>
          <w:bCs/>
          <w:sz w:val="24"/>
          <w:szCs w:val="24"/>
        </w:rPr>
      </w:pPr>
      <w:r w:rsidRPr="00A55200">
        <w:rPr>
          <w:rFonts w:ascii="Times New Roman" w:eastAsia="Times New Roman" w:hAnsi="Times New Roman" w:cs="Times New Roman"/>
          <w:b/>
          <w:bCs/>
          <w:sz w:val="24"/>
          <w:szCs w:val="24"/>
        </w:rPr>
        <w:t>Resumen</w:t>
      </w:r>
    </w:p>
    <w:p w14:paraId="2335B805" w14:textId="77777777" w:rsidR="007D00AC" w:rsidRPr="00A55200" w:rsidRDefault="003C7758" w:rsidP="007829E5">
      <w:pPr>
        <w:spacing w:after="0" w:line="480" w:lineRule="auto"/>
        <w:rPr>
          <w:rFonts w:ascii="Times New Roman" w:hAnsi="Times New Roman" w:cs="Times New Roman"/>
          <w:sz w:val="24"/>
          <w:szCs w:val="24"/>
        </w:rPr>
      </w:pPr>
      <w:r w:rsidRPr="00A55200">
        <w:rPr>
          <w:rFonts w:ascii="Times New Roman" w:hAnsi="Times New Roman" w:cs="Times New Roman"/>
          <w:sz w:val="24"/>
          <w:szCs w:val="24"/>
        </w:rPr>
        <w:t>El</w:t>
      </w:r>
      <w:r w:rsidR="007D00AC" w:rsidRPr="00A55200">
        <w:rPr>
          <w:rFonts w:ascii="Times New Roman" w:hAnsi="Times New Roman" w:cs="Times New Roman"/>
          <w:sz w:val="24"/>
          <w:szCs w:val="24"/>
        </w:rPr>
        <w:t xml:space="preserve"> ú</w:t>
      </w:r>
      <w:r w:rsidRPr="00A55200">
        <w:rPr>
          <w:rFonts w:ascii="Times New Roman" w:hAnsi="Times New Roman" w:cs="Times New Roman"/>
          <w:sz w:val="24"/>
          <w:szCs w:val="24"/>
        </w:rPr>
        <w:t xml:space="preserve">ltimo tercio del siglo XX supuso el </w:t>
      </w:r>
      <w:r w:rsidR="007D00AC" w:rsidRPr="00A55200">
        <w:rPr>
          <w:rFonts w:ascii="Times New Roman" w:hAnsi="Times New Roman" w:cs="Times New Roman"/>
          <w:sz w:val="24"/>
          <w:szCs w:val="24"/>
        </w:rPr>
        <w:t xml:space="preserve">inicio de un proceso </w:t>
      </w:r>
      <w:r w:rsidR="002D7060" w:rsidRPr="00A55200">
        <w:rPr>
          <w:rFonts w:ascii="Times New Roman" w:hAnsi="Times New Roman" w:cs="Times New Roman"/>
          <w:sz w:val="24"/>
          <w:szCs w:val="24"/>
        </w:rPr>
        <w:t>de convergencia</w:t>
      </w:r>
      <w:r w:rsidR="007D00AC" w:rsidRPr="00A55200">
        <w:rPr>
          <w:rFonts w:ascii="Times New Roman" w:hAnsi="Times New Roman" w:cs="Times New Roman"/>
          <w:sz w:val="24"/>
          <w:szCs w:val="24"/>
        </w:rPr>
        <w:t xml:space="preserve"> en la formulación y en la implementación de las políticas culturales de los países del sur de Europa con respecto al norte. Sin </w:t>
      </w:r>
      <w:r w:rsidR="002D7060" w:rsidRPr="00A55200">
        <w:rPr>
          <w:rFonts w:ascii="Times New Roman" w:hAnsi="Times New Roman" w:cs="Times New Roman"/>
          <w:sz w:val="24"/>
          <w:szCs w:val="24"/>
        </w:rPr>
        <w:t>embargo,</w:t>
      </w:r>
      <w:r w:rsidRPr="00A55200">
        <w:rPr>
          <w:rFonts w:ascii="Times New Roman" w:hAnsi="Times New Roman" w:cs="Times New Roman"/>
          <w:sz w:val="24"/>
          <w:szCs w:val="24"/>
        </w:rPr>
        <w:t xml:space="preserve"> la crisis global ha conllevado</w:t>
      </w:r>
      <w:r w:rsidR="007D00AC" w:rsidRPr="00A55200">
        <w:rPr>
          <w:rFonts w:ascii="Times New Roman" w:hAnsi="Times New Roman" w:cs="Times New Roman"/>
          <w:sz w:val="24"/>
          <w:szCs w:val="24"/>
        </w:rPr>
        <w:t xml:space="preserve"> un retroceso en los indicadores de participación cultural, rompiéndose la tendencia de la europeización de esta política pública. Analizamos desde un enfoque comparado, </w:t>
      </w:r>
      <w:r w:rsidR="002D7060" w:rsidRPr="00A55200">
        <w:rPr>
          <w:rFonts w:ascii="Times New Roman" w:hAnsi="Times New Roman" w:cs="Times New Roman"/>
          <w:sz w:val="24"/>
          <w:szCs w:val="24"/>
        </w:rPr>
        <w:t>c</w:t>
      </w:r>
      <w:r w:rsidR="002266D8">
        <w:rPr>
          <w:rFonts w:ascii="Times New Roman" w:hAnsi="Times New Roman" w:cs="Times New Roman"/>
          <w:sz w:val="24"/>
          <w:szCs w:val="24"/>
        </w:rPr>
        <w:t>o</w:t>
      </w:r>
      <w:r w:rsidR="002D7060" w:rsidRPr="00A55200">
        <w:rPr>
          <w:rFonts w:ascii="Times New Roman" w:hAnsi="Times New Roman" w:cs="Times New Roman"/>
          <w:sz w:val="24"/>
          <w:szCs w:val="24"/>
        </w:rPr>
        <w:t>mo la</w:t>
      </w:r>
      <w:r w:rsidR="007D00AC" w:rsidRPr="00A55200">
        <w:rPr>
          <w:rFonts w:ascii="Times New Roman" w:hAnsi="Times New Roman" w:cs="Times New Roman"/>
          <w:sz w:val="24"/>
          <w:szCs w:val="24"/>
        </w:rPr>
        <w:t xml:space="preserve"> densidad institucional de la educación artística no formal</w:t>
      </w:r>
      <w:r w:rsidR="001C7CBF" w:rsidRPr="00A55200">
        <w:rPr>
          <w:rFonts w:ascii="Times New Roman" w:hAnsi="Times New Roman" w:cs="Times New Roman"/>
          <w:sz w:val="24"/>
          <w:szCs w:val="24"/>
        </w:rPr>
        <w:t>,</w:t>
      </w:r>
      <w:r w:rsidR="007D00AC" w:rsidRPr="00A55200">
        <w:rPr>
          <w:rFonts w:ascii="Times New Roman" w:hAnsi="Times New Roman" w:cs="Times New Roman"/>
          <w:sz w:val="24"/>
          <w:szCs w:val="24"/>
        </w:rPr>
        <w:t xml:space="preserve"> el sistema formal educativo </w:t>
      </w:r>
      <w:r w:rsidR="001C7CBF" w:rsidRPr="00A55200">
        <w:rPr>
          <w:rFonts w:ascii="Times New Roman" w:hAnsi="Times New Roman" w:cs="Times New Roman"/>
          <w:sz w:val="24"/>
          <w:szCs w:val="24"/>
        </w:rPr>
        <w:t xml:space="preserve">y el tipo de gobernanza de los equipamientos culturales, determinan, </w:t>
      </w:r>
      <w:r w:rsidR="007D00AC" w:rsidRPr="00A55200">
        <w:rPr>
          <w:rFonts w:ascii="Times New Roman" w:hAnsi="Times New Roman" w:cs="Times New Roman"/>
          <w:sz w:val="24"/>
          <w:szCs w:val="24"/>
        </w:rPr>
        <w:t xml:space="preserve">además de los recortes públicos en la cultura, </w:t>
      </w:r>
      <w:r w:rsidR="00500C59" w:rsidRPr="00A55200">
        <w:rPr>
          <w:rFonts w:ascii="Times New Roman" w:hAnsi="Times New Roman" w:cs="Times New Roman"/>
          <w:sz w:val="24"/>
          <w:szCs w:val="24"/>
        </w:rPr>
        <w:t xml:space="preserve">la mayor caída de </w:t>
      </w:r>
      <w:r w:rsidR="00F8618D" w:rsidRPr="00A55200">
        <w:rPr>
          <w:rFonts w:ascii="Times New Roman" w:hAnsi="Times New Roman" w:cs="Times New Roman"/>
          <w:sz w:val="24"/>
          <w:szCs w:val="24"/>
        </w:rPr>
        <w:t>la participación cultural</w:t>
      </w:r>
      <w:r w:rsidR="00500C59" w:rsidRPr="00A55200">
        <w:rPr>
          <w:rFonts w:ascii="Times New Roman" w:hAnsi="Times New Roman" w:cs="Times New Roman"/>
          <w:sz w:val="24"/>
          <w:szCs w:val="24"/>
        </w:rPr>
        <w:t xml:space="preserve"> en el modelo de política cultu</w:t>
      </w:r>
      <w:r w:rsidR="00DE5BB5" w:rsidRPr="00A55200">
        <w:rPr>
          <w:rFonts w:ascii="Times New Roman" w:hAnsi="Times New Roman" w:cs="Times New Roman"/>
          <w:sz w:val="24"/>
          <w:szCs w:val="24"/>
        </w:rPr>
        <w:t xml:space="preserve">ral </w:t>
      </w:r>
      <w:r w:rsidR="002D7060" w:rsidRPr="00A55200">
        <w:rPr>
          <w:rFonts w:ascii="Times New Roman" w:hAnsi="Times New Roman" w:cs="Times New Roman"/>
          <w:sz w:val="24"/>
          <w:szCs w:val="24"/>
        </w:rPr>
        <w:t>sur europeo</w:t>
      </w:r>
      <w:r w:rsidR="00DE5BB5" w:rsidRPr="00A55200">
        <w:rPr>
          <w:rFonts w:ascii="Times New Roman" w:hAnsi="Times New Roman" w:cs="Times New Roman"/>
          <w:sz w:val="24"/>
          <w:szCs w:val="24"/>
        </w:rPr>
        <w:t xml:space="preserve"> en relación con los modelos liberal, nórdico y centroeuropeo. </w:t>
      </w:r>
    </w:p>
    <w:p w14:paraId="5EE1599A" w14:textId="77777777" w:rsidR="00500C59" w:rsidRPr="00A55200" w:rsidRDefault="00500C59" w:rsidP="007829E5">
      <w:pPr>
        <w:spacing w:after="0" w:line="480" w:lineRule="auto"/>
        <w:rPr>
          <w:rFonts w:ascii="Times New Roman" w:hAnsi="Times New Roman" w:cs="Times New Roman"/>
          <w:sz w:val="24"/>
          <w:szCs w:val="24"/>
        </w:rPr>
      </w:pPr>
    </w:p>
    <w:p w14:paraId="06375538" w14:textId="77777777" w:rsidR="00F8618D" w:rsidRPr="00A55200" w:rsidRDefault="00F8618D" w:rsidP="007829E5">
      <w:pPr>
        <w:spacing w:after="0" w:line="480" w:lineRule="auto"/>
        <w:rPr>
          <w:rFonts w:ascii="Times New Roman" w:eastAsia="Times New Roman" w:hAnsi="Times New Roman" w:cs="Times New Roman"/>
          <w:b/>
          <w:bCs/>
          <w:sz w:val="24"/>
          <w:szCs w:val="24"/>
          <w:lang w:val="en-GB"/>
        </w:rPr>
      </w:pPr>
      <w:r w:rsidRPr="00A55200">
        <w:rPr>
          <w:rFonts w:ascii="Times New Roman" w:eastAsia="Times New Roman" w:hAnsi="Times New Roman" w:cs="Times New Roman"/>
          <w:b/>
          <w:bCs/>
          <w:sz w:val="24"/>
          <w:szCs w:val="24"/>
          <w:lang w:val="en-GB"/>
        </w:rPr>
        <w:t>Abstract</w:t>
      </w:r>
    </w:p>
    <w:p w14:paraId="13CD0AE1" w14:textId="77777777" w:rsidR="00F8618D" w:rsidRPr="00A55200" w:rsidRDefault="001C7CBF" w:rsidP="007829E5">
      <w:pPr>
        <w:spacing w:after="0" w:line="480" w:lineRule="auto"/>
        <w:rPr>
          <w:rFonts w:ascii="Times New Roman" w:hAnsi="Times New Roman" w:cs="Times New Roman"/>
          <w:sz w:val="24"/>
          <w:szCs w:val="24"/>
          <w:lang w:val="en-GB"/>
        </w:rPr>
      </w:pPr>
      <w:r w:rsidRPr="00A55200">
        <w:rPr>
          <w:rFonts w:ascii="Times New Roman" w:hAnsi="Times New Roman" w:cs="Times New Roman"/>
          <w:sz w:val="24"/>
          <w:szCs w:val="24"/>
          <w:lang w:val="en-GB"/>
        </w:rPr>
        <w:t xml:space="preserve">The last third of the 20th century marked the beginning of a process of convergence in the formulation and implementation of the cultural policies of the countries of southern Europe with respect to the north. However, the global crisis has led to a decline in the indicators of cultural participation, breaking the trend of Europeanization of this public policy. From a comparative perspective, we </w:t>
      </w:r>
      <w:r w:rsidR="002D7060" w:rsidRPr="00A55200">
        <w:rPr>
          <w:rFonts w:ascii="Times New Roman" w:hAnsi="Times New Roman" w:cs="Times New Roman"/>
          <w:sz w:val="24"/>
          <w:szCs w:val="24"/>
          <w:lang w:val="en-GB"/>
        </w:rPr>
        <w:t>analyse</w:t>
      </w:r>
      <w:r w:rsidRPr="00A55200">
        <w:rPr>
          <w:rFonts w:ascii="Times New Roman" w:hAnsi="Times New Roman" w:cs="Times New Roman"/>
          <w:sz w:val="24"/>
          <w:szCs w:val="24"/>
          <w:lang w:val="en-GB"/>
        </w:rPr>
        <w:t xml:space="preserve"> how the institutional density of non-formal artistic education, the formal educational system and the type of governance of cultural facilities determine, in addition to public cuts in culture, the greatest fall in cultural participation in the southern European cultural policy model in relation to the liberal, nordic and central European models.</w:t>
      </w:r>
    </w:p>
    <w:p w14:paraId="3C2722CB" w14:textId="77777777" w:rsidR="001C7CBF" w:rsidRPr="00A55200" w:rsidRDefault="001C7CBF" w:rsidP="007829E5">
      <w:pPr>
        <w:spacing w:after="0" w:line="480" w:lineRule="auto"/>
        <w:rPr>
          <w:rFonts w:ascii="Times New Roman" w:hAnsi="Times New Roman" w:cs="Times New Roman"/>
          <w:sz w:val="24"/>
          <w:szCs w:val="24"/>
          <w:lang w:val="en-GB"/>
        </w:rPr>
      </w:pPr>
    </w:p>
    <w:p w14:paraId="446EA368" w14:textId="77777777" w:rsidR="00A938E7" w:rsidRPr="00A55200" w:rsidRDefault="00A938E7" w:rsidP="007829E5">
      <w:pPr>
        <w:spacing w:after="0" w:line="480" w:lineRule="auto"/>
        <w:rPr>
          <w:rFonts w:ascii="Times New Roman" w:eastAsia="Times New Roman" w:hAnsi="Times New Roman" w:cs="Times New Roman"/>
          <w:sz w:val="24"/>
          <w:szCs w:val="24"/>
        </w:rPr>
      </w:pPr>
      <w:r w:rsidRPr="00A55200">
        <w:rPr>
          <w:rFonts w:ascii="Times New Roman" w:eastAsia="Times New Roman" w:hAnsi="Times New Roman" w:cs="Times New Roman"/>
          <w:sz w:val="24"/>
          <w:szCs w:val="24"/>
        </w:rPr>
        <w:t>Palabras-</w:t>
      </w:r>
      <w:r w:rsidR="00F8618D" w:rsidRPr="00A55200">
        <w:rPr>
          <w:rFonts w:ascii="Times New Roman" w:eastAsia="Times New Roman" w:hAnsi="Times New Roman" w:cs="Times New Roman"/>
          <w:sz w:val="24"/>
          <w:szCs w:val="24"/>
        </w:rPr>
        <w:t xml:space="preserve">clave: </w:t>
      </w:r>
      <w:r w:rsidRPr="00A55200">
        <w:rPr>
          <w:rFonts w:ascii="Times New Roman" w:eastAsia="Times New Roman" w:hAnsi="Times New Roman" w:cs="Times New Roman"/>
          <w:sz w:val="24"/>
          <w:szCs w:val="24"/>
        </w:rPr>
        <w:t xml:space="preserve">modelo </w:t>
      </w:r>
      <w:r w:rsidR="002D7060" w:rsidRPr="00A55200">
        <w:rPr>
          <w:rFonts w:ascii="Times New Roman" w:eastAsia="Times New Roman" w:hAnsi="Times New Roman" w:cs="Times New Roman"/>
          <w:sz w:val="24"/>
          <w:szCs w:val="24"/>
        </w:rPr>
        <w:t>sur europeo</w:t>
      </w:r>
      <w:r w:rsidRPr="00A55200">
        <w:rPr>
          <w:rFonts w:ascii="Times New Roman" w:eastAsia="Times New Roman" w:hAnsi="Times New Roman" w:cs="Times New Roman"/>
          <w:sz w:val="24"/>
          <w:szCs w:val="24"/>
        </w:rPr>
        <w:t xml:space="preserve"> de política cultural, europeización, participación cultural, consumo c</w:t>
      </w:r>
      <w:r w:rsidR="00E76C5A" w:rsidRPr="00A55200">
        <w:rPr>
          <w:rFonts w:ascii="Times New Roman" w:eastAsia="Times New Roman" w:hAnsi="Times New Roman" w:cs="Times New Roman"/>
          <w:sz w:val="24"/>
          <w:szCs w:val="24"/>
        </w:rPr>
        <w:t xml:space="preserve">ultural, actividades artísticas. </w:t>
      </w:r>
    </w:p>
    <w:p w14:paraId="637FA891" w14:textId="77777777" w:rsidR="007A5D65" w:rsidRPr="00A55200" w:rsidRDefault="00F8618D" w:rsidP="007829E5">
      <w:pPr>
        <w:spacing w:after="0" w:line="480" w:lineRule="auto"/>
        <w:rPr>
          <w:rFonts w:ascii="Times New Roman" w:eastAsia="Times New Roman" w:hAnsi="Times New Roman" w:cs="Times New Roman"/>
          <w:sz w:val="24"/>
          <w:szCs w:val="24"/>
        </w:rPr>
      </w:pPr>
      <w:r w:rsidRPr="00A55200">
        <w:rPr>
          <w:rFonts w:ascii="Times New Roman" w:eastAsia="Times New Roman" w:hAnsi="Times New Roman" w:cs="Times New Roman"/>
          <w:sz w:val="24"/>
          <w:szCs w:val="24"/>
        </w:rPr>
        <w:t xml:space="preserve">Keywords: </w:t>
      </w:r>
      <w:r w:rsidR="008D0944" w:rsidRPr="00A55200">
        <w:rPr>
          <w:rFonts w:ascii="Times New Roman" w:eastAsia="Times New Roman" w:hAnsi="Times New Roman" w:cs="Times New Roman"/>
          <w:sz w:val="24"/>
          <w:szCs w:val="24"/>
        </w:rPr>
        <w:t>south</w:t>
      </w:r>
      <w:r w:rsidR="00A938E7" w:rsidRPr="00A55200">
        <w:rPr>
          <w:rFonts w:ascii="Times New Roman" w:eastAsia="Times New Roman" w:hAnsi="Times New Roman" w:cs="Times New Roman"/>
          <w:sz w:val="24"/>
          <w:szCs w:val="24"/>
        </w:rPr>
        <w:t xml:space="preserve"> cultural policy model, </w:t>
      </w:r>
      <w:r w:rsidR="008B5A17" w:rsidRPr="00A55200">
        <w:rPr>
          <w:rFonts w:ascii="Times New Roman" w:eastAsia="Times New Roman" w:hAnsi="Times New Roman" w:cs="Times New Roman"/>
          <w:sz w:val="24"/>
          <w:szCs w:val="24"/>
        </w:rPr>
        <w:t>europeanisation</w:t>
      </w:r>
      <w:r w:rsidR="00334135" w:rsidRPr="00A55200">
        <w:rPr>
          <w:rFonts w:ascii="Times New Roman" w:eastAsia="Times New Roman" w:hAnsi="Times New Roman" w:cs="Times New Roman"/>
          <w:sz w:val="24"/>
          <w:szCs w:val="24"/>
        </w:rPr>
        <w:t xml:space="preserve">, cultural </w:t>
      </w:r>
      <w:r w:rsidR="008D0944" w:rsidRPr="00A55200">
        <w:rPr>
          <w:rFonts w:ascii="Times New Roman" w:eastAsia="Times New Roman" w:hAnsi="Times New Roman" w:cs="Times New Roman"/>
          <w:sz w:val="24"/>
          <w:szCs w:val="24"/>
        </w:rPr>
        <w:t>participation</w:t>
      </w:r>
      <w:r w:rsidR="00A938E7" w:rsidRPr="00A55200">
        <w:rPr>
          <w:rFonts w:ascii="Times New Roman" w:eastAsia="Times New Roman" w:hAnsi="Times New Roman" w:cs="Times New Roman"/>
          <w:sz w:val="24"/>
          <w:szCs w:val="24"/>
        </w:rPr>
        <w:t xml:space="preserve">, </w:t>
      </w:r>
      <w:r w:rsidR="008D0944" w:rsidRPr="00A55200">
        <w:rPr>
          <w:rFonts w:ascii="Times New Roman" w:eastAsia="Times New Roman" w:hAnsi="Times New Roman" w:cs="Times New Roman"/>
          <w:sz w:val="24"/>
          <w:szCs w:val="24"/>
        </w:rPr>
        <w:t xml:space="preserve">cultural consumption, </w:t>
      </w:r>
      <w:r w:rsidR="00E76C5A" w:rsidRPr="00A55200">
        <w:rPr>
          <w:rFonts w:ascii="Times New Roman" w:eastAsia="Times New Roman" w:hAnsi="Times New Roman" w:cs="Times New Roman"/>
          <w:sz w:val="24"/>
          <w:szCs w:val="24"/>
        </w:rPr>
        <w:t xml:space="preserve">artistic activities. </w:t>
      </w:r>
    </w:p>
    <w:p w14:paraId="3372B012" w14:textId="77777777" w:rsidR="007A5D65" w:rsidRPr="00A55200" w:rsidRDefault="007A5D65" w:rsidP="007829E5">
      <w:pPr>
        <w:spacing w:after="0" w:line="480" w:lineRule="auto"/>
        <w:rPr>
          <w:rFonts w:ascii="Times New Roman" w:hAnsi="Times New Roman" w:cs="Times New Roman"/>
          <w:sz w:val="24"/>
          <w:szCs w:val="24"/>
        </w:rPr>
      </w:pPr>
    </w:p>
    <w:p w14:paraId="51D983DF" w14:textId="77777777" w:rsidR="00DB31B1" w:rsidRPr="00A55200" w:rsidRDefault="00DB31B1" w:rsidP="007829E5">
      <w:pPr>
        <w:spacing w:after="0" w:line="480" w:lineRule="auto"/>
        <w:rPr>
          <w:rFonts w:ascii="Times New Roman" w:hAnsi="Times New Roman" w:cs="Times New Roman"/>
          <w:b/>
          <w:sz w:val="24"/>
          <w:szCs w:val="24"/>
        </w:rPr>
      </w:pPr>
      <w:r w:rsidRPr="00A55200">
        <w:rPr>
          <w:rFonts w:ascii="Times New Roman" w:hAnsi="Times New Roman" w:cs="Times New Roman"/>
          <w:b/>
          <w:sz w:val="24"/>
          <w:szCs w:val="24"/>
        </w:rPr>
        <w:t>Introducción</w:t>
      </w:r>
    </w:p>
    <w:p w14:paraId="20A4D9FB" w14:textId="77777777" w:rsidR="009B699F" w:rsidRPr="00A55200" w:rsidRDefault="00997978" w:rsidP="007829E5">
      <w:pPr>
        <w:spacing w:after="0" w:line="480" w:lineRule="auto"/>
        <w:rPr>
          <w:rFonts w:ascii="Times New Roman" w:eastAsia="Times New Roman" w:hAnsi="Times New Roman" w:cs="Times New Roman"/>
          <w:sz w:val="24"/>
          <w:szCs w:val="24"/>
        </w:rPr>
      </w:pPr>
      <w:r w:rsidRPr="00A55200">
        <w:rPr>
          <w:rFonts w:ascii="Times New Roman" w:eastAsia="Times New Roman" w:hAnsi="Times New Roman" w:cs="Times New Roman"/>
          <w:sz w:val="24"/>
          <w:szCs w:val="24"/>
        </w:rPr>
        <w:t xml:space="preserve">Uno de los retos del campo académico que relaciona las investigaciones </w:t>
      </w:r>
      <w:r w:rsidR="002D7060" w:rsidRPr="00A55200">
        <w:rPr>
          <w:rFonts w:ascii="Times New Roman" w:eastAsia="Times New Roman" w:hAnsi="Times New Roman" w:cs="Times New Roman"/>
          <w:sz w:val="24"/>
          <w:szCs w:val="24"/>
        </w:rPr>
        <w:t>sobre política</w:t>
      </w:r>
      <w:r w:rsidRPr="00A55200">
        <w:rPr>
          <w:rFonts w:ascii="Times New Roman" w:eastAsia="Times New Roman" w:hAnsi="Times New Roman" w:cs="Times New Roman"/>
          <w:sz w:val="24"/>
          <w:szCs w:val="24"/>
        </w:rPr>
        <w:t xml:space="preserve"> cultural y el consumo cultural </w:t>
      </w:r>
      <w:r w:rsidR="00F123C7" w:rsidRPr="00A55200">
        <w:rPr>
          <w:rFonts w:ascii="Times New Roman" w:eastAsia="Times New Roman" w:hAnsi="Times New Roman" w:cs="Times New Roman"/>
          <w:sz w:val="24"/>
          <w:szCs w:val="24"/>
        </w:rPr>
        <w:t xml:space="preserve">es el de la </w:t>
      </w:r>
      <w:r w:rsidR="00510218" w:rsidRPr="00A55200">
        <w:rPr>
          <w:rFonts w:ascii="Times New Roman" w:eastAsia="Times New Roman" w:hAnsi="Times New Roman" w:cs="Times New Roman"/>
          <w:sz w:val="24"/>
          <w:szCs w:val="24"/>
        </w:rPr>
        <w:t>supuesta relación</w:t>
      </w:r>
      <w:r w:rsidR="00F123C7" w:rsidRPr="00A55200">
        <w:rPr>
          <w:rFonts w:ascii="Times New Roman" w:eastAsia="Times New Roman" w:hAnsi="Times New Roman" w:cs="Times New Roman"/>
          <w:sz w:val="24"/>
          <w:szCs w:val="24"/>
        </w:rPr>
        <w:t xml:space="preserve"> entre una vida cultural </w:t>
      </w:r>
      <w:r w:rsidR="002D7060" w:rsidRPr="00A55200">
        <w:rPr>
          <w:rFonts w:ascii="Times New Roman" w:eastAsia="Times New Roman" w:hAnsi="Times New Roman" w:cs="Times New Roman"/>
          <w:sz w:val="24"/>
          <w:szCs w:val="24"/>
        </w:rPr>
        <w:t>participativa y</w:t>
      </w:r>
      <w:r w:rsidR="008A5852" w:rsidRPr="00A55200">
        <w:rPr>
          <w:rFonts w:ascii="Times New Roman" w:eastAsia="Times New Roman" w:hAnsi="Times New Roman" w:cs="Times New Roman"/>
          <w:sz w:val="24"/>
          <w:szCs w:val="24"/>
        </w:rPr>
        <w:t xml:space="preserve"> su grado de correlación </w:t>
      </w:r>
      <w:r w:rsidR="00F123C7" w:rsidRPr="00A55200">
        <w:rPr>
          <w:rFonts w:ascii="Times New Roman" w:eastAsia="Times New Roman" w:hAnsi="Times New Roman" w:cs="Times New Roman"/>
          <w:sz w:val="24"/>
          <w:szCs w:val="24"/>
        </w:rPr>
        <w:t xml:space="preserve">con un pensamiento crítico de la </w:t>
      </w:r>
      <w:r w:rsidR="002D7060" w:rsidRPr="00A55200">
        <w:rPr>
          <w:rFonts w:ascii="Times New Roman" w:eastAsia="Times New Roman" w:hAnsi="Times New Roman" w:cs="Times New Roman"/>
          <w:sz w:val="24"/>
          <w:szCs w:val="24"/>
        </w:rPr>
        <w:t>ciudadanía y</w:t>
      </w:r>
      <w:r w:rsidR="00F123C7" w:rsidRPr="00A55200">
        <w:rPr>
          <w:rFonts w:ascii="Times New Roman" w:eastAsia="Times New Roman" w:hAnsi="Times New Roman" w:cs="Times New Roman"/>
          <w:sz w:val="24"/>
          <w:szCs w:val="24"/>
        </w:rPr>
        <w:t xml:space="preserve"> unos valores cívicos y democráticos. </w:t>
      </w:r>
      <w:r w:rsidRPr="00A55200">
        <w:rPr>
          <w:rFonts w:ascii="Times New Roman" w:eastAsia="Times New Roman" w:hAnsi="Times New Roman" w:cs="Times New Roman"/>
          <w:sz w:val="24"/>
          <w:szCs w:val="24"/>
        </w:rPr>
        <w:t>Ciertamente, la literatu</w:t>
      </w:r>
      <w:r w:rsidR="00A20187" w:rsidRPr="00A55200">
        <w:rPr>
          <w:rFonts w:ascii="Times New Roman" w:eastAsia="Times New Roman" w:hAnsi="Times New Roman" w:cs="Times New Roman"/>
          <w:sz w:val="24"/>
          <w:szCs w:val="24"/>
        </w:rPr>
        <w:t>ra científica ha sido muy escasa</w:t>
      </w:r>
      <w:r w:rsidRPr="00A55200">
        <w:rPr>
          <w:rFonts w:ascii="Times New Roman" w:eastAsia="Times New Roman" w:hAnsi="Times New Roman" w:cs="Times New Roman"/>
          <w:sz w:val="24"/>
          <w:szCs w:val="24"/>
        </w:rPr>
        <w:t xml:space="preserve"> a la </w:t>
      </w:r>
      <w:r w:rsidR="00A20187" w:rsidRPr="00A55200">
        <w:rPr>
          <w:rFonts w:ascii="Times New Roman" w:eastAsia="Times New Roman" w:hAnsi="Times New Roman" w:cs="Times New Roman"/>
          <w:sz w:val="24"/>
          <w:szCs w:val="24"/>
        </w:rPr>
        <w:t>hora de explicar cómo la participación cultural en todas su dimensiones (desde la más pasiva como es el consumo hasta la más activa, la de realizar prácticas artísticas)</w:t>
      </w:r>
      <w:r w:rsidR="00A55200">
        <w:rPr>
          <w:rFonts w:ascii="Times New Roman" w:eastAsia="Times New Roman" w:hAnsi="Times New Roman" w:cs="Times New Roman"/>
          <w:sz w:val="24"/>
          <w:szCs w:val="24"/>
        </w:rPr>
        <w:t xml:space="preserve"> </w:t>
      </w:r>
      <w:r w:rsidRPr="00A55200">
        <w:rPr>
          <w:rFonts w:ascii="Times New Roman" w:eastAsia="Times New Roman" w:hAnsi="Times New Roman" w:cs="Times New Roman"/>
          <w:sz w:val="24"/>
          <w:szCs w:val="24"/>
        </w:rPr>
        <w:t xml:space="preserve">puede contribuir a la adquisición de una ciudadanía crítica </w:t>
      </w:r>
      <w:r w:rsidR="003E4A60" w:rsidRPr="00A55200">
        <w:rPr>
          <w:rFonts w:ascii="Times New Roman" w:eastAsia="Times New Roman" w:hAnsi="Times New Roman" w:cs="Times New Roman"/>
          <w:sz w:val="24"/>
          <w:szCs w:val="24"/>
        </w:rPr>
        <w:fldChar w:fldCharType="begin"/>
      </w:r>
      <w:r w:rsidR="003E4A60" w:rsidRPr="00A55200">
        <w:rPr>
          <w:rFonts w:ascii="Times New Roman" w:eastAsia="Times New Roman" w:hAnsi="Times New Roman" w:cs="Times New Roman"/>
          <w:sz w:val="24"/>
          <w:szCs w:val="24"/>
        </w:rPr>
        <w:instrText>ADDIN RW.CITE{{2491 Ariño,Antonio 2016}}</w:instrText>
      </w:r>
      <w:r w:rsidR="003E4A60" w:rsidRPr="00A55200">
        <w:rPr>
          <w:rFonts w:ascii="Times New Roman" w:eastAsia="Times New Roman" w:hAnsi="Times New Roman" w:cs="Times New Roman"/>
          <w:sz w:val="24"/>
          <w:szCs w:val="24"/>
        </w:rPr>
        <w:fldChar w:fldCharType="separate"/>
      </w:r>
      <w:r w:rsidR="00642426" w:rsidRPr="00A55200">
        <w:rPr>
          <w:rFonts w:ascii="Times New Roman" w:eastAsia="Times New Roman" w:hAnsi="Times New Roman" w:cs="Times New Roman"/>
          <w:sz w:val="24"/>
          <w:szCs w:val="24"/>
        </w:rPr>
        <w:t>(Ariño y Llopis, 2016)</w:t>
      </w:r>
      <w:r w:rsidR="003E4A60" w:rsidRPr="00A55200">
        <w:rPr>
          <w:rFonts w:ascii="Times New Roman" w:eastAsia="Times New Roman" w:hAnsi="Times New Roman" w:cs="Times New Roman"/>
          <w:sz w:val="24"/>
          <w:szCs w:val="24"/>
        </w:rPr>
        <w:fldChar w:fldCharType="end"/>
      </w:r>
      <w:r w:rsidR="00FD17CF" w:rsidRPr="00A55200">
        <w:rPr>
          <w:rFonts w:ascii="Times New Roman" w:eastAsia="Times New Roman" w:hAnsi="Times New Roman" w:cs="Times New Roman"/>
          <w:sz w:val="24"/>
          <w:szCs w:val="24"/>
        </w:rPr>
        <w:t>.</w:t>
      </w:r>
      <w:r w:rsidR="00A55200">
        <w:rPr>
          <w:rFonts w:ascii="Times New Roman" w:eastAsia="Times New Roman" w:hAnsi="Times New Roman" w:cs="Times New Roman"/>
          <w:sz w:val="24"/>
          <w:szCs w:val="24"/>
        </w:rPr>
        <w:t xml:space="preserve"> </w:t>
      </w:r>
      <w:r w:rsidR="00FD17CF" w:rsidRPr="00A55200">
        <w:rPr>
          <w:rFonts w:ascii="Times New Roman" w:eastAsia="Times New Roman" w:hAnsi="Times New Roman" w:cs="Times New Roman"/>
          <w:sz w:val="24"/>
          <w:szCs w:val="24"/>
        </w:rPr>
        <w:t>S</w:t>
      </w:r>
      <w:r w:rsidRPr="00A55200">
        <w:rPr>
          <w:rFonts w:ascii="Times New Roman" w:eastAsia="Times New Roman" w:hAnsi="Times New Roman" w:cs="Times New Roman"/>
          <w:sz w:val="24"/>
          <w:szCs w:val="24"/>
        </w:rPr>
        <w:t>in embargo</w:t>
      </w:r>
      <w:r w:rsidR="00FD17CF" w:rsidRPr="00A55200">
        <w:rPr>
          <w:rFonts w:ascii="Times New Roman" w:eastAsia="Times New Roman" w:hAnsi="Times New Roman" w:cs="Times New Roman"/>
          <w:sz w:val="24"/>
          <w:szCs w:val="24"/>
        </w:rPr>
        <w:t xml:space="preserve">, pese al déficit académico, </w:t>
      </w:r>
      <w:r w:rsidR="009B699F" w:rsidRPr="00A55200">
        <w:rPr>
          <w:rFonts w:ascii="Times New Roman" w:eastAsia="Times New Roman" w:hAnsi="Times New Roman" w:cs="Times New Roman"/>
          <w:sz w:val="24"/>
          <w:szCs w:val="24"/>
        </w:rPr>
        <w:t>hay un interés por parte de</w:t>
      </w:r>
      <w:r w:rsidRPr="00A55200">
        <w:rPr>
          <w:rFonts w:ascii="Times New Roman" w:eastAsia="Times New Roman" w:hAnsi="Times New Roman" w:cs="Times New Roman"/>
          <w:sz w:val="24"/>
          <w:szCs w:val="24"/>
        </w:rPr>
        <w:t xml:space="preserve"> los estados europeos por vincular los valores democráticos de una ciudadanía activa e instrui</w:t>
      </w:r>
      <w:r w:rsidR="005267C5" w:rsidRPr="00A55200">
        <w:rPr>
          <w:rFonts w:ascii="Times New Roman" w:eastAsia="Times New Roman" w:hAnsi="Times New Roman" w:cs="Times New Roman"/>
          <w:sz w:val="24"/>
          <w:szCs w:val="24"/>
        </w:rPr>
        <w:t xml:space="preserve">da con las prácticas culturales en las sociedades inclusivas. </w:t>
      </w:r>
      <w:r w:rsidR="008A5852" w:rsidRPr="00A55200">
        <w:rPr>
          <w:rFonts w:ascii="Times New Roman" w:eastAsia="Times New Roman" w:hAnsi="Times New Roman" w:cs="Times New Roman"/>
          <w:sz w:val="24"/>
          <w:szCs w:val="24"/>
        </w:rPr>
        <w:t xml:space="preserve">En este sentido el proyecto </w:t>
      </w:r>
      <w:r w:rsidRPr="00A55200">
        <w:rPr>
          <w:rFonts w:ascii="Times New Roman" w:eastAsia="Times New Roman" w:hAnsi="Times New Roman" w:cs="Times New Roman"/>
          <w:i/>
          <w:sz w:val="24"/>
          <w:szCs w:val="24"/>
        </w:rPr>
        <w:t>The Indicator Framework on Culture and Democracy (IFCD),</w:t>
      </w:r>
      <w:r w:rsidRPr="00A55200">
        <w:rPr>
          <w:rFonts w:ascii="Times New Roman" w:eastAsia="Times New Roman" w:hAnsi="Times New Roman" w:cs="Times New Roman"/>
          <w:sz w:val="24"/>
          <w:szCs w:val="24"/>
        </w:rPr>
        <w:t xml:space="preserve"> desarrollado p</w:t>
      </w:r>
      <w:r w:rsidR="008A5852" w:rsidRPr="00A55200">
        <w:rPr>
          <w:rFonts w:ascii="Times New Roman" w:eastAsia="Times New Roman" w:hAnsi="Times New Roman" w:cs="Times New Roman"/>
          <w:sz w:val="24"/>
          <w:szCs w:val="24"/>
        </w:rPr>
        <w:t>or el Consejo de Europa</w:t>
      </w:r>
      <w:r w:rsidRPr="00A55200">
        <w:rPr>
          <w:rFonts w:ascii="Times New Roman" w:eastAsia="Times New Roman" w:hAnsi="Times New Roman" w:cs="Times New Roman"/>
          <w:sz w:val="24"/>
          <w:szCs w:val="24"/>
        </w:rPr>
        <w:t xml:space="preserve"> como resultado de una decisión de la</w:t>
      </w:r>
      <w:r w:rsidR="00A55200">
        <w:rPr>
          <w:rFonts w:ascii="Times New Roman" w:eastAsia="Times New Roman" w:hAnsi="Times New Roman" w:cs="Times New Roman"/>
          <w:sz w:val="24"/>
          <w:szCs w:val="24"/>
        </w:rPr>
        <w:t xml:space="preserve"> </w:t>
      </w:r>
      <w:r w:rsidRPr="00A55200">
        <w:rPr>
          <w:rFonts w:ascii="Times New Roman" w:eastAsia="Times New Roman" w:hAnsi="Times New Roman" w:cs="Times New Roman"/>
          <w:sz w:val="24"/>
          <w:szCs w:val="24"/>
        </w:rPr>
        <w:t>Conferencia de Ministros de Cultura del Consejo de Europa de 2013</w:t>
      </w:r>
      <w:r w:rsidR="008A5852" w:rsidRPr="00A55200">
        <w:rPr>
          <w:rFonts w:ascii="Times New Roman" w:eastAsia="Times New Roman" w:hAnsi="Times New Roman" w:cs="Times New Roman"/>
          <w:sz w:val="24"/>
          <w:szCs w:val="24"/>
        </w:rPr>
        <w:t>,</w:t>
      </w:r>
      <w:r w:rsidRPr="00A55200">
        <w:rPr>
          <w:rFonts w:ascii="Times New Roman" w:eastAsia="Times New Roman" w:hAnsi="Times New Roman" w:cs="Times New Roman"/>
          <w:sz w:val="24"/>
          <w:szCs w:val="24"/>
        </w:rPr>
        <w:t xml:space="preserve"> es una evidencia de ello. </w:t>
      </w:r>
    </w:p>
    <w:p w14:paraId="6F4B2F19" w14:textId="77777777" w:rsidR="00037560" w:rsidRPr="00A55200" w:rsidRDefault="003E4A60" w:rsidP="007829E5">
      <w:pPr>
        <w:spacing w:after="0" w:line="480" w:lineRule="auto"/>
        <w:rPr>
          <w:rFonts w:ascii="Times New Roman" w:eastAsia="Times New Roman" w:hAnsi="Times New Roman" w:cs="Times New Roman"/>
          <w:sz w:val="24"/>
          <w:szCs w:val="24"/>
        </w:rPr>
      </w:pPr>
      <w:r w:rsidRPr="00A55200">
        <w:rPr>
          <w:rFonts w:ascii="Times New Roman" w:eastAsia="Times New Roman" w:hAnsi="Times New Roman" w:cs="Times New Roman"/>
          <w:sz w:val="24"/>
          <w:szCs w:val="24"/>
        </w:rPr>
        <w:t>Así, l</w:t>
      </w:r>
      <w:r w:rsidR="00037560" w:rsidRPr="00A55200">
        <w:rPr>
          <w:rFonts w:ascii="Times New Roman" w:eastAsia="Times New Roman" w:hAnsi="Times New Roman" w:cs="Times New Roman"/>
          <w:sz w:val="24"/>
          <w:szCs w:val="24"/>
        </w:rPr>
        <w:t>os estudios de Bourdieu</w:t>
      </w:r>
      <w:r w:rsidR="009B699F" w:rsidRPr="00A55200">
        <w:rPr>
          <w:rFonts w:ascii="Times New Roman" w:eastAsia="Times New Roman" w:hAnsi="Times New Roman" w:cs="Times New Roman"/>
          <w:sz w:val="24"/>
          <w:szCs w:val="24"/>
        </w:rPr>
        <w:t xml:space="preserve"> sobre el consumo cultural en Francia fueron pioneros en la literatura internacional sobre el consumo cultural y a su vez servían de una </w:t>
      </w:r>
      <w:r w:rsidR="001B2CA4" w:rsidRPr="00A55200">
        <w:rPr>
          <w:rFonts w:ascii="Times New Roman" w:eastAsia="Times New Roman" w:hAnsi="Times New Roman" w:cs="Times New Roman"/>
          <w:sz w:val="24"/>
          <w:szCs w:val="24"/>
        </w:rPr>
        <w:t>retroalimentación</w:t>
      </w:r>
      <w:r w:rsidR="009B699F" w:rsidRPr="00A55200">
        <w:rPr>
          <w:rFonts w:ascii="Times New Roman" w:eastAsia="Times New Roman" w:hAnsi="Times New Roman" w:cs="Times New Roman"/>
          <w:sz w:val="24"/>
          <w:szCs w:val="24"/>
        </w:rPr>
        <w:t xml:space="preserve"> a las políticas culturales democratizadoras del ministerio de cultura francés</w:t>
      </w:r>
      <w:r w:rsidRPr="00A55200">
        <w:rPr>
          <w:rFonts w:ascii="Times New Roman" w:eastAsia="Times New Roman" w:hAnsi="Times New Roman" w:cs="Times New Roman"/>
          <w:sz w:val="24"/>
          <w:szCs w:val="24"/>
        </w:rPr>
        <w:t xml:space="preserve"> </w:t>
      </w:r>
      <w:r w:rsidRPr="00A55200">
        <w:rPr>
          <w:rFonts w:ascii="Times New Roman" w:eastAsia="Times New Roman" w:hAnsi="Times New Roman" w:cs="Times New Roman"/>
          <w:sz w:val="24"/>
          <w:szCs w:val="24"/>
        </w:rPr>
        <w:fldChar w:fldCharType="begin"/>
      </w:r>
      <w:r w:rsidRPr="00A55200">
        <w:rPr>
          <w:rFonts w:ascii="Times New Roman" w:eastAsia="Times New Roman" w:hAnsi="Times New Roman" w:cs="Times New Roman"/>
          <w:sz w:val="24"/>
          <w:szCs w:val="24"/>
        </w:rPr>
        <w:instrText>ADDIN RW.CITE{{743 Fabiani, Jean-Louis 2007}}</w:instrText>
      </w:r>
      <w:r w:rsidRPr="00A55200">
        <w:rPr>
          <w:rFonts w:ascii="Times New Roman" w:eastAsia="Times New Roman" w:hAnsi="Times New Roman" w:cs="Times New Roman"/>
          <w:sz w:val="24"/>
          <w:szCs w:val="24"/>
        </w:rPr>
        <w:fldChar w:fldCharType="separate"/>
      </w:r>
      <w:r w:rsidR="00642426" w:rsidRPr="00A55200">
        <w:rPr>
          <w:rFonts w:ascii="Times New Roman" w:eastAsia="Times New Roman" w:hAnsi="Times New Roman" w:cs="Times New Roman"/>
          <w:sz w:val="24"/>
          <w:szCs w:val="24"/>
        </w:rPr>
        <w:t>(Fabiani, 2007)</w:t>
      </w:r>
      <w:r w:rsidRPr="00A55200">
        <w:rPr>
          <w:rFonts w:ascii="Times New Roman" w:eastAsia="Times New Roman" w:hAnsi="Times New Roman" w:cs="Times New Roman"/>
          <w:sz w:val="24"/>
          <w:szCs w:val="24"/>
        </w:rPr>
        <w:fldChar w:fldCharType="end"/>
      </w:r>
      <w:r w:rsidR="009B699F" w:rsidRPr="00A55200">
        <w:rPr>
          <w:rFonts w:ascii="Times New Roman" w:eastAsia="Times New Roman" w:hAnsi="Times New Roman" w:cs="Times New Roman"/>
          <w:sz w:val="24"/>
          <w:szCs w:val="24"/>
        </w:rPr>
        <w:t xml:space="preserve">. </w:t>
      </w:r>
      <w:r w:rsidRPr="00A55200">
        <w:rPr>
          <w:rFonts w:ascii="Times New Roman" w:eastAsia="Times New Roman" w:hAnsi="Times New Roman" w:cs="Times New Roman"/>
          <w:sz w:val="24"/>
          <w:szCs w:val="24"/>
        </w:rPr>
        <w:t xml:space="preserve">Posteriormente, se ha desarrollado una escuela a nivel mundial de estudios del consumo cultural </w:t>
      </w:r>
      <w:r w:rsidR="009B699F" w:rsidRPr="00A55200">
        <w:rPr>
          <w:rFonts w:ascii="Times New Roman" w:eastAsia="Times New Roman" w:hAnsi="Times New Roman" w:cs="Times New Roman"/>
          <w:sz w:val="24"/>
          <w:szCs w:val="24"/>
        </w:rPr>
        <w:t xml:space="preserve">en ambas orillas del Atlántico. </w:t>
      </w:r>
      <w:r w:rsidR="00037560" w:rsidRPr="00A55200">
        <w:rPr>
          <w:rFonts w:ascii="Times New Roman" w:eastAsia="Times New Roman" w:hAnsi="Times New Roman" w:cs="Times New Roman"/>
          <w:sz w:val="24"/>
          <w:szCs w:val="24"/>
        </w:rPr>
        <w:t>Los trabajos sobre el consumo cultural</w:t>
      </w:r>
      <w:r w:rsidRPr="00A55200">
        <w:rPr>
          <w:rFonts w:ascii="Times New Roman" w:eastAsia="Times New Roman" w:hAnsi="Times New Roman" w:cs="Times New Roman"/>
          <w:sz w:val="24"/>
          <w:szCs w:val="24"/>
        </w:rPr>
        <w:t xml:space="preserve"> de Bourdieu y </w:t>
      </w:r>
      <w:r w:rsidRPr="00A55200">
        <w:rPr>
          <w:rFonts w:ascii="Times New Roman" w:eastAsia="Times New Roman" w:hAnsi="Times New Roman" w:cs="Times New Roman"/>
          <w:sz w:val="24"/>
          <w:szCs w:val="24"/>
        </w:rPr>
        <w:lastRenderedPageBreak/>
        <w:t xml:space="preserve">su escuela </w:t>
      </w:r>
      <w:r w:rsidRPr="00A55200">
        <w:rPr>
          <w:rFonts w:ascii="Times New Roman" w:eastAsia="Times New Roman" w:hAnsi="Times New Roman" w:cs="Times New Roman"/>
          <w:sz w:val="24"/>
          <w:szCs w:val="24"/>
        </w:rPr>
        <w:fldChar w:fldCharType="begin"/>
      </w:r>
      <w:r w:rsidRPr="00A55200">
        <w:rPr>
          <w:rFonts w:ascii="Times New Roman" w:eastAsia="Times New Roman" w:hAnsi="Times New Roman" w:cs="Times New Roman"/>
          <w:sz w:val="24"/>
          <w:szCs w:val="24"/>
        </w:rPr>
        <w:instrText>ADDIN RW.CITE{{2273 Coulangeon,Philippe 2013; 2274 Coulangeon, Philippe 2015}}</w:instrText>
      </w:r>
      <w:r w:rsidRPr="00A55200">
        <w:rPr>
          <w:rFonts w:ascii="Times New Roman" w:eastAsia="Times New Roman" w:hAnsi="Times New Roman" w:cs="Times New Roman"/>
          <w:sz w:val="24"/>
          <w:szCs w:val="24"/>
        </w:rPr>
        <w:fldChar w:fldCharType="separate"/>
      </w:r>
      <w:r w:rsidR="009E6708" w:rsidRPr="00A55200">
        <w:rPr>
          <w:rFonts w:ascii="Times New Roman" w:eastAsia="Times New Roman" w:hAnsi="Times New Roman" w:cs="Times New Roman"/>
          <w:sz w:val="24"/>
          <w:szCs w:val="24"/>
        </w:rPr>
        <w:t xml:space="preserve">(Coulangeon y Duval, 2015; </w:t>
      </w:r>
      <w:r w:rsidR="00642426" w:rsidRPr="00A55200">
        <w:rPr>
          <w:rFonts w:ascii="Times New Roman" w:eastAsia="Times New Roman" w:hAnsi="Times New Roman" w:cs="Times New Roman"/>
          <w:sz w:val="24"/>
          <w:szCs w:val="24"/>
        </w:rPr>
        <w:t>Coulangeon y Duval, 2013)</w:t>
      </w:r>
      <w:r w:rsidRPr="00A55200">
        <w:rPr>
          <w:rFonts w:ascii="Times New Roman" w:eastAsia="Times New Roman" w:hAnsi="Times New Roman" w:cs="Times New Roman"/>
          <w:sz w:val="24"/>
          <w:szCs w:val="24"/>
        </w:rPr>
        <w:fldChar w:fldCharType="end"/>
      </w:r>
      <w:r w:rsidR="00037560" w:rsidRPr="00A55200">
        <w:rPr>
          <w:rFonts w:ascii="Times New Roman" w:eastAsia="Times New Roman" w:hAnsi="Times New Roman" w:cs="Times New Roman"/>
          <w:sz w:val="24"/>
          <w:szCs w:val="24"/>
        </w:rPr>
        <w:t xml:space="preserve">, </w:t>
      </w:r>
      <w:r w:rsidRPr="00A55200">
        <w:rPr>
          <w:rFonts w:ascii="Times New Roman" w:eastAsia="Times New Roman" w:hAnsi="Times New Roman" w:cs="Times New Roman"/>
          <w:sz w:val="24"/>
          <w:szCs w:val="24"/>
        </w:rPr>
        <w:t xml:space="preserve">los trabajos de Oliver </w:t>
      </w:r>
      <w:r w:rsidR="00037560" w:rsidRPr="00A55200">
        <w:rPr>
          <w:rFonts w:ascii="Times New Roman" w:eastAsia="Times New Roman" w:hAnsi="Times New Roman" w:cs="Times New Roman"/>
          <w:sz w:val="24"/>
          <w:szCs w:val="24"/>
        </w:rPr>
        <w:t xml:space="preserve">Donnat </w:t>
      </w:r>
      <w:r w:rsidRPr="00A55200">
        <w:rPr>
          <w:rFonts w:ascii="Times New Roman" w:eastAsia="Times New Roman" w:hAnsi="Times New Roman" w:cs="Times New Roman"/>
          <w:sz w:val="24"/>
          <w:szCs w:val="24"/>
        </w:rPr>
        <w:t xml:space="preserve">a partir de las estadísticas francesas </w:t>
      </w:r>
      <w:r w:rsidRPr="00A55200">
        <w:rPr>
          <w:rFonts w:ascii="Times New Roman" w:eastAsia="Times New Roman" w:hAnsi="Times New Roman" w:cs="Times New Roman"/>
          <w:sz w:val="24"/>
          <w:szCs w:val="24"/>
        </w:rPr>
        <w:fldChar w:fldCharType="begin"/>
      </w:r>
      <w:r w:rsidR="00822521" w:rsidRPr="00A55200">
        <w:rPr>
          <w:rFonts w:ascii="Times New Roman" w:eastAsia="Times New Roman" w:hAnsi="Times New Roman" w:cs="Times New Roman"/>
          <w:sz w:val="24"/>
          <w:szCs w:val="24"/>
        </w:rPr>
        <w:instrText>ADDIN RW.CITE{{736 Donnat, Olivier 2004/a;}}</w:instrText>
      </w:r>
      <w:r w:rsidRPr="00A55200">
        <w:rPr>
          <w:rFonts w:ascii="Times New Roman" w:eastAsia="Times New Roman" w:hAnsi="Times New Roman" w:cs="Times New Roman"/>
          <w:sz w:val="24"/>
          <w:szCs w:val="24"/>
        </w:rPr>
        <w:fldChar w:fldCharType="separate"/>
      </w:r>
      <w:r w:rsidR="00642426" w:rsidRPr="00A55200">
        <w:rPr>
          <w:rFonts w:ascii="Times New Roman" w:eastAsia="Times New Roman" w:hAnsi="Times New Roman" w:cs="Times New Roman"/>
          <w:sz w:val="24"/>
          <w:szCs w:val="24"/>
        </w:rPr>
        <w:t>(2004)</w:t>
      </w:r>
      <w:r w:rsidRPr="00A55200">
        <w:rPr>
          <w:rFonts w:ascii="Times New Roman" w:eastAsia="Times New Roman" w:hAnsi="Times New Roman" w:cs="Times New Roman"/>
          <w:sz w:val="24"/>
          <w:szCs w:val="24"/>
        </w:rPr>
        <w:fldChar w:fldCharType="end"/>
      </w:r>
      <w:r w:rsidR="00822521" w:rsidRPr="00A55200">
        <w:rPr>
          <w:rFonts w:ascii="Times New Roman" w:eastAsia="Times New Roman" w:hAnsi="Times New Roman" w:cs="Times New Roman"/>
          <w:sz w:val="24"/>
          <w:szCs w:val="24"/>
        </w:rPr>
        <w:t xml:space="preserve"> o los estudios de </w:t>
      </w:r>
      <w:r w:rsidR="00037560" w:rsidRPr="00A55200">
        <w:rPr>
          <w:rFonts w:ascii="Times New Roman" w:eastAsia="Times New Roman" w:hAnsi="Times New Roman" w:cs="Times New Roman"/>
          <w:sz w:val="24"/>
          <w:szCs w:val="24"/>
        </w:rPr>
        <w:t>Roose</w:t>
      </w:r>
      <w:r w:rsidR="00822521" w:rsidRPr="00A55200">
        <w:rPr>
          <w:rFonts w:ascii="Times New Roman" w:eastAsia="Times New Roman" w:hAnsi="Times New Roman" w:cs="Times New Roman"/>
          <w:sz w:val="24"/>
          <w:szCs w:val="24"/>
        </w:rPr>
        <w:t xml:space="preserve"> </w:t>
      </w:r>
      <w:r w:rsidR="00037560" w:rsidRPr="00A55200">
        <w:rPr>
          <w:rFonts w:ascii="Times New Roman" w:eastAsia="Times New Roman" w:hAnsi="Times New Roman" w:cs="Times New Roman"/>
          <w:sz w:val="24"/>
          <w:szCs w:val="24"/>
        </w:rPr>
        <w:t xml:space="preserve">y Lievens </w:t>
      </w:r>
      <w:r w:rsidR="00822521" w:rsidRPr="00A55200">
        <w:rPr>
          <w:rFonts w:ascii="Times New Roman" w:eastAsia="Times New Roman" w:hAnsi="Times New Roman" w:cs="Times New Roman"/>
          <w:sz w:val="24"/>
          <w:szCs w:val="24"/>
        </w:rPr>
        <w:fldChar w:fldCharType="begin"/>
      </w:r>
      <w:r w:rsidR="00822521" w:rsidRPr="00A55200">
        <w:rPr>
          <w:rFonts w:ascii="Times New Roman" w:eastAsia="Times New Roman" w:hAnsi="Times New Roman" w:cs="Times New Roman"/>
          <w:sz w:val="24"/>
          <w:szCs w:val="24"/>
        </w:rPr>
        <w:instrText>ADDIN RW.CITE{{2494 Roose,Henk 2012}}</w:instrText>
      </w:r>
      <w:r w:rsidR="00822521" w:rsidRPr="00A55200">
        <w:rPr>
          <w:rFonts w:ascii="Times New Roman" w:eastAsia="Times New Roman" w:hAnsi="Times New Roman" w:cs="Times New Roman"/>
          <w:sz w:val="24"/>
          <w:szCs w:val="24"/>
        </w:rPr>
        <w:fldChar w:fldCharType="separate"/>
      </w:r>
      <w:r w:rsidR="00642426" w:rsidRPr="00A55200">
        <w:rPr>
          <w:rFonts w:ascii="Times New Roman" w:eastAsia="Times New Roman" w:hAnsi="Times New Roman" w:cs="Times New Roman"/>
          <w:sz w:val="24"/>
          <w:szCs w:val="24"/>
        </w:rPr>
        <w:t>(Roose et al., 2012)</w:t>
      </w:r>
      <w:r w:rsidR="00822521" w:rsidRPr="00A55200">
        <w:rPr>
          <w:rFonts w:ascii="Times New Roman" w:eastAsia="Times New Roman" w:hAnsi="Times New Roman" w:cs="Times New Roman"/>
          <w:sz w:val="24"/>
          <w:szCs w:val="24"/>
        </w:rPr>
        <w:fldChar w:fldCharType="end"/>
      </w:r>
      <w:r w:rsidR="00822521" w:rsidRPr="00A55200">
        <w:rPr>
          <w:rFonts w:ascii="Times New Roman" w:eastAsia="Times New Roman" w:hAnsi="Times New Roman" w:cs="Times New Roman"/>
          <w:sz w:val="24"/>
          <w:szCs w:val="24"/>
        </w:rPr>
        <w:t xml:space="preserve"> acerca de los cambios contemporáneos</w:t>
      </w:r>
      <w:r w:rsidR="00037560" w:rsidRPr="00A55200">
        <w:rPr>
          <w:rFonts w:ascii="Times New Roman" w:eastAsia="Times New Roman" w:hAnsi="Times New Roman" w:cs="Times New Roman"/>
          <w:sz w:val="24"/>
          <w:szCs w:val="24"/>
        </w:rPr>
        <w:t xml:space="preserve">, DiMaggio y Mukhtar </w:t>
      </w:r>
      <w:r w:rsidR="00822521" w:rsidRPr="00A55200">
        <w:rPr>
          <w:rFonts w:ascii="Times New Roman" w:eastAsia="Times New Roman" w:hAnsi="Times New Roman" w:cs="Times New Roman"/>
          <w:sz w:val="24"/>
          <w:szCs w:val="24"/>
        </w:rPr>
        <w:t xml:space="preserve">en EEUU </w:t>
      </w:r>
      <w:r w:rsidR="00822521" w:rsidRPr="00A55200">
        <w:rPr>
          <w:rFonts w:ascii="Times New Roman" w:eastAsia="Times New Roman" w:hAnsi="Times New Roman" w:cs="Times New Roman"/>
          <w:sz w:val="24"/>
          <w:szCs w:val="24"/>
        </w:rPr>
        <w:fldChar w:fldCharType="begin"/>
      </w:r>
      <w:r w:rsidR="00822521" w:rsidRPr="00A55200">
        <w:rPr>
          <w:rFonts w:ascii="Times New Roman" w:eastAsia="Times New Roman" w:hAnsi="Times New Roman" w:cs="Times New Roman"/>
          <w:sz w:val="24"/>
          <w:szCs w:val="24"/>
        </w:rPr>
        <w:instrText>ADDIN RW.CITE{{2492 DiMaggio,Paul 2004/a;}}</w:instrText>
      </w:r>
      <w:r w:rsidR="00822521" w:rsidRPr="00A55200">
        <w:rPr>
          <w:rFonts w:ascii="Times New Roman" w:eastAsia="Times New Roman" w:hAnsi="Times New Roman" w:cs="Times New Roman"/>
          <w:sz w:val="24"/>
          <w:szCs w:val="24"/>
        </w:rPr>
        <w:fldChar w:fldCharType="separate"/>
      </w:r>
      <w:r w:rsidR="00642426" w:rsidRPr="00A55200">
        <w:rPr>
          <w:rFonts w:ascii="Times New Roman" w:eastAsia="Times New Roman" w:hAnsi="Times New Roman" w:cs="Times New Roman"/>
          <w:sz w:val="24"/>
          <w:szCs w:val="24"/>
        </w:rPr>
        <w:t>(2004)</w:t>
      </w:r>
      <w:r w:rsidR="00822521" w:rsidRPr="00A55200">
        <w:rPr>
          <w:rFonts w:ascii="Times New Roman" w:eastAsia="Times New Roman" w:hAnsi="Times New Roman" w:cs="Times New Roman"/>
          <w:sz w:val="24"/>
          <w:szCs w:val="24"/>
        </w:rPr>
        <w:fldChar w:fldCharType="end"/>
      </w:r>
      <w:r w:rsidR="00037560" w:rsidRPr="00A55200">
        <w:rPr>
          <w:rFonts w:ascii="Times New Roman" w:eastAsia="Times New Roman" w:hAnsi="Times New Roman" w:cs="Times New Roman"/>
          <w:sz w:val="24"/>
          <w:szCs w:val="24"/>
        </w:rPr>
        <w:t>, Chan y Goldthorpe</w:t>
      </w:r>
      <w:r w:rsidR="00822521" w:rsidRPr="00A55200">
        <w:rPr>
          <w:rFonts w:ascii="Times New Roman" w:eastAsia="Times New Roman" w:hAnsi="Times New Roman" w:cs="Times New Roman"/>
          <w:sz w:val="24"/>
          <w:szCs w:val="24"/>
        </w:rPr>
        <w:t xml:space="preserve"> en Gran Bretaña </w:t>
      </w:r>
      <w:r w:rsidR="00822521" w:rsidRPr="00A55200">
        <w:rPr>
          <w:rFonts w:ascii="Times New Roman" w:eastAsia="Times New Roman" w:hAnsi="Times New Roman" w:cs="Times New Roman"/>
          <w:sz w:val="24"/>
          <w:szCs w:val="24"/>
        </w:rPr>
        <w:fldChar w:fldCharType="begin"/>
      </w:r>
      <w:r w:rsidR="00822521" w:rsidRPr="00A55200">
        <w:rPr>
          <w:rFonts w:ascii="Times New Roman" w:eastAsia="Times New Roman" w:hAnsi="Times New Roman" w:cs="Times New Roman"/>
          <w:sz w:val="24"/>
          <w:szCs w:val="24"/>
        </w:rPr>
        <w:instrText>ADDIN RW.CITE{{1678 Chan,Tak Wing 2007/a;}}</w:instrText>
      </w:r>
      <w:r w:rsidR="00822521" w:rsidRPr="00A55200">
        <w:rPr>
          <w:rFonts w:ascii="Times New Roman" w:eastAsia="Times New Roman" w:hAnsi="Times New Roman" w:cs="Times New Roman"/>
          <w:sz w:val="24"/>
          <w:szCs w:val="24"/>
        </w:rPr>
        <w:fldChar w:fldCharType="separate"/>
      </w:r>
      <w:r w:rsidR="00642426" w:rsidRPr="00A55200">
        <w:rPr>
          <w:rFonts w:ascii="Times New Roman" w:eastAsia="Times New Roman" w:hAnsi="Times New Roman" w:cs="Times New Roman"/>
          <w:sz w:val="24"/>
          <w:szCs w:val="24"/>
        </w:rPr>
        <w:t>(2007)</w:t>
      </w:r>
      <w:r w:rsidR="00822521" w:rsidRPr="00A55200">
        <w:rPr>
          <w:rFonts w:ascii="Times New Roman" w:eastAsia="Times New Roman" w:hAnsi="Times New Roman" w:cs="Times New Roman"/>
          <w:sz w:val="24"/>
          <w:szCs w:val="24"/>
        </w:rPr>
        <w:fldChar w:fldCharType="end"/>
      </w:r>
      <w:r w:rsidR="00822521" w:rsidRPr="00A55200">
        <w:rPr>
          <w:rFonts w:ascii="Times New Roman" w:eastAsia="Times New Roman" w:hAnsi="Times New Roman" w:cs="Times New Roman"/>
          <w:sz w:val="24"/>
          <w:szCs w:val="24"/>
        </w:rPr>
        <w:t>,</w:t>
      </w:r>
      <w:r w:rsidR="00037560" w:rsidRPr="00A55200">
        <w:rPr>
          <w:rFonts w:ascii="Times New Roman" w:eastAsia="Times New Roman" w:hAnsi="Times New Roman" w:cs="Times New Roman"/>
          <w:sz w:val="24"/>
          <w:szCs w:val="24"/>
        </w:rPr>
        <w:t xml:space="preserve"> entre otros, permite</w:t>
      </w:r>
      <w:r w:rsidR="001B2CA4" w:rsidRPr="00A55200">
        <w:rPr>
          <w:rFonts w:ascii="Times New Roman" w:eastAsia="Times New Roman" w:hAnsi="Times New Roman" w:cs="Times New Roman"/>
          <w:sz w:val="24"/>
          <w:szCs w:val="24"/>
        </w:rPr>
        <w:t>n</w:t>
      </w:r>
      <w:r w:rsidR="00037560" w:rsidRPr="00A55200">
        <w:rPr>
          <w:rFonts w:ascii="Times New Roman" w:eastAsia="Times New Roman" w:hAnsi="Times New Roman" w:cs="Times New Roman"/>
          <w:sz w:val="24"/>
          <w:szCs w:val="24"/>
        </w:rPr>
        <w:t xml:space="preserve"> establecer ciertas teorías y regularidades empíricas acerca de las bases sociales del gusto y la prevalencia y fuerte vinc</w:t>
      </w:r>
      <w:r w:rsidR="008A5852" w:rsidRPr="00A55200">
        <w:rPr>
          <w:rFonts w:ascii="Times New Roman" w:eastAsia="Times New Roman" w:hAnsi="Times New Roman" w:cs="Times New Roman"/>
          <w:sz w:val="24"/>
          <w:szCs w:val="24"/>
        </w:rPr>
        <w:t xml:space="preserve">ulación con el nivel educativo. También, con </w:t>
      </w:r>
      <w:r w:rsidR="00037560" w:rsidRPr="00A55200">
        <w:rPr>
          <w:rFonts w:ascii="Times New Roman" w:eastAsia="Times New Roman" w:hAnsi="Times New Roman" w:cs="Times New Roman"/>
          <w:sz w:val="24"/>
          <w:szCs w:val="24"/>
        </w:rPr>
        <w:t>otras vari</w:t>
      </w:r>
      <w:r w:rsidR="008A5852" w:rsidRPr="00A55200">
        <w:rPr>
          <w:rFonts w:ascii="Times New Roman" w:eastAsia="Times New Roman" w:hAnsi="Times New Roman" w:cs="Times New Roman"/>
          <w:sz w:val="24"/>
          <w:szCs w:val="24"/>
        </w:rPr>
        <w:t>ables que se correlacionan con la</w:t>
      </w:r>
      <w:r w:rsidR="00C74610" w:rsidRPr="00A55200">
        <w:rPr>
          <w:rFonts w:ascii="Times New Roman" w:eastAsia="Times New Roman" w:hAnsi="Times New Roman" w:cs="Times New Roman"/>
          <w:sz w:val="24"/>
          <w:szCs w:val="24"/>
        </w:rPr>
        <w:t xml:space="preserve"> </w:t>
      </w:r>
      <w:r w:rsidR="008A5852" w:rsidRPr="00A55200">
        <w:rPr>
          <w:rFonts w:ascii="Times New Roman" w:eastAsia="Times New Roman" w:hAnsi="Times New Roman" w:cs="Times New Roman"/>
          <w:sz w:val="24"/>
          <w:szCs w:val="24"/>
        </w:rPr>
        <w:t xml:space="preserve">clase profesional- directiva </w:t>
      </w:r>
      <w:r w:rsidR="00037560" w:rsidRPr="00A55200">
        <w:rPr>
          <w:rFonts w:ascii="Times New Roman" w:eastAsia="Times New Roman" w:hAnsi="Times New Roman" w:cs="Times New Roman"/>
          <w:sz w:val="24"/>
          <w:szCs w:val="24"/>
        </w:rPr>
        <w:t>de las capas profe</w:t>
      </w:r>
      <w:r w:rsidR="00C74610" w:rsidRPr="00A55200">
        <w:rPr>
          <w:rFonts w:ascii="Times New Roman" w:eastAsia="Times New Roman" w:hAnsi="Times New Roman" w:cs="Times New Roman"/>
          <w:sz w:val="24"/>
          <w:szCs w:val="24"/>
        </w:rPr>
        <w:t>sionales y técnicas intermedias (</w:t>
      </w:r>
      <w:r w:rsidR="00C74610" w:rsidRPr="00A55200">
        <w:rPr>
          <w:rFonts w:ascii="Times New Roman" w:eastAsia="Times New Roman" w:hAnsi="Times New Roman" w:cs="Times New Roman"/>
          <w:i/>
          <w:sz w:val="24"/>
          <w:szCs w:val="24"/>
        </w:rPr>
        <w:t>White collars</w:t>
      </w:r>
      <w:r w:rsidR="00C74610" w:rsidRPr="00A55200">
        <w:rPr>
          <w:rFonts w:ascii="Times New Roman" w:eastAsia="Times New Roman" w:hAnsi="Times New Roman" w:cs="Times New Roman"/>
          <w:sz w:val="24"/>
          <w:szCs w:val="24"/>
        </w:rPr>
        <w:t xml:space="preserve">) y el entorno urbano. </w:t>
      </w:r>
      <w:r w:rsidRPr="00A55200">
        <w:rPr>
          <w:rFonts w:ascii="Times New Roman" w:eastAsia="Times New Roman" w:hAnsi="Times New Roman" w:cs="Times New Roman"/>
          <w:sz w:val="24"/>
          <w:szCs w:val="24"/>
        </w:rPr>
        <w:t>Asimismo, en el Estado español debemos resaltar los trabajos de Ariño, (2010) y Ariño y Llopis (2016, 2017),</w:t>
      </w:r>
      <w:r w:rsidR="00822521" w:rsidRPr="00A55200">
        <w:rPr>
          <w:rFonts w:ascii="Times New Roman" w:eastAsia="Times New Roman" w:hAnsi="Times New Roman" w:cs="Times New Roman"/>
          <w:sz w:val="24"/>
          <w:szCs w:val="24"/>
        </w:rPr>
        <w:t xml:space="preserve"> como un paso fundamental en el estudio y actualización de las teorías del consumo cultural en el contexto español.</w:t>
      </w:r>
    </w:p>
    <w:p w14:paraId="325AC5C6" w14:textId="77777777" w:rsidR="00646C0A" w:rsidRPr="00A55200" w:rsidRDefault="00646C0A" w:rsidP="007829E5">
      <w:pPr>
        <w:spacing w:after="0" w:line="480" w:lineRule="auto"/>
        <w:rPr>
          <w:rFonts w:ascii="Times New Roman" w:eastAsia="Times New Roman" w:hAnsi="Times New Roman" w:cs="Times New Roman"/>
          <w:sz w:val="24"/>
          <w:szCs w:val="24"/>
        </w:rPr>
      </w:pPr>
      <w:r w:rsidRPr="00A55200">
        <w:rPr>
          <w:rFonts w:ascii="Times New Roman" w:eastAsia="Times New Roman" w:hAnsi="Times New Roman" w:cs="Times New Roman"/>
          <w:sz w:val="24"/>
          <w:szCs w:val="24"/>
        </w:rPr>
        <w:t xml:space="preserve">Sin </w:t>
      </w:r>
      <w:r w:rsidR="001B2CA4" w:rsidRPr="00A55200">
        <w:rPr>
          <w:rFonts w:ascii="Times New Roman" w:eastAsia="Times New Roman" w:hAnsi="Times New Roman" w:cs="Times New Roman"/>
          <w:sz w:val="24"/>
          <w:szCs w:val="24"/>
        </w:rPr>
        <w:t>embargo, este artículo pretende</w:t>
      </w:r>
      <w:r w:rsidR="008C3122" w:rsidRPr="00A55200">
        <w:rPr>
          <w:rFonts w:ascii="Times New Roman" w:eastAsia="Times New Roman" w:hAnsi="Times New Roman" w:cs="Times New Roman"/>
          <w:sz w:val="24"/>
          <w:szCs w:val="24"/>
        </w:rPr>
        <w:t xml:space="preserve"> de manera</w:t>
      </w:r>
      <w:r w:rsidRPr="00A55200">
        <w:rPr>
          <w:rFonts w:ascii="Times New Roman" w:eastAsia="Times New Roman" w:hAnsi="Times New Roman" w:cs="Times New Roman"/>
          <w:sz w:val="24"/>
          <w:szCs w:val="24"/>
        </w:rPr>
        <w:t xml:space="preserve"> tentativa</w:t>
      </w:r>
      <w:r w:rsidR="005267C5" w:rsidRPr="00A55200">
        <w:rPr>
          <w:rFonts w:ascii="Times New Roman" w:eastAsia="Times New Roman" w:hAnsi="Times New Roman" w:cs="Times New Roman"/>
          <w:sz w:val="24"/>
          <w:szCs w:val="24"/>
        </w:rPr>
        <w:t xml:space="preserve"> analizar la participación cultural de forma holística vinculando el consumo, las prácticas artísticas, </w:t>
      </w:r>
      <w:r w:rsidR="008C3122" w:rsidRPr="00A55200">
        <w:rPr>
          <w:rFonts w:ascii="Times New Roman" w:eastAsia="Times New Roman" w:hAnsi="Times New Roman" w:cs="Times New Roman"/>
          <w:sz w:val="24"/>
          <w:szCs w:val="24"/>
        </w:rPr>
        <w:t xml:space="preserve">y </w:t>
      </w:r>
      <w:r w:rsidR="005267C5" w:rsidRPr="00A55200">
        <w:rPr>
          <w:rFonts w:ascii="Times New Roman" w:eastAsia="Times New Roman" w:hAnsi="Times New Roman" w:cs="Times New Roman"/>
          <w:sz w:val="24"/>
          <w:szCs w:val="24"/>
        </w:rPr>
        <w:t>los tipos de gob</w:t>
      </w:r>
      <w:r w:rsidR="008C3122" w:rsidRPr="00A55200">
        <w:rPr>
          <w:rFonts w:ascii="Times New Roman" w:eastAsia="Times New Roman" w:hAnsi="Times New Roman" w:cs="Times New Roman"/>
          <w:sz w:val="24"/>
          <w:szCs w:val="24"/>
        </w:rPr>
        <w:t xml:space="preserve">ernanza en los equipamientos </w:t>
      </w:r>
      <w:r w:rsidR="005267C5" w:rsidRPr="00A55200">
        <w:rPr>
          <w:rFonts w:ascii="Times New Roman" w:eastAsia="Times New Roman" w:hAnsi="Times New Roman" w:cs="Times New Roman"/>
          <w:sz w:val="24"/>
          <w:szCs w:val="24"/>
        </w:rPr>
        <w:t>culturales según modelos de política cultural previamente estab</w:t>
      </w:r>
      <w:r w:rsidR="008A5852" w:rsidRPr="00A55200">
        <w:rPr>
          <w:rFonts w:ascii="Times New Roman" w:eastAsia="Times New Roman" w:hAnsi="Times New Roman" w:cs="Times New Roman"/>
          <w:sz w:val="24"/>
          <w:szCs w:val="24"/>
        </w:rPr>
        <w:t xml:space="preserve">lecidos en anteriores trabajos </w:t>
      </w:r>
      <w:r w:rsidR="005267C5" w:rsidRPr="00A55200">
        <w:rPr>
          <w:rFonts w:ascii="Times New Roman" w:eastAsia="Times New Roman" w:hAnsi="Times New Roman" w:cs="Times New Roman"/>
          <w:sz w:val="24"/>
          <w:szCs w:val="24"/>
        </w:rPr>
        <w:t>y considerar la variable educativa en este contexto</w:t>
      </w:r>
      <w:r w:rsidR="008C3122" w:rsidRPr="00A55200">
        <w:rPr>
          <w:rFonts w:ascii="Times New Roman" w:eastAsia="Times New Roman" w:hAnsi="Times New Roman" w:cs="Times New Roman"/>
          <w:sz w:val="24"/>
          <w:szCs w:val="24"/>
        </w:rPr>
        <w:t xml:space="preserve"> institucional</w:t>
      </w:r>
      <w:r w:rsidR="005267C5" w:rsidRPr="00A55200">
        <w:rPr>
          <w:rFonts w:ascii="Times New Roman" w:eastAsia="Times New Roman" w:hAnsi="Times New Roman" w:cs="Times New Roman"/>
          <w:sz w:val="24"/>
          <w:szCs w:val="24"/>
        </w:rPr>
        <w:t xml:space="preserve"> y no de manera aislada y prevalente</w:t>
      </w:r>
      <w:r w:rsidR="008A5852" w:rsidRPr="00A55200">
        <w:rPr>
          <w:rFonts w:ascii="Times New Roman" w:eastAsia="Times New Roman" w:hAnsi="Times New Roman" w:cs="Times New Roman"/>
          <w:sz w:val="24"/>
          <w:szCs w:val="24"/>
        </w:rPr>
        <w:t>, tal</w:t>
      </w:r>
      <w:r w:rsidR="005267C5" w:rsidRPr="00A55200">
        <w:rPr>
          <w:rFonts w:ascii="Times New Roman" w:eastAsia="Times New Roman" w:hAnsi="Times New Roman" w:cs="Times New Roman"/>
          <w:sz w:val="24"/>
          <w:szCs w:val="24"/>
        </w:rPr>
        <w:t xml:space="preserve"> como se ha venido conceptualmente elaborando hasta ahora en la literatura sociológica. </w:t>
      </w:r>
      <w:r w:rsidR="00510218" w:rsidRPr="00A55200">
        <w:rPr>
          <w:rFonts w:ascii="Times New Roman" w:eastAsia="Times New Roman" w:hAnsi="Times New Roman" w:cs="Times New Roman"/>
          <w:sz w:val="24"/>
          <w:szCs w:val="24"/>
        </w:rPr>
        <w:t>Ello lo hacemos contextualizando las prácticas</w:t>
      </w:r>
      <w:r w:rsidR="00653567" w:rsidRPr="00A55200">
        <w:rPr>
          <w:rFonts w:ascii="Times New Roman" w:eastAsia="Times New Roman" w:hAnsi="Times New Roman" w:cs="Times New Roman"/>
          <w:sz w:val="24"/>
          <w:szCs w:val="24"/>
        </w:rPr>
        <w:t xml:space="preserve"> artísticas</w:t>
      </w:r>
      <w:r w:rsidR="00510218" w:rsidRPr="00A55200">
        <w:rPr>
          <w:rFonts w:ascii="Times New Roman" w:eastAsia="Times New Roman" w:hAnsi="Times New Roman" w:cs="Times New Roman"/>
          <w:sz w:val="24"/>
          <w:szCs w:val="24"/>
        </w:rPr>
        <w:t xml:space="preserve"> y los consumos culturales de forma comparada por países en Europa en el context</w:t>
      </w:r>
      <w:r w:rsidR="00B1108C" w:rsidRPr="00A55200">
        <w:rPr>
          <w:rFonts w:ascii="Times New Roman" w:eastAsia="Times New Roman" w:hAnsi="Times New Roman" w:cs="Times New Roman"/>
          <w:sz w:val="24"/>
          <w:szCs w:val="24"/>
        </w:rPr>
        <w:t>o histórico de la crisis global, poniendo el acento en los países del sur como un modelo de política cultural.</w:t>
      </w:r>
      <w:r w:rsidR="00A55200">
        <w:rPr>
          <w:rFonts w:ascii="Times New Roman" w:eastAsia="Times New Roman" w:hAnsi="Times New Roman" w:cs="Times New Roman"/>
          <w:sz w:val="24"/>
          <w:szCs w:val="24"/>
        </w:rPr>
        <w:t xml:space="preserve"> </w:t>
      </w:r>
    </w:p>
    <w:p w14:paraId="5F6201CA" w14:textId="77777777" w:rsidR="00A360B4" w:rsidRPr="00A55200" w:rsidRDefault="00A33BFC" w:rsidP="007829E5">
      <w:pPr>
        <w:spacing w:after="0" w:line="480" w:lineRule="auto"/>
        <w:rPr>
          <w:rFonts w:ascii="Times New Roman" w:eastAsia="Times New Roman" w:hAnsi="Times New Roman" w:cs="Times New Roman"/>
          <w:sz w:val="24"/>
          <w:szCs w:val="24"/>
        </w:rPr>
      </w:pPr>
      <w:r w:rsidRPr="00FA639E">
        <w:rPr>
          <w:rFonts w:ascii="Times New Roman" w:eastAsia="Times New Roman" w:hAnsi="Times New Roman" w:cs="Times New Roman"/>
          <w:sz w:val="24"/>
          <w:szCs w:val="24"/>
        </w:rPr>
        <w:t xml:space="preserve">Asimismo, </w:t>
      </w:r>
      <w:r w:rsidR="0076659B" w:rsidRPr="00FA639E">
        <w:rPr>
          <w:rFonts w:ascii="Times New Roman" w:eastAsia="Times New Roman" w:hAnsi="Times New Roman" w:cs="Times New Roman"/>
          <w:sz w:val="24"/>
          <w:szCs w:val="24"/>
        </w:rPr>
        <w:t xml:space="preserve">partimos de la tesis de </w:t>
      </w:r>
      <w:r w:rsidR="00A360B4" w:rsidRPr="00FA639E">
        <w:rPr>
          <w:rFonts w:ascii="Times New Roman" w:eastAsia="Times New Roman" w:hAnsi="Times New Roman" w:cs="Times New Roman"/>
          <w:sz w:val="24"/>
          <w:szCs w:val="24"/>
        </w:rPr>
        <w:t xml:space="preserve">que la crisis de 2008 ha supuesto un parón en los procesos de convergencia europea en lo que se refiere a las políticas públicas </w:t>
      </w:r>
      <w:r w:rsidR="00A360B4" w:rsidRPr="00FA639E">
        <w:rPr>
          <w:rFonts w:ascii="Times New Roman" w:hAnsi="Times New Roman" w:cs="Times New Roman"/>
        </w:rPr>
        <w:fldChar w:fldCharType="begin"/>
      </w:r>
      <w:r w:rsidR="00A360B4" w:rsidRPr="00FA639E">
        <w:rPr>
          <w:rFonts w:ascii="Times New Roman" w:hAnsi="Times New Roman" w:cs="Times New Roman"/>
          <w:sz w:val="24"/>
          <w:szCs w:val="24"/>
          <w:lang w:val="es-ES_tradnl"/>
        </w:rPr>
        <w:instrText>ADDIN RW.CITE{{1937 Zambarloukou,Stella 2015; 2064 Verney,Susannah 2013}}</w:instrText>
      </w:r>
      <w:r w:rsidR="00A360B4" w:rsidRPr="00FA639E">
        <w:rPr>
          <w:rFonts w:ascii="Times New Roman" w:hAnsi="Times New Roman" w:cs="Times New Roman"/>
          <w:sz w:val="24"/>
          <w:szCs w:val="24"/>
          <w:lang w:val="es-ES_tradnl"/>
        </w:rPr>
        <w:fldChar w:fldCharType="separate"/>
      </w:r>
      <w:r w:rsidR="00642426" w:rsidRPr="00FA639E">
        <w:rPr>
          <w:rFonts w:ascii="Times New Roman" w:eastAsia="Times New Roman" w:hAnsi="Times New Roman" w:cs="Times New Roman"/>
          <w:sz w:val="24"/>
          <w:szCs w:val="24"/>
        </w:rPr>
        <w:t>(Verney y Bosco, 2013; Zambarloukou, 2015)</w:t>
      </w:r>
      <w:r w:rsidR="00A360B4" w:rsidRPr="00FA639E">
        <w:rPr>
          <w:rFonts w:ascii="Times New Roman" w:hAnsi="Times New Roman" w:cs="Times New Roman"/>
        </w:rPr>
        <w:fldChar w:fldCharType="end"/>
      </w:r>
      <w:r w:rsidR="00A360B4" w:rsidRPr="00FA639E">
        <w:rPr>
          <w:rFonts w:ascii="Times New Roman" w:eastAsia="Times New Roman" w:hAnsi="Times New Roman" w:cs="Times New Roman"/>
          <w:sz w:val="24"/>
          <w:szCs w:val="24"/>
        </w:rPr>
        <w:t xml:space="preserve"> y en el propio proceso de europeización de los países del sur de Europa, que abarca prácticamente el sig</w:t>
      </w:r>
      <w:r w:rsidR="003612BD" w:rsidRPr="00FA639E">
        <w:rPr>
          <w:rFonts w:ascii="Times New Roman" w:eastAsia="Times New Roman" w:hAnsi="Times New Roman" w:cs="Times New Roman"/>
          <w:sz w:val="24"/>
          <w:szCs w:val="24"/>
        </w:rPr>
        <w:t>l</w:t>
      </w:r>
      <w:r w:rsidR="00896607" w:rsidRPr="00FA639E">
        <w:rPr>
          <w:rFonts w:ascii="Times New Roman" w:eastAsia="Times New Roman" w:hAnsi="Times New Roman" w:cs="Times New Roman"/>
          <w:sz w:val="24"/>
          <w:szCs w:val="24"/>
        </w:rPr>
        <w:t xml:space="preserve">o XX. </w:t>
      </w:r>
      <w:r w:rsidR="00A360B4" w:rsidRPr="00FA639E">
        <w:rPr>
          <w:rFonts w:ascii="Times New Roman" w:eastAsia="Times New Roman" w:hAnsi="Times New Roman" w:cs="Times New Roman"/>
          <w:sz w:val="24"/>
          <w:szCs w:val="24"/>
        </w:rPr>
        <w:t xml:space="preserve">Definimos </w:t>
      </w:r>
      <w:r w:rsidR="002D7060" w:rsidRPr="00FA639E">
        <w:rPr>
          <w:rFonts w:ascii="Times New Roman" w:eastAsia="Times New Roman" w:hAnsi="Times New Roman" w:cs="Times New Roman"/>
          <w:sz w:val="24"/>
          <w:szCs w:val="24"/>
        </w:rPr>
        <w:t>europeización</w:t>
      </w:r>
      <w:r w:rsidR="00A360B4" w:rsidRPr="00FA639E">
        <w:rPr>
          <w:rFonts w:ascii="Times New Roman" w:eastAsia="Times New Roman" w:hAnsi="Times New Roman" w:cs="Times New Roman"/>
          <w:sz w:val="24"/>
          <w:szCs w:val="24"/>
        </w:rPr>
        <w:t xml:space="preserve"> en el campo de las políticas culturales partiendo de la definición de</w:t>
      </w:r>
      <w:r w:rsidR="00A55200" w:rsidRPr="00FA639E">
        <w:rPr>
          <w:rFonts w:ascii="Times New Roman" w:eastAsia="Times New Roman" w:hAnsi="Times New Roman" w:cs="Times New Roman"/>
          <w:sz w:val="24"/>
          <w:szCs w:val="24"/>
        </w:rPr>
        <w:t xml:space="preserve"> </w:t>
      </w:r>
      <w:r w:rsidR="00A360B4" w:rsidRPr="00FA639E">
        <w:rPr>
          <w:rFonts w:ascii="Times New Roman" w:eastAsia="Times New Roman" w:hAnsi="Times New Roman" w:cs="Times New Roman"/>
          <w:sz w:val="24"/>
          <w:szCs w:val="24"/>
        </w:rPr>
        <w:t>Sassatelli como</w:t>
      </w:r>
      <w:r w:rsidR="00A55200" w:rsidRPr="00FA639E">
        <w:rPr>
          <w:rFonts w:ascii="Times New Roman" w:eastAsia="Times New Roman" w:hAnsi="Times New Roman" w:cs="Times New Roman"/>
          <w:sz w:val="24"/>
          <w:szCs w:val="24"/>
        </w:rPr>
        <w:t xml:space="preserve"> </w:t>
      </w:r>
      <w:r w:rsidR="00A360B4" w:rsidRPr="00FA639E">
        <w:rPr>
          <w:rFonts w:ascii="Times New Roman" w:eastAsia="Times New Roman" w:hAnsi="Times New Roman" w:cs="Times New Roman"/>
          <w:sz w:val="24"/>
          <w:szCs w:val="24"/>
        </w:rPr>
        <w:t xml:space="preserve">la combinación de una convergencia en los objetivos de la política cultural de los países europeos que participan en la UE, con su mayor implicación con los proyectos desarrollados por la Comisión Europea </w:t>
      </w:r>
      <w:r w:rsidR="00A360B4" w:rsidRPr="00FA639E">
        <w:rPr>
          <w:rFonts w:ascii="Times New Roman" w:eastAsia="Times New Roman" w:hAnsi="Times New Roman" w:cs="Times New Roman"/>
          <w:sz w:val="24"/>
          <w:szCs w:val="24"/>
        </w:rPr>
        <w:lastRenderedPageBreak/>
        <w:t>que, finalmente, pretenden generar si n</w:t>
      </w:r>
      <w:r w:rsidR="008A5852" w:rsidRPr="00FA639E">
        <w:rPr>
          <w:rFonts w:ascii="Times New Roman" w:eastAsia="Times New Roman" w:hAnsi="Times New Roman" w:cs="Times New Roman"/>
          <w:sz w:val="24"/>
          <w:szCs w:val="24"/>
        </w:rPr>
        <w:t>o una identidad común europea sí</w:t>
      </w:r>
      <w:r w:rsidR="00A360B4" w:rsidRPr="00FA639E">
        <w:rPr>
          <w:rFonts w:ascii="Times New Roman" w:eastAsia="Times New Roman" w:hAnsi="Times New Roman" w:cs="Times New Roman"/>
          <w:sz w:val="24"/>
          <w:szCs w:val="24"/>
        </w:rPr>
        <w:t xml:space="preserve"> una consciencia de “unidad en la diversidad” </w:t>
      </w:r>
      <w:r w:rsidR="00822521" w:rsidRPr="00FA639E">
        <w:rPr>
          <w:rFonts w:ascii="Times New Roman" w:eastAsia="Times New Roman" w:hAnsi="Times New Roman" w:cs="Times New Roman"/>
          <w:sz w:val="24"/>
          <w:szCs w:val="24"/>
        </w:rPr>
        <w:fldChar w:fldCharType="begin"/>
      </w:r>
      <w:r w:rsidR="00822521" w:rsidRPr="00FA639E">
        <w:rPr>
          <w:rFonts w:ascii="Times New Roman" w:eastAsia="Times New Roman" w:hAnsi="Times New Roman" w:cs="Times New Roman"/>
          <w:sz w:val="24"/>
          <w:szCs w:val="24"/>
        </w:rPr>
        <w:instrText>ADDIN RW.CITE{{1114 Sassatelli, Mónica 2002; 2085 Sassatelli,Monica 2007}}</w:instrText>
      </w:r>
      <w:r w:rsidR="00822521" w:rsidRPr="00FA639E">
        <w:rPr>
          <w:rFonts w:ascii="Times New Roman" w:eastAsia="Times New Roman" w:hAnsi="Times New Roman" w:cs="Times New Roman"/>
          <w:sz w:val="24"/>
          <w:szCs w:val="24"/>
        </w:rPr>
        <w:fldChar w:fldCharType="separate"/>
      </w:r>
      <w:r w:rsidR="00896607" w:rsidRPr="00FA639E">
        <w:rPr>
          <w:rFonts w:ascii="Times New Roman" w:eastAsia="Times New Roman" w:hAnsi="Times New Roman" w:cs="Times New Roman"/>
          <w:sz w:val="24"/>
          <w:szCs w:val="24"/>
        </w:rPr>
        <w:t xml:space="preserve">(Sassatelli, 2002; </w:t>
      </w:r>
      <w:r w:rsidR="00642426" w:rsidRPr="00FA639E">
        <w:rPr>
          <w:rFonts w:ascii="Times New Roman" w:eastAsia="Times New Roman" w:hAnsi="Times New Roman" w:cs="Times New Roman"/>
          <w:sz w:val="24"/>
          <w:szCs w:val="24"/>
        </w:rPr>
        <w:t>Sassatelli, 2007)</w:t>
      </w:r>
      <w:r w:rsidR="00822521" w:rsidRPr="00FA639E">
        <w:rPr>
          <w:rFonts w:ascii="Times New Roman" w:eastAsia="Times New Roman" w:hAnsi="Times New Roman" w:cs="Times New Roman"/>
          <w:sz w:val="24"/>
          <w:szCs w:val="24"/>
        </w:rPr>
        <w:fldChar w:fldCharType="end"/>
      </w:r>
      <w:r w:rsidR="00A360B4" w:rsidRPr="00FA639E">
        <w:rPr>
          <w:rFonts w:ascii="Times New Roman" w:eastAsia="Times New Roman" w:hAnsi="Times New Roman" w:cs="Times New Roman"/>
          <w:sz w:val="24"/>
          <w:szCs w:val="24"/>
        </w:rPr>
        <w:t xml:space="preserve">. </w:t>
      </w:r>
      <w:r w:rsidR="008A5852" w:rsidRPr="00FA639E">
        <w:rPr>
          <w:rFonts w:ascii="Times New Roman" w:eastAsia="Times New Roman" w:hAnsi="Times New Roman" w:cs="Times New Roman"/>
          <w:sz w:val="24"/>
          <w:szCs w:val="24"/>
        </w:rPr>
        <w:t>Asimismo</w:t>
      </w:r>
      <w:r w:rsidR="00A360B4" w:rsidRPr="00FA639E">
        <w:rPr>
          <w:rFonts w:ascii="Times New Roman" w:eastAsia="Times New Roman" w:hAnsi="Times New Roman" w:cs="Times New Roman"/>
          <w:sz w:val="24"/>
          <w:szCs w:val="24"/>
        </w:rPr>
        <w:t>, se trata de un proceso histórico que se da tanto en Grecia, Portugal y España cuyo objetivo de ingresar en la</w:t>
      </w:r>
      <w:r w:rsidR="00A85500" w:rsidRPr="00FA639E">
        <w:rPr>
          <w:rFonts w:ascii="Times New Roman" w:eastAsia="Times New Roman" w:hAnsi="Times New Roman" w:cs="Times New Roman"/>
          <w:sz w:val="24"/>
          <w:szCs w:val="24"/>
        </w:rPr>
        <w:t xml:space="preserve"> entonces</w:t>
      </w:r>
      <w:r w:rsidR="00A360B4" w:rsidRPr="00FA639E">
        <w:rPr>
          <w:rFonts w:ascii="Times New Roman" w:eastAsia="Times New Roman" w:hAnsi="Times New Roman" w:cs="Times New Roman"/>
          <w:sz w:val="24"/>
          <w:szCs w:val="24"/>
        </w:rPr>
        <w:t xml:space="preserve"> Comunidad Económica Europea desde la recuperación de las democracias conllevaba un afán por obtener los índices de calidad de vida y de participación democrática</w:t>
      </w:r>
      <w:r w:rsidR="00A85500" w:rsidRPr="00FA639E">
        <w:rPr>
          <w:rFonts w:ascii="Times New Roman" w:eastAsia="Times New Roman" w:hAnsi="Times New Roman" w:cs="Times New Roman"/>
          <w:sz w:val="24"/>
          <w:szCs w:val="24"/>
        </w:rPr>
        <w:t>,</w:t>
      </w:r>
      <w:r w:rsidR="00A360B4" w:rsidRPr="00FA639E">
        <w:rPr>
          <w:rFonts w:ascii="Times New Roman" w:eastAsia="Times New Roman" w:hAnsi="Times New Roman" w:cs="Times New Roman"/>
          <w:sz w:val="24"/>
          <w:szCs w:val="24"/>
        </w:rPr>
        <w:t xml:space="preserve"> que se correlacionan con la participación cultural en sus distintas dimensiones. La modernización de los países del sur de Europa debía consistir no solo en la integración económica de un mercado común europeo, cosa que se produjo en la década de los </w:t>
      </w:r>
      <w:r w:rsidR="002D7060" w:rsidRPr="00FA639E">
        <w:rPr>
          <w:rFonts w:ascii="Times New Roman" w:eastAsia="Times New Roman" w:hAnsi="Times New Roman" w:cs="Times New Roman"/>
          <w:sz w:val="24"/>
          <w:szCs w:val="24"/>
        </w:rPr>
        <w:t>ochenta, sino</w:t>
      </w:r>
      <w:r w:rsidR="00A360B4" w:rsidRPr="00FA639E">
        <w:rPr>
          <w:rFonts w:ascii="Times New Roman" w:eastAsia="Times New Roman" w:hAnsi="Times New Roman" w:cs="Times New Roman"/>
          <w:sz w:val="24"/>
          <w:szCs w:val="24"/>
        </w:rPr>
        <w:t xml:space="preserve"> también en alcanzar los indicadores de participación artística y cultural que se daban en los países del norte en un entorno democrático.</w:t>
      </w:r>
      <w:r w:rsidR="00A360B4" w:rsidRPr="00A55200">
        <w:rPr>
          <w:rFonts w:ascii="Times New Roman" w:eastAsia="Times New Roman" w:hAnsi="Times New Roman" w:cs="Times New Roman"/>
          <w:sz w:val="24"/>
          <w:szCs w:val="24"/>
        </w:rPr>
        <w:t xml:space="preserve"> </w:t>
      </w:r>
    </w:p>
    <w:p w14:paraId="4DEB7973" w14:textId="4302B7D4" w:rsidR="00A360B4" w:rsidRPr="00A55200" w:rsidRDefault="00A360B4" w:rsidP="007829E5">
      <w:pPr>
        <w:spacing w:after="0" w:line="480" w:lineRule="auto"/>
        <w:rPr>
          <w:rFonts w:ascii="Times New Roman" w:eastAsia="Times New Roman" w:hAnsi="Times New Roman" w:cs="Times New Roman"/>
          <w:sz w:val="24"/>
          <w:szCs w:val="24"/>
        </w:rPr>
      </w:pPr>
      <w:r w:rsidRPr="00A55200">
        <w:rPr>
          <w:rFonts w:ascii="Times New Roman" w:eastAsia="Times New Roman" w:hAnsi="Times New Roman" w:cs="Times New Roman"/>
          <w:sz w:val="24"/>
          <w:szCs w:val="24"/>
        </w:rPr>
        <w:t xml:space="preserve">En este contexto, Europa aparece asociada a las ideas paradigmáticas de progreso y </w:t>
      </w:r>
      <w:r w:rsidR="002D7060" w:rsidRPr="00A55200">
        <w:rPr>
          <w:rFonts w:ascii="Times New Roman" w:eastAsia="Times New Roman" w:hAnsi="Times New Roman" w:cs="Times New Roman"/>
          <w:sz w:val="24"/>
          <w:szCs w:val="24"/>
        </w:rPr>
        <w:t>democracia ya</w:t>
      </w:r>
      <w:r w:rsidRPr="00A55200">
        <w:rPr>
          <w:rFonts w:ascii="Times New Roman" w:eastAsia="Times New Roman" w:hAnsi="Times New Roman" w:cs="Times New Roman"/>
          <w:sz w:val="24"/>
          <w:szCs w:val="24"/>
        </w:rPr>
        <w:t xml:space="preserve"> antes de la constitución en 1957 del núcleo de la Comunidad Económica Europea. Posteriormente, esta voluntad de imitar el modelo europeo se ha ido construyendo y ampliando a partir de los procesos de institucionalización europea y la adopción de sus normas, sus formas y estilos de hacer política (</w:t>
      </w:r>
      <w:r w:rsidR="00822521" w:rsidRPr="00A55200">
        <w:rPr>
          <w:rFonts w:ascii="Times New Roman" w:eastAsia="Times New Roman" w:hAnsi="Times New Roman" w:cs="Times New Roman"/>
          <w:sz w:val="24"/>
          <w:szCs w:val="24"/>
        </w:rPr>
        <w:fldChar w:fldCharType="begin"/>
      </w:r>
      <w:r w:rsidR="00822521" w:rsidRPr="00A55200">
        <w:rPr>
          <w:rFonts w:ascii="Times New Roman" w:eastAsia="Times New Roman" w:hAnsi="Times New Roman" w:cs="Times New Roman"/>
          <w:sz w:val="24"/>
          <w:szCs w:val="24"/>
        </w:rPr>
        <w:instrText>ADDIN RW.CITE{{2065 Graziano, P. 2008}}</w:instrText>
      </w:r>
      <w:r w:rsidR="00822521" w:rsidRPr="00A55200">
        <w:rPr>
          <w:rFonts w:ascii="Times New Roman" w:eastAsia="Times New Roman" w:hAnsi="Times New Roman" w:cs="Times New Roman"/>
          <w:sz w:val="24"/>
          <w:szCs w:val="24"/>
        </w:rPr>
        <w:fldChar w:fldCharType="separate"/>
      </w:r>
      <w:r w:rsidR="00642426" w:rsidRPr="00A55200">
        <w:rPr>
          <w:rFonts w:ascii="Times New Roman" w:eastAsia="Times New Roman" w:hAnsi="Times New Roman" w:cs="Times New Roman"/>
          <w:sz w:val="24"/>
          <w:szCs w:val="24"/>
        </w:rPr>
        <w:t>Graziano y Vink, 2008)</w:t>
      </w:r>
      <w:r w:rsidR="00822521" w:rsidRPr="00A55200">
        <w:rPr>
          <w:rFonts w:ascii="Times New Roman" w:eastAsia="Times New Roman" w:hAnsi="Times New Roman" w:cs="Times New Roman"/>
          <w:sz w:val="24"/>
          <w:szCs w:val="24"/>
        </w:rPr>
        <w:fldChar w:fldCharType="end"/>
      </w:r>
      <w:r w:rsidR="0051479C">
        <w:rPr>
          <w:rFonts w:ascii="Times New Roman" w:eastAsia="Times New Roman" w:hAnsi="Times New Roman" w:cs="Times New Roman"/>
          <w:sz w:val="24"/>
          <w:szCs w:val="24"/>
        </w:rPr>
        <w:t>. Así, p</w:t>
      </w:r>
      <w:r w:rsidRPr="00A55200">
        <w:rPr>
          <w:rFonts w:ascii="Times New Roman" w:eastAsia="Times New Roman" w:hAnsi="Times New Roman" w:cs="Times New Roman"/>
          <w:sz w:val="24"/>
          <w:szCs w:val="24"/>
        </w:rPr>
        <w:t xml:space="preserve">odemos hablar de un proceso de </w:t>
      </w:r>
      <w:r w:rsidR="0051479C">
        <w:rPr>
          <w:rFonts w:ascii="Times New Roman" w:eastAsia="Times New Roman" w:hAnsi="Times New Roman" w:cs="Times New Roman"/>
          <w:sz w:val="24"/>
          <w:szCs w:val="24"/>
        </w:rPr>
        <w:t>eu</w:t>
      </w:r>
      <w:r w:rsidRPr="00A55200">
        <w:rPr>
          <w:rFonts w:ascii="Times New Roman" w:eastAsia="Times New Roman" w:hAnsi="Times New Roman" w:cs="Times New Roman"/>
          <w:sz w:val="24"/>
          <w:szCs w:val="24"/>
        </w:rPr>
        <w:t xml:space="preserve">ropeanización de los países del </w:t>
      </w:r>
      <w:r w:rsidR="00FA639E">
        <w:rPr>
          <w:rFonts w:ascii="Times New Roman" w:eastAsia="Times New Roman" w:hAnsi="Times New Roman" w:cs="Times New Roman"/>
          <w:sz w:val="24"/>
          <w:szCs w:val="24"/>
        </w:rPr>
        <w:t>s</w:t>
      </w:r>
      <w:r w:rsidRPr="00A55200">
        <w:rPr>
          <w:rFonts w:ascii="Times New Roman" w:eastAsia="Times New Roman" w:hAnsi="Times New Roman" w:cs="Times New Roman"/>
          <w:sz w:val="24"/>
          <w:szCs w:val="24"/>
        </w:rPr>
        <w:t xml:space="preserve">ur de Europa </w:t>
      </w:r>
      <w:r w:rsidR="00822521" w:rsidRPr="00A55200">
        <w:rPr>
          <w:rFonts w:ascii="Times New Roman" w:eastAsia="Times New Roman" w:hAnsi="Times New Roman" w:cs="Times New Roman"/>
          <w:sz w:val="24"/>
          <w:szCs w:val="24"/>
        </w:rPr>
        <w:fldChar w:fldCharType="begin"/>
      </w:r>
      <w:r w:rsidR="00822521" w:rsidRPr="00A55200">
        <w:rPr>
          <w:rFonts w:ascii="Times New Roman" w:eastAsia="Times New Roman" w:hAnsi="Times New Roman" w:cs="Times New Roman"/>
          <w:sz w:val="24"/>
          <w:szCs w:val="24"/>
        </w:rPr>
        <w:instrText>ADDIN RW.CITE{{2205 Featherstone, Kevin 2003; 2052 Featherstone, K. 2001}}</w:instrText>
      </w:r>
      <w:r w:rsidR="00822521" w:rsidRPr="00A55200">
        <w:rPr>
          <w:rFonts w:ascii="Times New Roman" w:eastAsia="Times New Roman" w:hAnsi="Times New Roman" w:cs="Times New Roman"/>
          <w:sz w:val="24"/>
          <w:szCs w:val="24"/>
        </w:rPr>
        <w:fldChar w:fldCharType="separate"/>
      </w:r>
      <w:r w:rsidR="00642426" w:rsidRPr="00A55200">
        <w:rPr>
          <w:rFonts w:ascii="Times New Roman" w:eastAsia="Times New Roman" w:hAnsi="Times New Roman" w:cs="Times New Roman"/>
          <w:sz w:val="24"/>
          <w:szCs w:val="24"/>
        </w:rPr>
        <w:t>(K. Featherstone y Kazamias, 2001; K. Featherstone y Radaelli, 2003)</w:t>
      </w:r>
      <w:r w:rsidR="00822521" w:rsidRPr="00A55200">
        <w:rPr>
          <w:rFonts w:ascii="Times New Roman" w:eastAsia="Times New Roman" w:hAnsi="Times New Roman" w:cs="Times New Roman"/>
          <w:sz w:val="24"/>
          <w:szCs w:val="24"/>
        </w:rPr>
        <w:fldChar w:fldCharType="end"/>
      </w:r>
      <w:r w:rsidRPr="00A55200">
        <w:rPr>
          <w:rFonts w:ascii="Times New Roman" w:eastAsia="Times New Roman" w:hAnsi="Times New Roman" w:cs="Times New Roman"/>
          <w:sz w:val="24"/>
          <w:szCs w:val="24"/>
        </w:rPr>
        <w:t xml:space="preserve">. Este proceso común fue liderado en estos países por gobiernos de color socialdemócrata que convirtieron la política cultural en un programa para fomentar la cohesión social y nacional así como un escaparate de los procesos de modernización y de reivindicación de una imagen nacional más positiva alejada de un pasado reciente muy asociado al atraso y el autoritarismo </w:t>
      </w:r>
      <w:r w:rsidR="00822521" w:rsidRPr="00A55200">
        <w:rPr>
          <w:rFonts w:ascii="Times New Roman" w:eastAsia="Times New Roman" w:hAnsi="Times New Roman" w:cs="Times New Roman"/>
          <w:sz w:val="24"/>
          <w:szCs w:val="24"/>
        </w:rPr>
        <w:fldChar w:fldCharType="begin"/>
      </w:r>
      <w:r w:rsidR="00822521" w:rsidRPr="00A55200">
        <w:rPr>
          <w:rFonts w:ascii="Times New Roman" w:eastAsia="Times New Roman" w:hAnsi="Times New Roman" w:cs="Times New Roman"/>
          <w:sz w:val="24"/>
          <w:szCs w:val="24"/>
        </w:rPr>
        <w:instrText>ADDIN RW.CITE{{2067 Zorba,Myrsini 2009; 35 Rubio Arostegui, Juan Arturo 2003}}</w:instrText>
      </w:r>
      <w:r w:rsidR="00822521" w:rsidRPr="00A55200">
        <w:rPr>
          <w:rFonts w:ascii="Times New Roman" w:eastAsia="Times New Roman" w:hAnsi="Times New Roman" w:cs="Times New Roman"/>
          <w:sz w:val="24"/>
          <w:szCs w:val="24"/>
        </w:rPr>
        <w:fldChar w:fldCharType="separate"/>
      </w:r>
      <w:r w:rsidR="00642426" w:rsidRPr="00A55200">
        <w:rPr>
          <w:rFonts w:ascii="Times New Roman" w:eastAsia="Times New Roman" w:hAnsi="Times New Roman" w:cs="Times New Roman"/>
          <w:sz w:val="24"/>
          <w:szCs w:val="24"/>
        </w:rPr>
        <w:t>(Rubio Arostegui, 2003; Zorba, 2009)</w:t>
      </w:r>
      <w:r w:rsidR="00822521" w:rsidRPr="00A55200">
        <w:rPr>
          <w:rFonts w:ascii="Times New Roman" w:eastAsia="Times New Roman" w:hAnsi="Times New Roman" w:cs="Times New Roman"/>
          <w:sz w:val="24"/>
          <w:szCs w:val="24"/>
        </w:rPr>
        <w:fldChar w:fldCharType="end"/>
      </w:r>
      <w:r w:rsidRPr="00A55200">
        <w:rPr>
          <w:rFonts w:ascii="Times New Roman" w:eastAsia="Times New Roman" w:hAnsi="Times New Roman" w:cs="Times New Roman"/>
          <w:sz w:val="24"/>
          <w:szCs w:val="24"/>
        </w:rPr>
        <w:t>.</w:t>
      </w:r>
      <w:r w:rsidR="00CA0B78" w:rsidRPr="00A55200">
        <w:rPr>
          <w:rFonts w:ascii="Times New Roman" w:eastAsia="Times New Roman" w:hAnsi="Times New Roman" w:cs="Times New Roman"/>
          <w:sz w:val="24"/>
          <w:szCs w:val="24"/>
        </w:rPr>
        <w:t xml:space="preserve"> En el caso de Grecia, Portugal </w:t>
      </w:r>
      <w:r w:rsidR="002D7060" w:rsidRPr="00A55200">
        <w:rPr>
          <w:rFonts w:ascii="Times New Roman" w:eastAsia="Times New Roman" w:hAnsi="Times New Roman" w:cs="Times New Roman"/>
          <w:sz w:val="24"/>
          <w:szCs w:val="24"/>
        </w:rPr>
        <w:t>y España</w:t>
      </w:r>
      <w:r w:rsidR="00CA0B78" w:rsidRPr="00A55200">
        <w:rPr>
          <w:rFonts w:ascii="Times New Roman" w:eastAsia="Times New Roman" w:hAnsi="Times New Roman" w:cs="Times New Roman"/>
          <w:sz w:val="24"/>
          <w:szCs w:val="24"/>
        </w:rPr>
        <w:t>,</w:t>
      </w:r>
      <w:r w:rsidRPr="00A55200">
        <w:rPr>
          <w:rFonts w:ascii="Times New Roman" w:eastAsia="Times New Roman" w:hAnsi="Times New Roman" w:cs="Times New Roman"/>
          <w:sz w:val="24"/>
          <w:szCs w:val="24"/>
        </w:rPr>
        <w:t xml:space="preserve"> la década de los setenta coincide con la caída de las dictaduras militares y el inicio de una institucionalización de la política cultural a partir de la configuración de los Ministerios de Cultura y una tendencia centralista muy acusada en dichos países (Rubio Ar</w:t>
      </w:r>
      <w:r w:rsidR="00FA639E">
        <w:rPr>
          <w:rFonts w:ascii="Times New Roman" w:eastAsia="Times New Roman" w:hAnsi="Times New Roman" w:cs="Times New Roman"/>
          <w:sz w:val="24"/>
          <w:szCs w:val="24"/>
        </w:rPr>
        <w:t xml:space="preserve">ostegui, </w:t>
      </w:r>
      <w:r w:rsidRPr="00A55200">
        <w:rPr>
          <w:rFonts w:ascii="Times New Roman" w:eastAsia="Times New Roman" w:hAnsi="Times New Roman" w:cs="Times New Roman"/>
          <w:sz w:val="24"/>
          <w:szCs w:val="24"/>
        </w:rPr>
        <w:t xml:space="preserve">2008). El caso de Italia presenta rasgos diferenciadores con </w:t>
      </w:r>
      <w:r w:rsidRPr="00A55200">
        <w:rPr>
          <w:rFonts w:ascii="Times New Roman" w:eastAsia="Times New Roman" w:hAnsi="Times New Roman" w:cs="Times New Roman"/>
          <w:sz w:val="24"/>
          <w:szCs w:val="24"/>
        </w:rPr>
        <w:lastRenderedPageBreak/>
        <w:t xml:space="preserve">respecto al ciclo histórico de la caída de la dictadura y el centralismo como consecuencia de la configuración de un país reunificado en siglo XIX </w:t>
      </w:r>
      <w:r w:rsidR="00320B72" w:rsidRPr="00A55200">
        <w:rPr>
          <w:rFonts w:ascii="Times New Roman" w:eastAsia="Times New Roman" w:hAnsi="Times New Roman" w:cs="Times New Roman"/>
          <w:sz w:val="24"/>
          <w:szCs w:val="24"/>
        </w:rPr>
        <w:fldChar w:fldCharType="begin"/>
      </w:r>
      <w:r w:rsidR="00320B72" w:rsidRPr="00A55200">
        <w:rPr>
          <w:rFonts w:ascii="Times New Roman" w:eastAsia="Times New Roman" w:hAnsi="Times New Roman" w:cs="Times New Roman"/>
          <w:sz w:val="24"/>
          <w:szCs w:val="24"/>
        </w:rPr>
        <w:instrText>ADDIN RW.CITE{{2066 Dal Pozzolo, Luca 1999}}</w:instrText>
      </w:r>
      <w:r w:rsidR="00320B72" w:rsidRPr="00A55200">
        <w:rPr>
          <w:rFonts w:ascii="Times New Roman" w:eastAsia="Times New Roman" w:hAnsi="Times New Roman" w:cs="Times New Roman"/>
          <w:sz w:val="24"/>
          <w:szCs w:val="24"/>
        </w:rPr>
        <w:fldChar w:fldCharType="separate"/>
      </w:r>
      <w:r w:rsidR="00642426" w:rsidRPr="00A55200">
        <w:rPr>
          <w:rFonts w:ascii="Times New Roman" w:eastAsia="Times New Roman" w:hAnsi="Times New Roman" w:cs="Times New Roman"/>
          <w:sz w:val="24"/>
          <w:szCs w:val="24"/>
        </w:rPr>
        <w:t>(Dal Pozzolo, 1999)</w:t>
      </w:r>
      <w:r w:rsidR="00320B72" w:rsidRPr="00A55200">
        <w:rPr>
          <w:rFonts w:ascii="Times New Roman" w:eastAsia="Times New Roman" w:hAnsi="Times New Roman" w:cs="Times New Roman"/>
          <w:sz w:val="24"/>
          <w:szCs w:val="24"/>
        </w:rPr>
        <w:fldChar w:fldCharType="end"/>
      </w:r>
      <w:r w:rsidRPr="00A55200">
        <w:rPr>
          <w:rFonts w:ascii="Times New Roman" w:eastAsia="Times New Roman" w:hAnsi="Times New Roman" w:cs="Times New Roman"/>
          <w:sz w:val="24"/>
          <w:szCs w:val="24"/>
        </w:rPr>
        <w:t>.</w:t>
      </w:r>
    </w:p>
    <w:p w14:paraId="5D9F0D2A" w14:textId="77777777" w:rsidR="00A360B4" w:rsidRPr="00A55200" w:rsidRDefault="007D078B" w:rsidP="007829E5">
      <w:pPr>
        <w:spacing w:after="0" w:line="480" w:lineRule="auto"/>
        <w:rPr>
          <w:rFonts w:ascii="Times New Roman" w:eastAsia="Times New Roman" w:hAnsi="Times New Roman" w:cs="Times New Roman"/>
          <w:sz w:val="24"/>
          <w:szCs w:val="24"/>
        </w:rPr>
      </w:pPr>
      <w:r w:rsidRPr="00A55200">
        <w:rPr>
          <w:rFonts w:ascii="Times New Roman" w:eastAsia="Times New Roman" w:hAnsi="Times New Roman" w:cs="Times New Roman"/>
          <w:sz w:val="24"/>
          <w:szCs w:val="24"/>
        </w:rPr>
        <w:t xml:space="preserve">Como </w:t>
      </w:r>
      <w:r w:rsidR="00320B72" w:rsidRPr="00A55200">
        <w:rPr>
          <w:rFonts w:ascii="Times New Roman" w:eastAsia="Times New Roman" w:hAnsi="Times New Roman" w:cs="Times New Roman"/>
          <w:sz w:val="24"/>
          <w:szCs w:val="24"/>
        </w:rPr>
        <w:t>reconocíamos</w:t>
      </w:r>
      <w:r w:rsidRPr="00A55200">
        <w:rPr>
          <w:rFonts w:ascii="Times New Roman" w:eastAsia="Times New Roman" w:hAnsi="Times New Roman" w:cs="Times New Roman"/>
          <w:sz w:val="24"/>
          <w:szCs w:val="24"/>
        </w:rPr>
        <w:t xml:space="preserve"> al comienzo, este trabajo </w:t>
      </w:r>
      <w:r w:rsidR="00A360B4" w:rsidRPr="00A55200">
        <w:rPr>
          <w:rFonts w:ascii="Times New Roman" w:eastAsia="Times New Roman" w:hAnsi="Times New Roman" w:cs="Times New Roman"/>
          <w:sz w:val="24"/>
          <w:szCs w:val="24"/>
        </w:rPr>
        <w:t>es deudor de otro precedente acerca de</w:t>
      </w:r>
      <w:r w:rsidR="00A55200">
        <w:rPr>
          <w:rFonts w:ascii="Times New Roman" w:eastAsia="Times New Roman" w:hAnsi="Times New Roman" w:cs="Times New Roman"/>
          <w:sz w:val="24"/>
          <w:szCs w:val="24"/>
        </w:rPr>
        <w:t xml:space="preserve"> </w:t>
      </w:r>
      <w:r w:rsidR="00A360B4" w:rsidRPr="00A55200">
        <w:rPr>
          <w:rFonts w:ascii="Times New Roman" w:eastAsia="Times New Roman" w:hAnsi="Times New Roman" w:cs="Times New Roman"/>
          <w:sz w:val="24"/>
          <w:szCs w:val="24"/>
        </w:rPr>
        <w:t>la convergencia de la política cultural en los países del sur de Europa y de un modelo de política cultural con una cierta defi</w:t>
      </w:r>
      <w:r w:rsidRPr="00A55200">
        <w:rPr>
          <w:rFonts w:ascii="Times New Roman" w:eastAsia="Times New Roman" w:hAnsi="Times New Roman" w:cs="Times New Roman"/>
          <w:sz w:val="24"/>
          <w:szCs w:val="24"/>
        </w:rPr>
        <w:t>nición de rasgos comunes</w:t>
      </w:r>
      <w:r w:rsidR="00320B72" w:rsidRPr="00A55200">
        <w:rPr>
          <w:rFonts w:ascii="Times New Roman" w:eastAsia="Times New Roman" w:hAnsi="Times New Roman" w:cs="Times New Roman"/>
          <w:sz w:val="24"/>
          <w:szCs w:val="24"/>
        </w:rPr>
        <w:t xml:space="preserve"> </w:t>
      </w:r>
      <w:r w:rsidR="00320B72" w:rsidRPr="00A55200">
        <w:rPr>
          <w:rFonts w:ascii="Times New Roman" w:eastAsia="Times New Roman" w:hAnsi="Times New Roman" w:cs="Times New Roman"/>
          <w:sz w:val="24"/>
          <w:szCs w:val="24"/>
        </w:rPr>
        <w:fldChar w:fldCharType="begin"/>
      </w:r>
      <w:r w:rsidR="00320B72" w:rsidRPr="00A55200">
        <w:rPr>
          <w:rFonts w:ascii="Times New Roman" w:eastAsia="Times New Roman" w:hAnsi="Times New Roman" w:cs="Times New Roman"/>
          <w:sz w:val="24"/>
          <w:szCs w:val="24"/>
        </w:rPr>
        <w:instrText>ADDIN RW.CITE{{2381 Rubio Arostegui, Juan Arturo 2018}}</w:instrText>
      </w:r>
      <w:r w:rsidR="00320B72" w:rsidRPr="00A55200">
        <w:rPr>
          <w:rFonts w:ascii="Times New Roman" w:eastAsia="Times New Roman" w:hAnsi="Times New Roman" w:cs="Times New Roman"/>
          <w:sz w:val="24"/>
          <w:szCs w:val="24"/>
        </w:rPr>
        <w:fldChar w:fldCharType="separate"/>
      </w:r>
      <w:r w:rsidR="00642426" w:rsidRPr="00A55200">
        <w:rPr>
          <w:rFonts w:ascii="Times New Roman" w:eastAsia="Times New Roman" w:hAnsi="Times New Roman" w:cs="Times New Roman"/>
          <w:sz w:val="24"/>
          <w:szCs w:val="24"/>
        </w:rPr>
        <w:t>(Rubio Arostegui y Rius-Ulldemolins, 2018)</w:t>
      </w:r>
      <w:r w:rsidR="00320B72" w:rsidRPr="00A55200">
        <w:rPr>
          <w:rFonts w:ascii="Times New Roman" w:eastAsia="Times New Roman" w:hAnsi="Times New Roman" w:cs="Times New Roman"/>
          <w:sz w:val="24"/>
          <w:szCs w:val="24"/>
        </w:rPr>
        <w:fldChar w:fldCharType="end"/>
      </w:r>
      <w:r w:rsidR="00A360B4" w:rsidRPr="00A55200">
        <w:rPr>
          <w:rFonts w:ascii="Times New Roman" w:eastAsia="Times New Roman" w:hAnsi="Times New Roman" w:cs="Times New Roman"/>
          <w:sz w:val="24"/>
          <w:szCs w:val="24"/>
        </w:rPr>
        <w:t xml:space="preserve"> en el que se a</w:t>
      </w:r>
      <w:r w:rsidR="00473B8B" w:rsidRPr="00A55200">
        <w:rPr>
          <w:rFonts w:ascii="Times New Roman" w:eastAsia="Times New Roman" w:hAnsi="Times New Roman" w:cs="Times New Roman"/>
          <w:sz w:val="24"/>
          <w:szCs w:val="24"/>
        </w:rPr>
        <w:t xml:space="preserve">nalizaban los siguientes ejes: </w:t>
      </w:r>
      <w:r w:rsidR="00A360B4" w:rsidRPr="00A55200">
        <w:rPr>
          <w:rFonts w:ascii="Times New Roman" w:eastAsia="Times New Roman" w:hAnsi="Times New Roman" w:cs="Times New Roman"/>
          <w:sz w:val="24"/>
          <w:szCs w:val="24"/>
        </w:rPr>
        <w:t xml:space="preserve">a) ambición y nivel de intervención del Estado en la cultura (incluyendo el nivel de </w:t>
      </w:r>
      <w:r w:rsidR="00473B8B" w:rsidRPr="00A55200">
        <w:rPr>
          <w:rFonts w:ascii="Times New Roman" w:eastAsia="Times New Roman" w:hAnsi="Times New Roman" w:cs="Times New Roman"/>
          <w:sz w:val="24"/>
          <w:szCs w:val="24"/>
        </w:rPr>
        <w:t>agencialización vs</w:t>
      </w:r>
      <w:r w:rsidR="00FA639E">
        <w:rPr>
          <w:rFonts w:ascii="Times New Roman" w:eastAsia="Times New Roman" w:hAnsi="Times New Roman" w:cs="Times New Roman"/>
          <w:sz w:val="24"/>
          <w:szCs w:val="24"/>
        </w:rPr>
        <w:t>.</w:t>
      </w:r>
      <w:r w:rsidR="00473B8B" w:rsidRPr="00A55200">
        <w:rPr>
          <w:rFonts w:ascii="Times New Roman" w:eastAsia="Times New Roman" w:hAnsi="Times New Roman" w:cs="Times New Roman"/>
          <w:sz w:val="24"/>
          <w:szCs w:val="24"/>
        </w:rPr>
        <w:t xml:space="preserve"> control), b) </w:t>
      </w:r>
      <w:r w:rsidR="00A360B4" w:rsidRPr="00A55200">
        <w:rPr>
          <w:rFonts w:ascii="Times New Roman" w:eastAsia="Times New Roman" w:hAnsi="Times New Roman" w:cs="Times New Roman"/>
          <w:sz w:val="24"/>
          <w:szCs w:val="24"/>
        </w:rPr>
        <w:t>nivel de centralización y articulación territorial de las políticas culturales, c) orientaciones básicas respecto a la democratización vs</w:t>
      </w:r>
      <w:r w:rsidR="007829E5">
        <w:rPr>
          <w:rFonts w:ascii="Times New Roman" w:eastAsia="Times New Roman" w:hAnsi="Times New Roman" w:cs="Times New Roman"/>
          <w:sz w:val="24"/>
          <w:szCs w:val="24"/>
        </w:rPr>
        <w:t>.</w:t>
      </w:r>
      <w:r w:rsidR="00A360B4" w:rsidRPr="00A55200">
        <w:rPr>
          <w:rFonts w:ascii="Times New Roman" w:eastAsia="Times New Roman" w:hAnsi="Times New Roman" w:cs="Times New Roman"/>
          <w:sz w:val="24"/>
          <w:szCs w:val="24"/>
        </w:rPr>
        <w:t xml:space="preserve"> democracia cu</w:t>
      </w:r>
      <w:r w:rsidR="00857E93" w:rsidRPr="00A55200">
        <w:rPr>
          <w:rFonts w:ascii="Times New Roman" w:eastAsia="Times New Roman" w:hAnsi="Times New Roman" w:cs="Times New Roman"/>
          <w:sz w:val="24"/>
          <w:szCs w:val="24"/>
        </w:rPr>
        <w:t>ltu</w:t>
      </w:r>
      <w:r w:rsidR="007829E5">
        <w:rPr>
          <w:rFonts w:ascii="Times New Roman" w:eastAsia="Times New Roman" w:hAnsi="Times New Roman" w:cs="Times New Roman"/>
          <w:sz w:val="24"/>
          <w:szCs w:val="24"/>
        </w:rPr>
        <w:t>r</w:t>
      </w:r>
      <w:r w:rsidR="00857E93" w:rsidRPr="00A55200">
        <w:rPr>
          <w:rFonts w:ascii="Times New Roman" w:eastAsia="Times New Roman" w:hAnsi="Times New Roman" w:cs="Times New Roman"/>
          <w:sz w:val="24"/>
          <w:szCs w:val="24"/>
        </w:rPr>
        <w:t xml:space="preserve">al, tradición y </w:t>
      </w:r>
      <w:r w:rsidR="00857E93" w:rsidRPr="007829E5">
        <w:rPr>
          <w:rFonts w:ascii="Times New Roman" w:eastAsia="Times New Roman" w:hAnsi="Times New Roman" w:cs="Times New Roman"/>
          <w:sz w:val="24"/>
          <w:szCs w:val="24"/>
        </w:rPr>
        <w:t xml:space="preserve">patrimonio </w:t>
      </w:r>
      <w:r w:rsidR="007829E5">
        <w:rPr>
          <w:rFonts w:ascii="Times New Roman" w:eastAsia="Times New Roman" w:hAnsi="Times New Roman" w:cs="Times New Roman"/>
          <w:sz w:val="24"/>
          <w:szCs w:val="24"/>
        </w:rPr>
        <w:t>vs.</w:t>
      </w:r>
      <w:r w:rsidR="00A360B4" w:rsidRPr="007829E5">
        <w:rPr>
          <w:rFonts w:ascii="Times New Roman" w:eastAsia="Times New Roman" w:hAnsi="Times New Roman" w:cs="Times New Roman"/>
          <w:sz w:val="24"/>
          <w:szCs w:val="24"/>
        </w:rPr>
        <w:t xml:space="preserve"> nuevas orientaciones vanguardistas. Asimismo, los casos de Portugal, España, Italia y Grecia presentan el denominador común</w:t>
      </w:r>
      <w:r w:rsidR="00857E93" w:rsidRPr="007829E5">
        <w:rPr>
          <w:rFonts w:ascii="Times New Roman" w:eastAsia="Times New Roman" w:hAnsi="Times New Roman" w:cs="Times New Roman"/>
          <w:sz w:val="24"/>
          <w:szCs w:val="24"/>
        </w:rPr>
        <w:t xml:space="preserve"> histórico basado en </w:t>
      </w:r>
      <w:r w:rsidR="00A360B4" w:rsidRPr="007829E5">
        <w:rPr>
          <w:rFonts w:ascii="Times New Roman" w:eastAsia="Times New Roman" w:hAnsi="Times New Roman" w:cs="Times New Roman"/>
          <w:sz w:val="24"/>
          <w:szCs w:val="24"/>
        </w:rPr>
        <w:t xml:space="preserve">la influencia francesa en la formulación e implementación de las políticas culturales a partir de los setenta </w:t>
      </w:r>
      <w:r w:rsidR="00320B72" w:rsidRPr="007829E5">
        <w:rPr>
          <w:rFonts w:ascii="Times New Roman" w:eastAsia="Times New Roman" w:hAnsi="Times New Roman" w:cs="Times New Roman"/>
          <w:sz w:val="24"/>
          <w:szCs w:val="24"/>
        </w:rPr>
        <w:fldChar w:fldCharType="begin"/>
      </w:r>
      <w:r w:rsidR="00320B72" w:rsidRPr="007829E5">
        <w:rPr>
          <w:rFonts w:ascii="Times New Roman" w:eastAsia="Times New Roman" w:hAnsi="Times New Roman" w:cs="Times New Roman"/>
          <w:sz w:val="24"/>
          <w:szCs w:val="24"/>
        </w:rPr>
        <w:instrText>ADDIN RW.CITE{{2066 Dal Pozzolo, Luca 1999; 1090 Rubio Arostegui, Juan Arturo 2005; 2070 Konsola,Dora 1988; 2074 Konsola,Dora 1999; 2071 Garcia,José Luís 2016}}</w:instrText>
      </w:r>
      <w:r w:rsidR="00320B72" w:rsidRPr="007829E5">
        <w:rPr>
          <w:rFonts w:ascii="Times New Roman" w:eastAsia="Times New Roman" w:hAnsi="Times New Roman" w:cs="Times New Roman"/>
          <w:sz w:val="24"/>
          <w:szCs w:val="24"/>
        </w:rPr>
        <w:fldChar w:fldCharType="separate"/>
      </w:r>
      <w:r w:rsidR="00642426" w:rsidRPr="007829E5">
        <w:rPr>
          <w:rFonts w:ascii="Times New Roman" w:eastAsia="Times New Roman" w:hAnsi="Times New Roman" w:cs="Times New Roman"/>
          <w:sz w:val="24"/>
          <w:szCs w:val="24"/>
        </w:rPr>
        <w:t>(Dal Pozzolo, 1999; Garcia et al., 2016; Konsola, 1988; Konsola, 1999; Rubio Arostegui, 2005)</w:t>
      </w:r>
      <w:r w:rsidR="00320B72" w:rsidRPr="007829E5">
        <w:rPr>
          <w:rFonts w:ascii="Times New Roman" w:eastAsia="Times New Roman" w:hAnsi="Times New Roman" w:cs="Times New Roman"/>
          <w:sz w:val="24"/>
          <w:szCs w:val="24"/>
        </w:rPr>
        <w:fldChar w:fldCharType="end"/>
      </w:r>
      <w:r w:rsidR="00320B72" w:rsidRPr="007829E5">
        <w:rPr>
          <w:rFonts w:ascii="Times New Roman" w:eastAsia="Times New Roman" w:hAnsi="Times New Roman" w:cs="Times New Roman"/>
          <w:sz w:val="24"/>
          <w:szCs w:val="24"/>
        </w:rPr>
        <w:t xml:space="preserve">. </w:t>
      </w:r>
      <w:r w:rsidR="00A360B4" w:rsidRPr="007829E5">
        <w:rPr>
          <w:rFonts w:ascii="Times New Roman" w:eastAsia="Times New Roman" w:hAnsi="Times New Roman" w:cs="Times New Roman"/>
          <w:sz w:val="24"/>
          <w:szCs w:val="24"/>
        </w:rPr>
        <w:t>Esta influencia inicial va perdiendo consistencia</w:t>
      </w:r>
      <w:r w:rsidR="00A55200" w:rsidRPr="007829E5">
        <w:rPr>
          <w:rFonts w:ascii="Times New Roman" w:eastAsia="Times New Roman" w:hAnsi="Times New Roman" w:cs="Times New Roman"/>
          <w:sz w:val="24"/>
          <w:szCs w:val="24"/>
        </w:rPr>
        <w:t xml:space="preserve"> </w:t>
      </w:r>
      <w:r w:rsidR="00A360B4" w:rsidRPr="007829E5">
        <w:rPr>
          <w:rFonts w:ascii="Times New Roman" w:eastAsia="Times New Roman" w:hAnsi="Times New Roman" w:cs="Times New Roman"/>
          <w:sz w:val="24"/>
          <w:szCs w:val="24"/>
        </w:rPr>
        <w:t>a partir de los años noventa en mayor o menor medida, comenzando a adoptarse</w:t>
      </w:r>
      <w:r w:rsidR="00A360B4" w:rsidRPr="00A55200">
        <w:rPr>
          <w:rFonts w:ascii="Times New Roman" w:eastAsia="Times New Roman" w:hAnsi="Times New Roman" w:cs="Times New Roman"/>
          <w:sz w:val="24"/>
          <w:szCs w:val="24"/>
        </w:rPr>
        <w:t xml:space="preserve"> algunos rasgos del modelo liberal de política cultural </w:t>
      </w:r>
      <w:r w:rsidR="00320B72" w:rsidRPr="00A55200">
        <w:rPr>
          <w:rFonts w:ascii="Times New Roman" w:eastAsia="Times New Roman" w:hAnsi="Times New Roman" w:cs="Times New Roman"/>
          <w:sz w:val="24"/>
          <w:szCs w:val="24"/>
        </w:rPr>
        <w:fldChar w:fldCharType="begin"/>
      </w:r>
      <w:r w:rsidR="00320B72" w:rsidRPr="00A55200">
        <w:rPr>
          <w:rFonts w:ascii="Times New Roman" w:eastAsia="Times New Roman" w:hAnsi="Times New Roman" w:cs="Times New Roman"/>
          <w:sz w:val="24"/>
          <w:szCs w:val="24"/>
        </w:rPr>
        <w:instrText>ADDIN RW.CITE{{1052 Mangset,Per 2009}}</w:instrText>
      </w:r>
      <w:r w:rsidR="00320B72" w:rsidRPr="00A55200">
        <w:rPr>
          <w:rFonts w:ascii="Times New Roman" w:eastAsia="Times New Roman" w:hAnsi="Times New Roman" w:cs="Times New Roman"/>
          <w:sz w:val="24"/>
          <w:szCs w:val="24"/>
        </w:rPr>
        <w:fldChar w:fldCharType="separate"/>
      </w:r>
      <w:r w:rsidR="00642426" w:rsidRPr="00A55200">
        <w:rPr>
          <w:rFonts w:ascii="Times New Roman" w:eastAsia="Times New Roman" w:hAnsi="Times New Roman" w:cs="Times New Roman"/>
          <w:sz w:val="24"/>
          <w:szCs w:val="24"/>
        </w:rPr>
        <w:t>(Mangset, 2009)</w:t>
      </w:r>
      <w:r w:rsidR="00320B72" w:rsidRPr="00A55200">
        <w:rPr>
          <w:rFonts w:ascii="Times New Roman" w:eastAsia="Times New Roman" w:hAnsi="Times New Roman" w:cs="Times New Roman"/>
          <w:sz w:val="24"/>
          <w:szCs w:val="24"/>
        </w:rPr>
        <w:fldChar w:fldCharType="end"/>
      </w:r>
      <w:r w:rsidR="00A360B4" w:rsidRPr="00A55200">
        <w:rPr>
          <w:rFonts w:ascii="Times New Roman" w:eastAsia="Times New Roman" w:hAnsi="Times New Roman" w:cs="Times New Roman"/>
          <w:sz w:val="24"/>
          <w:szCs w:val="24"/>
        </w:rPr>
        <w:t xml:space="preserve"> y los postulados de la Nueva Gestión Pública</w:t>
      </w:r>
      <w:r w:rsidR="00320B72" w:rsidRPr="00A55200">
        <w:rPr>
          <w:rFonts w:ascii="Times New Roman" w:eastAsia="Times New Roman" w:hAnsi="Times New Roman" w:cs="Times New Roman"/>
          <w:sz w:val="24"/>
          <w:szCs w:val="24"/>
        </w:rPr>
        <w:t xml:space="preserve"> </w:t>
      </w:r>
      <w:r w:rsidR="00320B72" w:rsidRPr="00A55200">
        <w:rPr>
          <w:rFonts w:ascii="Times New Roman" w:eastAsia="Times New Roman" w:hAnsi="Times New Roman" w:cs="Times New Roman"/>
          <w:sz w:val="24"/>
          <w:szCs w:val="24"/>
        </w:rPr>
        <w:fldChar w:fldCharType="begin"/>
      </w:r>
      <w:r w:rsidR="00320B72" w:rsidRPr="00A55200">
        <w:rPr>
          <w:rFonts w:ascii="Times New Roman" w:eastAsia="Times New Roman" w:hAnsi="Times New Roman" w:cs="Times New Roman"/>
          <w:sz w:val="24"/>
          <w:szCs w:val="24"/>
        </w:rPr>
        <w:instrText>ADDIN RW.CITE{{33 Belfiore,Eleonora 2004}}</w:instrText>
      </w:r>
      <w:r w:rsidR="00320B72" w:rsidRPr="00A55200">
        <w:rPr>
          <w:rFonts w:ascii="Times New Roman" w:eastAsia="Times New Roman" w:hAnsi="Times New Roman" w:cs="Times New Roman"/>
          <w:sz w:val="24"/>
          <w:szCs w:val="24"/>
        </w:rPr>
        <w:fldChar w:fldCharType="separate"/>
      </w:r>
      <w:r w:rsidR="00642426" w:rsidRPr="00A55200">
        <w:rPr>
          <w:rFonts w:ascii="Times New Roman" w:eastAsia="Times New Roman" w:hAnsi="Times New Roman" w:cs="Times New Roman"/>
          <w:sz w:val="24"/>
          <w:szCs w:val="24"/>
        </w:rPr>
        <w:t>(Belfiore, 2004)</w:t>
      </w:r>
      <w:r w:rsidR="00320B72" w:rsidRPr="00A55200">
        <w:rPr>
          <w:rFonts w:ascii="Times New Roman" w:eastAsia="Times New Roman" w:hAnsi="Times New Roman" w:cs="Times New Roman"/>
          <w:sz w:val="24"/>
          <w:szCs w:val="24"/>
        </w:rPr>
        <w:fldChar w:fldCharType="end"/>
      </w:r>
      <w:r w:rsidR="00320B72" w:rsidRPr="00A55200">
        <w:rPr>
          <w:rFonts w:ascii="Times New Roman" w:eastAsia="Times New Roman" w:hAnsi="Times New Roman" w:cs="Times New Roman"/>
          <w:sz w:val="24"/>
          <w:szCs w:val="24"/>
        </w:rPr>
        <w:t>.</w:t>
      </w:r>
    </w:p>
    <w:p w14:paraId="39C8DCAD" w14:textId="77777777" w:rsidR="00D34D1D" w:rsidRPr="00A55200" w:rsidRDefault="00D34D1D" w:rsidP="007829E5">
      <w:pPr>
        <w:spacing w:after="0" w:line="480" w:lineRule="auto"/>
        <w:rPr>
          <w:rFonts w:ascii="Times New Roman" w:eastAsia="Times New Roman" w:hAnsi="Times New Roman" w:cs="Times New Roman"/>
          <w:b/>
          <w:sz w:val="24"/>
          <w:szCs w:val="24"/>
        </w:rPr>
      </w:pPr>
    </w:p>
    <w:p w14:paraId="69C69935" w14:textId="77777777" w:rsidR="00DB31B1" w:rsidRPr="00A55200" w:rsidRDefault="002D7060" w:rsidP="007829E5">
      <w:pPr>
        <w:spacing w:after="0" w:line="480" w:lineRule="auto"/>
        <w:rPr>
          <w:rFonts w:ascii="Times New Roman" w:eastAsia="Times New Roman" w:hAnsi="Times New Roman" w:cs="Times New Roman"/>
          <w:b/>
          <w:sz w:val="24"/>
          <w:szCs w:val="24"/>
        </w:rPr>
      </w:pPr>
      <w:r w:rsidRPr="00A55200">
        <w:rPr>
          <w:rFonts w:ascii="Times New Roman" w:eastAsia="Times New Roman" w:hAnsi="Times New Roman" w:cs="Times New Roman"/>
          <w:b/>
          <w:sz w:val="24"/>
          <w:szCs w:val="24"/>
        </w:rPr>
        <w:t>Objeto, fuentes</w:t>
      </w:r>
      <w:r w:rsidR="00E76C5A" w:rsidRPr="00A55200">
        <w:rPr>
          <w:rFonts w:ascii="Times New Roman" w:eastAsia="Times New Roman" w:hAnsi="Times New Roman" w:cs="Times New Roman"/>
          <w:b/>
          <w:sz w:val="24"/>
          <w:szCs w:val="24"/>
        </w:rPr>
        <w:t xml:space="preserve"> de información, metodología</w:t>
      </w:r>
    </w:p>
    <w:p w14:paraId="02F08796" w14:textId="73E1270D" w:rsidR="00A360B4" w:rsidRPr="00A55200" w:rsidRDefault="00A360B4" w:rsidP="007829E5">
      <w:pPr>
        <w:spacing w:after="0" w:line="480" w:lineRule="auto"/>
        <w:rPr>
          <w:rFonts w:ascii="Times New Roman" w:eastAsia="Times New Roman" w:hAnsi="Times New Roman" w:cs="Times New Roman"/>
          <w:sz w:val="24"/>
          <w:szCs w:val="24"/>
        </w:rPr>
      </w:pPr>
      <w:r w:rsidRPr="00A55200">
        <w:rPr>
          <w:rFonts w:ascii="Times New Roman" w:eastAsia="Times New Roman" w:hAnsi="Times New Roman" w:cs="Times New Roman"/>
          <w:sz w:val="24"/>
          <w:szCs w:val="24"/>
        </w:rPr>
        <w:t>El foco del análisis de este artículo está puesto, por tanto, en la cultura institucionalizada, la cultura objetivada, la cultura que promueve el estado en sus distintos niveles de gobierno e instituciones culturales, que ha de ser socializada a través de un proceso de aprendizaje más o menos formal o no formal. Es evidente que en la sociedad global</w:t>
      </w:r>
      <w:r w:rsidR="00473B8B" w:rsidRPr="00A55200">
        <w:rPr>
          <w:rFonts w:ascii="Times New Roman" w:eastAsia="Times New Roman" w:hAnsi="Times New Roman" w:cs="Times New Roman"/>
          <w:sz w:val="24"/>
          <w:szCs w:val="24"/>
        </w:rPr>
        <w:t xml:space="preserve"> y la cultura digital es posible </w:t>
      </w:r>
      <w:r w:rsidRPr="00A55200">
        <w:rPr>
          <w:rFonts w:ascii="Times New Roman" w:eastAsia="Times New Roman" w:hAnsi="Times New Roman" w:cs="Times New Roman"/>
          <w:sz w:val="24"/>
          <w:szCs w:val="24"/>
        </w:rPr>
        <w:t xml:space="preserve">hablar de diferentes culturas más o menos </w:t>
      </w:r>
      <w:r w:rsidR="00473B8B" w:rsidRPr="00A55200">
        <w:rPr>
          <w:rFonts w:ascii="Times New Roman" w:eastAsia="Times New Roman" w:hAnsi="Times New Roman" w:cs="Times New Roman"/>
          <w:sz w:val="24"/>
          <w:szCs w:val="24"/>
        </w:rPr>
        <w:t xml:space="preserve">populares e institucionalizadas o legitimadas. </w:t>
      </w:r>
      <w:r w:rsidRPr="00A55200">
        <w:rPr>
          <w:rFonts w:ascii="Times New Roman" w:eastAsia="Times New Roman" w:hAnsi="Times New Roman" w:cs="Times New Roman"/>
          <w:sz w:val="24"/>
          <w:szCs w:val="24"/>
        </w:rPr>
        <w:t xml:space="preserve">Pero las instituciones públicas europeas (los gobiernos multinivel) desde mediados del siglo XX con distintas orientaciones de política cultural que van desde la </w:t>
      </w:r>
      <w:r w:rsidRPr="00A55200">
        <w:rPr>
          <w:rFonts w:ascii="Times New Roman" w:eastAsia="Times New Roman" w:hAnsi="Times New Roman" w:cs="Times New Roman"/>
          <w:sz w:val="24"/>
          <w:szCs w:val="24"/>
        </w:rPr>
        <w:lastRenderedPageBreak/>
        <w:t>democratización a la democracia cultural</w:t>
      </w:r>
      <w:r w:rsidR="00600FBD" w:rsidRPr="00A55200">
        <w:rPr>
          <w:rFonts w:ascii="Times New Roman" w:eastAsia="Times New Roman" w:hAnsi="Times New Roman" w:cs="Times New Roman"/>
          <w:sz w:val="24"/>
          <w:szCs w:val="24"/>
        </w:rPr>
        <w:t>,</w:t>
      </w:r>
      <w:r w:rsidRPr="00A55200">
        <w:rPr>
          <w:rFonts w:ascii="Times New Roman" w:eastAsia="Times New Roman" w:hAnsi="Times New Roman" w:cs="Times New Roman"/>
          <w:sz w:val="24"/>
          <w:szCs w:val="24"/>
        </w:rPr>
        <w:t xml:space="preserve"> han tendido a converger en fomentar, cuando no </w:t>
      </w:r>
      <w:r w:rsidR="005B6084">
        <w:rPr>
          <w:rFonts w:ascii="Times New Roman" w:eastAsia="Times New Roman" w:hAnsi="Times New Roman" w:cs="Times New Roman"/>
          <w:sz w:val="24"/>
          <w:szCs w:val="24"/>
        </w:rPr>
        <w:t xml:space="preserve">a </w:t>
      </w:r>
      <w:r w:rsidRPr="00A55200">
        <w:rPr>
          <w:rFonts w:ascii="Times New Roman" w:eastAsia="Times New Roman" w:hAnsi="Times New Roman" w:cs="Times New Roman"/>
          <w:sz w:val="24"/>
          <w:szCs w:val="24"/>
        </w:rPr>
        <w:t>proveer directamente la cultura institucionalizada: la protección y conservación del patrimonio histórico-artístico</w:t>
      </w:r>
      <w:r w:rsidR="009A1D34" w:rsidRPr="00A55200">
        <w:rPr>
          <w:rFonts w:ascii="Times New Roman" w:eastAsia="Times New Roman" w:hAnsi="Times New Roman" w:cs="Times New Roman"/>
          <w:sz w:val="24"/>
          <w:szCs w:val="24"/>
        </w:rPr>
        <w:t>,</w:t>
      </w:r>
      <w:r w:rsidRPr="00A55200">
        <w:rPr>
          <w:rFonts w:ascii="Times New Roman" w:eastAsia="Times New Roman" w:hAnsi="Times New Roman" w:cs="Times New Roman"/>
          <w:sz w:val="24"/>
          <w:szCs w:val="24"/>
        </w:rPr>
        <w:t xml:space="preserve"> artes escénicas, artes musicales, artes plásticas y </w:t>
      </w:r>
      <w:r w:rsidR="002D7060" w:rsidRPr="00A55200">
        <w:rPr>
          <w:rFonts w:ascii="Times New Roman" w:eastAsia="Times New Roman" w:hAnsi="Times New Roman" w:cs="Times New Roman"/>
          <w:sz w:val="24"/>
          <w:szCs w:val="24"/>
        </w:rPr>
        <w:t>visuales, y</w:t>
      </w:r>
      <w:r w:rsidRPr="00A55200">
        <w:rPr>
          <w:rFonts w:ascii="Times New Roman" w:eastAsia="Times New Roman" w:hAnsi="Times New Roman" w:cs="Times New Roman"/>
          <w:sz w:val="24"/>
          <w:szCs w:val="24"/>
        </w:rPr>
        <w:t xml:space="preserve"> las industrias culturales clásicas: cine y libro. Estos lenguajes artísticos con una</w:t>
      </w:r>
      <w:r w:rsidR="009A1D34" w:rsidRPr="00A55200">
        <w:rPr>
          <w:rFonts w:ascii="Times New Roman" w:eastAsia="Times New Roman" w:hAnsi="Times New Roman" w:cs="Times New Roman"/>
          <w:sz w:val="24"/>
          <w:szCs w:val="24"/>
        </w:rPr>
        <w:t xml:space="preserve"> dimensión simbólica y mercantilizada</w:t>
      </w:r>
      <w:r w:rsidR="00473B8B" w:rsidRPr="00A55200">
        <w:rPr>
          <w:rFonts w:ascii="Times New Roman" w:eastAsia="Times New Roman" w:hAnsi="Times New Roman" w:cs="Times New Roman"/>
          <w:sz w:val="24"/>
          <w:szCs w:val="24"/>
        </w:rPr>
        <w:t xml:space="preserve"> se han </w:t>
      </w:r>
      <w:r w:rsidRPr="00A55200">
        <w:rPr>
          <w:rFonts w:ascii="Times New Roman" w:eastAsia="Times New Roman" w:hAnsi="Times New Roman" w:cs="Times New Roman"/>
          <w:sz w:val="24"/>
          <w:szCs w:val="24"/>
        </w:rPr>
        <w:t>ido institucionalizando no solo a través de las políticas culturales sino también en las propias instituciones educativas como la propia universidad</w:t>
      </w:r>
      <w:r w:rsidR="005B6084" w:rsidRPr="00A55200">
        <w:rPr>
          <w:rStyle w:val="Refdenotaalfinal"/>
          <w:rFonts w:ascii="Times New Roman" w:eastAsia="Times New Roman" w:hAnsi="Times New Roman" w:cs="Times New Roman"/>
          <w:sz w:val="24"/>
          <w:szCs w:val="24"/>
        </w:rPr>
        <w:endnoteReference w:id="1"/>
      </w:r>
      <w:r w:rsidRPr="00A55200">
        <w:rPr>
          <w:rFonts w:ascii="Times New Roman" w:eastAsia="Times New Roman" w:hAnsi="Times New Roman" w:cs="Times New Roman"/>
          <w:sz w:val="24"/>
          <w:szCs w:val="24"/>
        </w:rPr>
        <w:t>. Asimismo, n</w:t>
      </w:r>
      <w:r w:rsidR="00600FBD" w:rsidRPr="00A55200">
        <w:rPr>
          <w:rFonts w:ascii="Times New Roman" w:eastAsia="Times New Roman" w:hAnsi="Times New Roman" w:cs="Times New Roman"/>
          <w:sz w:val="24"/>
          <w:szCs w:val="24"/>
        </w:rPr>
        <w:t>o podemos desdeñar el tránsito de esta cultura a</w:t>
      </w:r>
      <w:r w:rsidR="00473B8B" w:rsidRPr="00A55200">
        <w:rPr>
          <w:rFonts w:ascii="Times New Roman" w:eastAsia="Times New Roman" w:hAnsi="Times New Roman" w:cs="Times New Roman"/>
          <w:sz w:val="24"/>
          <w:szCs w:val="24"/>
        </w:rPr>
        <w:t xml:space="preserve">nalógica al paradigma de lo </w:t>
      </w:r>
      <w:r w:rsidRPr="00A55200">
        <w:rPr>
          <w:rFonts w:ascii="Times New Roman" w:eastAsia="Times New Roman" w:hAnsi="Times New Roman" w:cs="Times New Roman"/>
          <w:sz w:val="24"/>
          <w:szCs w:val="24"/>
        </w:rPr>
        <w:t>digital en</w:t>
      </w:r>
      <w:r w:rsidR="00473B8B" w:rsidRPr="00A55200">
        <w:rPr>
          <w:rFonts w:ascii="Times New Roman" w:eastAsia="Times New Roman" w:hAnsi="Times New Roman" w:cs="Times New Roman"/>
          <w:sz w:val="24"/>
          <w:szCs w:val="24"/>
        </w:rPr>
        <w:t xml:space="preserve"> esta cultura legítima</w:t>
      </w:r>
      <w:r w:rsidRPr="00A55200">
        <w:rPr>
          <w:rFonts w:ascii="Times New Roman" w:eastAsia="Times New Roman" w:hAnsi="Times New Roman" w:cs="Times New Roman"/>
          <w:sz w:val="24"/>
          <w:szCs w:val="24"/>
        </w:rPr>
        <w:t xml:space="preserve"> pues es evidente que la comunicación con los públicos de cualquier equipamiento </w:t>
      </w:r>
      <w:r w:rsidR="001C3BEA" w:rsidRPr="00A55200">
        <w:rPr>
          <w:rFonts w:ascii="Times New Roman" w:eastAsia="Times New Roman" w:hAnsi="Times New Roman" w:cs="Times New Roman"/>
          <w:sz w:val="24"/>
          <w:szCs w:val="24"/>
        </w:rPr>
        <w:t xml:space="preserve">hoy en día </w:t>
      </w:r>
      <w:r w:rsidRPr="00A55200">
        <w:rPr>
          <w:rFonts w:ascii="Times New Roman" w:eastAsia="Times New Roman" w:hAnsi="Times New Roman" w:cs="Times New Roman"/>
          <w:sz w:val="24"/>
          <w:szCs w:val="24"/>
        </w:rPr>
        <w:t>es a través de la tecnolog</w:t>
      </w:r>
      <w:r w:rsidR="001C3BEA" w:rsidRPr="00A55200">
        <w:rPr>
          <w:rFonts w:ascii="Times New Roman" w:eastAsia="Times New Roman" w:hAnsi="Times New Roman" w:cs="Times New Roman"/>
          <w:sz w:val="24"/>
          <w:szCs w:val="24"/>
        </w:rPr>
        <w:t>ía digital tal como hemos</w:t>
      </w:r>
      <w:r w:rsidR="00387061" w:rsidRPr="00A55200">
        <w:rPr>
          <w:rFonts w:ascii="Times New Roman" w:eastAsia="Times New Roman" w:hAnsi="Times New Roman" w:cs="Times New Roman"/>
          <w:sz w:val="24"/>
          <w:szCs w:val="24"/>
        </w:rPr>
        <w:t xml:space="preserve"> analizado en los teatros públicos en España</w:t>
      </w:r>
      <w:r w:rsidR="00314B78" w:rsidRPr="00A55200">
        <w:rPr>
          <w:rFonts w:ascii="Times New Roman" w:eastAsia="Times New Roman" w:hAnsi="Times New Roman" w:cs="Times New Roman"/>
          <w:sz w:val="24"/>
          <w:szCs w:val="24"/>
        </w:rPr>
        <w:t xml:space="preserve"> </w:t>
      </w:r>
      <w:r w:rsidR="00314B78" w:rsidRPr="00A55200">
        <w:rPr>
          <w:rFonts w:ascii="Times New Roman" w:eastAsia="Times New Roman" w:hAnsi="Times New Roman" w:cs="Times New Roman"/>
          <w:sz w:val="24"/>
          <w:szCs w:val="24"/>
        </w:rPr>
        <w:fldChar w:fldCharType="begin"/>
      </w:r>
      <w:r w:rsidR="00314B78" w:rsidRPr="00A55200">
        <w:rPr>
          <w:rFonts w:ascii="Times New Roman" w:eastAsia="Times New Roman" w:hAnsi="Times New Roman" w:cs="Times New Roman"/>
          <w:sz w:val="24"/>
          <w:szCs w:val="24"/>
        </w:rPr>
        <w:instrText>ADDIN RW.CITE{{2381 Rubio Arostegui, Juan Arturo 2018}}</w:instrText>
      </w:r>
      <w:r w:rsidR="00314B78" w:rsidRPr="00A55200">
        <w:rPr>
          <w:rFonts w:ascii="Times New Roman" w:eastAsia="Times New Roman" w:hAnsi="Times New Roman" w:cs="Times New Roman"/>
          <w:sz w:val="24"/>
          <w:szCs w:val="24"/>
        </w:rPr>
        <w:fldChar w:fldCharType="separate"/>
      </w:r>
      <w:r w:rsidR="00642426" w:rsidRPr="00A55200">
        <w:rPr>
          <w:rFonts w:ascii="Times New Roman" w:eastAsia="Times New Roman" w:hAnsi="Times New Roman" w:cs="Times New Roman"/>
          <w:sz w:val="24"/>
          <w:szCs w:val="24"/>
        </w:rPr>
        <w:t>(Rubio Arostegui y Rius-Ulldemolins, 2018)</w:t>
      </w:r>
      <w:r w:rsidR="00314B78" w:rsidRPr="00A55200">
        <w:rPr>
          <w:rFonts w:ascii="Times New Roman" w:eastAsia="Times New Roman" w:hAnsi="Times New Roman" w:cs="Times New Roman"/>
          <w:sz w:val="24"/>
          <w:szCs w:val="24"/>
        </w:rPr>
        <w:fldChar w:fldCharType="end"/>
      </w:r>
      <w:r w:rsidR="00387061" w:rsidRPr="00A55200">
        <w:rPr>
          <w:rFonts w:ascii="Times New Roman" w:eastAsia="Times New Roman" w:hAnsi="Times New Roman" w:cs="Times New Roman"/>
          <w:sz w:val="24"/>
          <w:szCs w:val="24"/>
        </w:rPr>
        <w:t>.</w:t>
      </w:r>
    </w:p>
    <w:p w14:paraId="608E263C" w14:textId="77777777" w:rsidR="00A360B4" w:rsidRPr="00A55200" w:rsidRDefault="00A360B4" w:rsidP="007829E5">
      <w:pPr>
        <w:spacing w:after="0" w:line="480" w:lineRule="auto"/>
        <w:rPr>
          <w:rFonts w:ascii="Times New Roman" w:eastAsia="Times New Roman" w:hAnsi="Times New Roman" w:cs="Times New Roman"/>
          <w:sz w:val="24"/>
          <w:szCs w:val="24"/>
        </w:rPr>
      </w:pPr>
      <w:r w:rsidRPr="00A55200">
        <w:rPr>
          <w:rFonts w:ascii="Times New Roman" w:eastAsia="Times New Roman" w:hAnsi="Times New Roman" w:cs="Times New Roman"/>
          <w:sz w:val="24"/>
          <w:szCs w:val="24"/>
        </w:rPr>
        <w:t>Así, nuestro propósito es el de testar en primer lugar cómo el impacto de la crisis global ha afectado a la cultura promovida en los estados europeos del sur que tienen un modelo propio de política cultural difer</w:t>
      </w:r>
      <w:r w:rsidR="00EA0AE8" w:rsidRPr="00A55200">
        <w:rPr>
          <w:rFonts w:ascii="Times New Roman" w:eastAsia="Times New Roman" w:hAnsi="Times New Roman" w:cs="Times New Roman"/>
          <w:sz w:val="24"/>
          <w:szCs w:val="24"/>
        </w:rPr>
        <w:t>enciado</w:t>
      </w:r>
      <w:r w:rsidR="00A55200">
        <w:rPr>
          <w:rFonts w:ascii="Times New Roman" w:eastAsia="Times New Roman" w:hAnsi="Times New Roman" w:cs="Times New Roman"/>
          <w:sz w:val="24"/>
          <w:szCs w:val="24"/>
        </w:rPr>
        <w:t xml:space="preserve"> </w:t>
      </w:r>
      <w:r w:rsidR="00EA0AE8" w:rsidRPr="00A55200">
        <w:rPr>
          <w:rFonts w:ascii="Times New Roman" w:eastAsia="Times New Roman" w:hAnsi="Times New Roman" w:cs="Times New Roman"/>
          <w:sz w:val="24"/>
          <w:szCs w:val="24"/>
        </w:rPr>
        <w:t>(Rubio-Arostegui y</w:t>
      </w:r>
      <w:r w:rsidR="001549D3" w:rsidRPr="00A55200">
        <w:rPr>
          <w:rFonts w:ascii="Times New Roman" w:eastAsia="Times New Roman" w:hAnsi="Times New Roman" w:cs="Times New Roman"/>
          <w:sz w:val="24"/>
          <w:szCs w:val="24"/>
        </w:rPr>
        <w:t xml:space="preserve"> Rius-</w:t>
      </w:r>
      <w:r w:rsidRPr="00A55200">
        <w:rPr>
          <w:rFonts w:ascii="Times New Roman" w:eastAsia="Times New Roman" w:hAnsi="Times New Roman" w:cs="Times New Roman"/>
          <w:sz w:val="24"/>
          <w:szCs w:val="24"/>
        </w:rPr>
        <w:t>Ulldemolins, 2018) del nórdico, central y liberal, ciñéndonos en la dimensión de la participación cultural, tratando de encontrar, en segundo lugar, cómo otras variables de la propia política cultural consolidan un entorno institucional constreñido que hace difícil un proceso de europeización en</w:t>
      </w:r>
      <w:r w:rsidR="00A55200">
        <w:rPr>
          <w:rFonts w:ascii="Times New Roman" w:eastAsia="Times New Roman" w:hAnsi="Times New Roman" w:cs="Times New Roman"/>
          <w:sz w:val="24"/>
          <w:szCs w:val="24"/>
        </w:rPr>
        <w:t xml:space="preserve"> </w:t>
      </w:r>
      <w:r w:rsidRPr="00A55200">
        <w:rPr>
          <w:rFonts w:ascii="Times New Roman" w:eastAsia="Times New Roman" w:hAnsi="Times New Roman" w:cs="Times New Roman"/>
          <w:sz w:val="24"/>
          <w:szCs w:val="24"/>
        </w:rPr>
        <w:t>la vida cultural de los países del sur de Europa analizados. En la literatura sociol</w:t>
      </w:r>
      <w:r w:rsidR="00C2669C" w:rsidRPr="00A55200">
        <w:rPr>
          <w:rFonts w:ascii="Times New Roman" w:eastAsia="Times New Roman" w:hAnsi="Times New Roman" w:cs="Times New Roman"/>
          <w:sz w:val="24"/>
          <w:szCs w:val="24"/>
        </w:rPr>
        <w:t>ógica sobre el consumo cultura</w:t>
      </w:r>
      <w:r w:rsidR="001017FB" w:rsidRPr="00A55200">
        <w:rPr>
          <w:rFonts w:ascii="Times New Roman" w:eastAsia="Times New Roman" w:hAnsi="Times New Roman" w:cs="Times New Roman"/>
          <w:sz w:val="24"/>
          <w:szCs w:val="24"/>
        </w:rPr>
        <w:t>l</w:t>
      </w:r>
      <w:r w:rsidR="00314B78" w:rsidRPr="00A55200">
        <w:rPr>
          <w:rFonts w:ascii="Times New Roman" w:eastAsia="Times New Roman" w:hAnsi="Times New Roman" w:cs="Times New Roman"/>
          <w:sz w:val="24"/>
          <w:szCs w:val="24"/>
        </w:rPr>
        <w:t xml:space="preserve"> </w:t>
      </w:r>
      <w:r w:rsidR="00314B78" w:rsidRPr="00A55200">
        <w:rPr>
          <w:rFonts w:ascii="Times New Roman" w:eastAsia="Times New Roman" w:hAnsi="Times New Roman" w:cs="Times New Roman"/>
          <w:sz w:val="24"/>
          <w:szCs w:val="24"/>
        </w:rPr>
        <w:fldChar w:fldCharType="begin"/>
      </w:r>
      <w:r w:rsidR="00314B78" w:rsidRPr="00A55200">
        <w:rPr>
          <w:rFonts w:ascii="Times New Roman" w:eastAsia="Times New Roman" w:hAnsi="Times New Roman" w:cs="Times New Roman"/>
          <w:sz w:val="24"/>
          <w:szCs w:val="24"/>
        </w:rPr>
        <w:instrText>ADDIN RW.CITE{{2273 Coulangeon,Philippe 2013;1045 Ariño Villarroya,Antonio 2010; 736 Donnat, Olivier 2004; 2494 Roose,Henk 2012}}</w:instrText>
      </w:r>
      <w:r w:rsidR="00314B78" w:rsidRPr="00A55200">
        <w:rPr>
          <w:rFonts w:ascii="Times New Roman" w:eastAsia="Times New Roman" w:hAnsi="Times New Roman" w:cs="Times New Roman"/>
          <w:sz w:val="24"/>
          <w:szCs w:val="24"/>
        </w:rPr>
        <w:fldChar w:fldCharType="separate"/>
      </w:r>
      <w:r w:rsidR="00473B8B" w:rsidRPr="00A55200">
        <w:rPr>
          <w:rFonts w:ascii="Times New Roman" w:eastAsia="Times New Roman" w:hAnsi="Times New Roman" w:cs="Times New Roman"/>
          <w:sz w:val="24"/>
          <w:szCs w:val="24"/>
        </w:rPr>
        <w:t>(Ariño Villarroya, 2010;</w:t>
      </w:r>
      <w:r w:rsidR="00A55200">
        <w:rPr>
          <w:rFonts w:ascii="Times New Roman" w:eastAsia="Times New Roman" w:hAnsi="Times New Roman" w:cs="Times New Roman"/>
          <w:sz w:val="24"/>
          <w:szCs w:val="24"/>
        </w:rPr>
        <w:t xml:space="preserve"> </w:t>
      </w:r>
      <w:r w:rsidR="00642426" w:rsidRPr="00A55200">
        <w:rPr>
          <w:rFonts w:ascii="Times New Roman" w:eastAsia="Times New Roman" w:hAnsi="Times New Roman" w:cs="Times New Roman"/>
          <w:sz w:val="24"/>
          <w:szCs w:val="24"/>
        </w:rPr>
        <w:t>Coulangeon y Duval, 2013; Donnat, 2004; Roose et al., 2012)</w:t>
      </w:r>
      <w:r w:rsidR="00314B78" w:rsidRPr="00A55200">
        <w:rPr>
          <w:rFonts w:ascii="Times New Roman" w:eastAsia="Times New Roman" w:hAnsi="Times New Roman" w:cs="Times New Roman"/>
          <w:sz w:val="24"/>
          <w:szCs w:val="24"/>
        </w:rPr>
        <w:fldChar w:fldCharType="end"/>
      </w:r>
      <w:r w:rsidR="00473B8B" w:rsidRPr="00A55200">
        <w:rPr>
          <w:rFonts w:ascii="Times New Roman" w:eastAsia="Times New Roman" w:hAnsi="Times New Roman" w:cs="Times New Roman"/>
          <w:sz w:val="24"/>
          <w:szCs w:val="24"/>
        </w:rPr>
        <w:t xml:space="preserve"> </w:t>
      </w:r>
      <w:r w:rsidRPr="00A55200">
        <w:rPr>
          <w:rFonts w:ascii="Times New Roman" w:eastAsia="Times New Roman" w:hAnsi="Times New Roman" w:cs="Times New Roman"/>
          <w:sz w:val="24"/>
          <w:szCs w:val="24"/>
        </w:rPr>
        <w:t xml:space="preserve">hay un relativo consenso sobre qué variables son las que condicionan el consumo como </w:t>
      </w:r>
      <w:r w:rsidR="00473B8B" w:rsidRPr="00A55200">
        <w:rPr>
          <w:rFonts w:ascii="Times New Roman" w:eastAsia="Times New Roman" w:hAnsi="Times New Roman" w:cs="Times New Roman"/>
          <w:sz w:val="24"/>
          <w:szCs w:val="24"/>
        </w:rPr>
        <w:t xml:space="preserve">en mayor medida </w:t>
      </w:r>
      <w:r w:rsidRPr="00A55200">
        <w:rPr>
          <w:rFonts w:ascii="Times New Roman" w:eastAsia="Times New Roman" w:hAnsi="Times New Roman" w:cs="Times New Roman"/>
          <w:sz w:val="24"/>
          <w:szCs w:val="24"/>
        </w:rPr>
        <w:t xml:space="preserve">es el nivel </w:t>
      </w:r>
      <w:r w:rsidR="00245B1D" w:rsidRPr="00A55200">
        <w:rPr>
          <w:rFonts w:ascii="Times New Roman" w:eastAsia="Times New Roman" w:hAnsi="Times New Roman" w:cs="Times New Roman"/>
          <w:sz w:val="24"/>
          <w:szCs w:val="24"/>
        </w:rPr>
        <w:t xml:space="preserve">de estudios (capital educativo) </w:t>
      </w:r>
      <w:r w:rsidR="00473B8B" w:rsidRPr="00A55200">
        <w:rPr>
          <w:rFonts w:ascii="Times New Roman" w:eastAsia="Times New Roman" w:hAnsi="Times New Roman" w:cs="Times New Roman"/>
          <w:sz w:val="24"/>
          <w:szCs w:val="24"/>
        </w:rPr>
        <w:t xml:space="preserve">y en menor medida, </w:t>
      </w:r>
      <w:r w:rsidRPr="00A55200">
        <w:rPr>
          <w:rFonts w:ascii="Times New Roman" w:eastAsia="Times New Roman" w:hAnsi="Times New Roman" w:cs="Times New Roman"/>
          <w:sz w:val="24"/>
          <w:szCs w:val="24"/>
        </w:rPr>
        <w:t>la residencia en entornos urbanos, el género y la ocupación profesional. En este artículo, por el contrario, acudimos a otras variables de</w:t>
      </w:r>
      <w:r w:rsidR="00600FBD" w:rsidRPr="00A55200">
        <w:rPr>
          <w:rFonts w:ascii="Times New Roman" w:eastAsia="Times New Roman" w:hAnsi="Times New Roman" w:cs="Times New Roman"/>
          <w:sz w:val="24"/>
          <w:szCs w:val="24"/>
        </w:rPr>
        <w:t xml:space="preserve">l entorno institucional </w:t>
      </w:r>
      <w:r w:rsidRPr="00A55200">
        <w:rPr>
          <w:rFonts w:ascii="Times New Roman" w:eastAsia="Times New Roman" w:hAnsi="Times New Roman" w:cs="Times New Roman"/>
          <w:sz w:val="24"/>
          <w:szCs w:val="24"/>
        </w:rPr>
        <w:t>que repercuten directamente en el consumo cultur</w:t>
      </w:r>
      <w:r w:rsidR="00600FBD" w:rsidRPr="00A55200">
        <w:rPr>
          <w:rFonts w:ascii="Times New Roman" w:eastAsia="Times New Roman" w:hAnsi="Times New Roman" w:cs="Times New Roman"/>
          <w:sz w:val="24"/>
          <w:szCs w:val="24"/>
        </w:rPr>
        <w:t>al como son en primer lugar,</w:t>
      </w:r>
      <w:r w:rsidR="00A55200">
        <w:rPr>
          <w:rFonts w:ascii="Times New Roman" w:eastAsia="Times New Roman" w:hAnsi="Times New Roman" w:cs="Times New Roman"/>
          <w:sz w:val="24"/>
          <w:szCs w:val="24"/>
        </w:rPr>
        <w:t xml:space="preserve"> </w:t>
      </w:r>
      <w:r w:rsidR="00600FBD" w:rsidRPr="00A55200">
        <w:rPr>
          <w:rFonts w:ascii="Times New Roman" w:eastAsia="Times New Roman" w:hAnsi="Times New Roman" w:cs="Times New Roman"/>
          <w:sz w:val="24"/>
          <w:szCs w:val="24"/>
        </w:rPr>
        <w:t>los índices de las</w:t>
      </w:r>
      <w:r w:rsidRPr="00A55200">
        <w:rPr>
          <w:rFonts w:ascii="Times New Roman" w:eastAsia="Times New Roman" w:hAnsi="Times New Roman" w:cs="Times New Roman"/>
          <w:sz w:val="24"/>
          <w:szCs w:val="24"/>
        </w:rPr>
        <w:t xml:space="preserve"> práctica</w:t>
      </w:r>
      <w:r w:rsidR="00600FBD" w:rsidRPr="00A55200">
        <w:rPr>
          <w:rFonts w:ascii="Times New Roman" w:eastAsia="Times New Roman" w:hAnsi="Times New Roman" w:cs="Times New Roman"/>
          <w:sz w:val="24"/>
          <w:szCs w:val="24"/>
        </w:rPr>
        <w:t>s</w:t>
      </w:r>
      <w:r w:rsidRPr="00A55200">
        <w:rPr>
          <w:rFonts w:ascii="Times New Roman" w:eastAsia="Times New Roman" w:hAnsi="Times New Roman" w:cs="Times New Roman"/>
          <w:sz w:val="24"/>
          <w:szCs w:val="24"/>
        </w:rPr>
        <w:t xml:space="preserve"> cultural</w:t>
      </w:r>
      <w:r w:rsidR="00600FBD" w:rsidRPr="00A55200">
        <w:rPr>
          <w:rFonts w:ascii="Times New Roman" w:eastAsia="Times New Roman" w:hAnsi="Times New Roman" w:cs="Times New Roman"/>
          <w:sz w:val="24"/>
          <w:szCs w:val="24"/>
        </w:rPr>
        <w:t>es</w:t>
      </w:r>
      <w:r w:rsidRPr="00A55200">
        <w:rPr>
          <w:rFonts w:ascii="Times New Roman" w:eastAsia="Times New Roman" w:hAnsi="Times New Roman" w:cs="Times New Roman"/>
          <w:sz w:val="24"/>
          <w:szCs w:val="24"/>
        </w:rPr>
        <w:t>, la gobernanza y eficiencia de los equipamientos culturales, en segundo lugar, y el sistema educativo, en tercer lugar, no en tanto como recurso explicativo del consumo</w:t>
      </w:r>
      <w:r w:rsidR="00600FBD" w:rsidRPr="00A55200">
        <w:rPr>
          <w:rFonts w:ascii="Times New Roman" w:eastAsia="Times New Roman" w:hAnsi="Times New Roman" w:cs="Times New Roman"/>
          <w:sz w:val="24"/>
          <w:szCs w:val="24"/>
        </w:rPr>
        <w:t xml:space="preserve">, como mostrar </w:t>
      </w:r>
      <w:r w:rsidR="00600FBD" w:rsidRPr="00A55200">
        <w:rPr>
          <w:rFonts w:ascii="Times New Roman" w:eastAsia="Times New Roman" w:hAnsi="Times New Roman" w:cs="Times New Roman"/>
          <w:sz w:val="24"/>
          <w:szCs w:val="24"/>
        </w:rPr>
        <w:lastRenderedPageBreak/>
        <w:t>de</w:t>
      </w:r>
      <w:r w:rsidR="00A55200">
        <w:rPr>
          <w:rFonts w:ascii="Times New Roman" w:eastAsia="Times New Roman" w:hAnsi="Times New Roman" w:cs="Times New Roman"/>
          <w:sz w:val="24"/>
          <w:szCs w:val="24"/>
        </w:rPr>
        <w:t xml:space="preserve"> </w:t>
      </w:r>
      <w:r w:rsidRPr="00A55200">
        <w:rPr>
          <w:rFonts w:ascii="Times New Roman" w:eastAsia="Times New Roman" w:hAnsi="Times New Roman" w:cs="Times New Roman"/>
          <w:sz w:val="24"/>
          <w:szCs w:val="24"/>
        </w:rPr>
        <w:t>modo muy limitado algunas características</w:t>
      </w:r>
      <w:r w:rsidR="00C94D13" w:rsidRPr="00A55200">
        <w:rPr>
          <w:rFonts w:ascii="Times New Roman" w:eastAsia="Times New Roman" w:hAnsi="Times New Roman" w:cs="Times New Roman"/>
          <w:sz w:val="24"/>
          <w:szCs w:val="24"/>
        </w:rPr>
        <w:t xml:space="preserve"> que ofrecen resistencia</w:t>
      </w:r>
      <w:r w:rsidR="00600FBD" w:rsidRPr="00A55200">
        <w:rPr>
          <w:rFonts w:ascii="Times New Roman" w:eastAsia="Times New Roman" w:hAnsi="Times New Roman" w:cs="Times New Roman"/>
          <w:sz w:val="24"/>
          <w:szCs w:val="24"/>
        </w:rPr>
        <w:t>s</w:t>
      </w:r>
      <w:r w:rsidR="00C94D13" w:rsidRPr="00A55200">
        <w:rPr>
          <w:rFonts w:ascii="Times New Roman" w:eastAsia="Times New Roman" w:hAnsi="Times New Roman" w:cs="Times New Roman"/>
          <w:sz w:val="24"/>
          <w:szCs w:val="24"/>
        </w:rPr>
        <w:t xml:space="preserve"> al cambio y al progreso en los países del sur y</w:t>
      </w:r>
      <w:r w:rsidR="00A55200">
        <w:rPr>
          <w:rFonts w:ascii="Times New Roman" w:eastAsia="Times New Roman" w:hAnsi="Times New Roman" w:cs="Times New Roman"/>
          <w:sz w:val="24"/>
          <w:szCs w:val="24"/>
        </w:rPr>
        <w:t xml:space="preserve"> </w:t>
      </w:r>
      <w:r w:rsidRPr="00A55200">
        <w:rPr>
          <w:rFonts w:ascii="Times New Roman" w:eastAsia="Times New Roman" w:hAnsi="Times New Roman" w:cs="Times New Roman"/>
          <w:sz w:val="24"/>
          <w:szCs w:val="24"/>
        </w:rPr>
        <w:t xml:space="preserve">que pueden ser objeto de un análisis más profundo en trabajos futuros. </w:t>
      </w:r>
    </w:p>
    <w:p w14:paraId="485DB419" w14:textId="013AF473" w:rsidR="00EF00F0" w:rsidRPr="00A55200" w:rsidRDefault="00A360B4" w:rsidP="007829E5">
      <w:pPr>
        <w:spacing w:after="0" w:line="480" w:lineRule="auto"/>
        <w:rPr>
          <w:rFonts w:ascii="Times New Roman" w:eastAsia="Times New Roman" w:hAnsi="Times New Roman" w:cs="Times New Roman"/>
          <w:sz w:val="24"/>
          <w:szCs w:val="24"/>
        </w:rPr>
      </w:pPr>
      <w:r w:rsidRPr="00A55200">
        <w:rPr>
          <w:rFonts w:ascii="Times New Roman" w:eastAsia="Times New Roman" w:hAnsi="Times New Roman" w:cs="Times New Roman"/>
          <w:sz w:val="24"/>
          <w:szCs w:val="24"/>
        </w:rPr>
        <w:t xml:space="preserve"> </w:t>
      </w:r>
      <w:r w:rsidR="00314B78" w:rsidRPr="00A55200">
        <w:rPr>
          <w:rFonts w:ascii="Times New Roman" w:eastAsia="Times New Roman" w:hAnsi="Times New Roman" w:cs="Times New Roman"/>
          <w:sz w:val="24"/>
          <w:szCs w:val="24"/>
        </w:rPr>
        <w:tab/>
      </w:r>
      <w:r w:rsidRPr="00A55200">
        <w:rPr>
          <w:rFonts w:ascii="Times New Roman" w:eastAsia="Times New Roman" w:hAnsi="Times New Roman" w:cs="Times New Roman"/>
          <w:sz w:val="24"/>
          <w:szCs w:val="24"/>
        </w:rPr>
        <w:t xml:space="preserve">Aunque los recortes en las instituciones y programas culturales y las políticas de fomento básicas </w:t>
      </w:r>
      <w:r w:rsidR="00D251BE">
        <w:rPr>
          <w:rFonts w:ascii="Times New Roman" w:eastAsia="Times New Roman" w:hAnsi="Times New Roman" w:cs="Times New Roman"/>
          <w:sz w:val="24"/>
          <w:szCs w:val="24"/>
        </w:rPr>
        <w:t xml:space="preserve">a través de la herramienta de </w:t>
      </w:r>
      <w:r w:rsidRPr="00D251BE">
        <w:rPr>
          <w:rFonts w:ascii="Times New Roman" w:eastAsia="Times New Roman" w:hAnsi="Times New Roman" w:cs="Times New Roman"/>
          <w:sz w:val="24"/>
          <w:szCs w:val="24"/>
        </w:rPr>
        <w:t xml:space="preserve"> la subvención</w:t>
      </w:r>
      <w:r w:rsidRPr="00A55200">
        <w:rPr>
          <w:rFonts w:ascii="Times New Roman" w:eastAsia="Times New Roman" w:hAnsi="Times New Roman" w:cs="Times New Roman"/>
          <w:sz w:val="24"/>
          <w:szCs w:val="24"/>
        </w:rPr>
        <w:t xml:space="preserve"> han tenido lugar en toda Europa, podemos avanzar que los efectos y el impacto del recorte público son mayores en los países del sur de Europa que en la media de la Unión Europa.</w:t>
      </w:r>
      <w:r w:rsidR="00A55200">
        <w:rPr>
          <w:rFonts w:ascii="Times New Roman" w:eastAsia="Times New Roman" w:hAnsi="Times New Roman" w:cs="Times New Roman"/>
          <w:sz w:val="24"/>
          <w:szCs w:val="24"/>
        </w:rPr>
        <w:t xml:space="preserve"> </w:t>
      </w:r>
      <w:r w:rsidRPr="00A55200">
        <w:rPr>
          <w:rFonts w:ascii="Times New Roman" w:eastAsia="Times New Roman" w:hAnsi="Times New Roman" w:cs="Times New Roman"/>
          <w:sz w:val="24"/>
          <w:szCs w:val="24"/>
        </w:rPr>
        <w:t>Tal como muestran los datos, la crisis de 2008 tiene un efecto correlativo en la participación cultural, profundizando si cabe las diferencias entre los países del sur de Europa sobre el resto de las democracias europeas occidentales. Si atendemos a una de las dimensiones de la participación como es el consumo cultural podemos observar a través de la construcción de un indicador sintético que la caída del consumo cultural tras la crisis global de 2008 es un fenómeno común en toda Europa, si bi</w:t>
      </w:r>
      <w:r w:rsidR="004C77B9" w:rsidRPr="00A55200">
        <w:rPr>
          <w:rFonts w:ascii="Times New Roman" w:eastAsia="Times New Roman" w:hAnsi="Times New Roman" w:cs="Times New Roman"/>
          <w:sz w:val="24"/>
          <w:szCs w:val="24"/>
        </w:rPr>
        <w:t xml:space="preserve">en </w:t>
      </w:r>
      <w:r w:rsidR="00600FBD" w:rsidRPr="00A55200">
        <w:rPr>
          <w:rFonts w:ascii="Times New Roman" w:eastAsia="Times New Roman" w:hAnsi="Times New Roman" w:cs="Times New Roman"/>
          <w:sz w:val="24"/>
          <w:szCs w:val="24"/>
        </w:rPr>
        <w:t>es porcentualmente más decreciente</w:t>
      </w:r>
      <w:r w:rsidRPr="00A55200">
        <w:rPr>
          <w:rFonts w:ascii="Times New Roman" w:eastAsia="Times New Roman" w:hAnsi="Times New Roman" w:cs="Times New Roman"/>
          <w:sz w:val="24"/>
          <w:szCs w:val="24"/>
        </w:rPr>
        <w:t xml:space="preserve"> en los países del sur. Este indicador sintético se ha construido a partir de las encuestas europeas</w:t>
      </w:r>
      <w:r w:rsidR="00D251BE">
        <w:rPr>
          <w:rFonts w:ascii="Times New Roman" w:eastAsia="Times New Roman" w:hAnsi="Times New Roman" w:cs="Times New Roman"/>
          <w:sz w:val="24"/>
          <w:szCs w:val="24"/>
        </w:rPr>
        <w:t xml:space="preserve"> (Eurobarometros de 2007, año anterior a la crisis y 2013) </w:t>
      </w:r>
      <w:r w:rsidRPr="00A55200">
        <w:rPr>
          <w:rFonts w:ascii="Times New Roman" w:eastAsia="Times New Roman" w:hAnsi="Times New Roman" w:cs="Times New Roman"/>
          <w:sz w:val="24"/>
          <w:szCs w:val="24"/>
        </w:rPr>
        <w:t xml:space="preserve"> sobre la pregunta de la percepción de los europeos de al menos haber consumido al </w:t>
      </w:r>
      <w:r w:rsidR="002D7060" w:rsidRPr="00A55200">
        <w:rPr>
          <w:rFonts w:ascii="Times New Roman" w:eastAsia="Times New Roman" w:hAnsi="Times New Roman" w:cs="Times New Roman"/>
          <w:sz w:val="24"/>
          <w:szCs w:val="24"/>
        </w:rPr>
        <w:t>menos una</w:t>
      </w:r>
      <w:r w:rsidRPr="00A55200">
        <w:rPr>
          <w:rFonts w:ascii="Times New Roman" w:eastAsia="Times New Roman" w:hAnsi="Times New Roman" w:cs="Times New Roman"/>
          <w:sz w:val="24"/>
          <w:szCs w:val="24"/>
        </w:rPr>
        <w:t xml:space="preserve"> vez en el último año sobre los siguientes campos de actividad</w:t>
      </w:r>
      <w:r w:rsidRPr="00A55200">
        <w:rPr>
          <w:rStyle w:val="Refdenotaalfinal"/>
          <w:rFonts w:ascii="Times New Roman" w:eastAsia="Times New Roman" w:hAnsi="Times New Roman" w:cs="Times New Roman"/>
          <w:sz w:val="24"/>
          <w:szCs w:val="24"/>
        </w:rPr>
        <w:endnoteReference w:id="2"/>
      </w:r>
      <w:r w:rsidRPr="00A55200">
        <w:rPr>
          <w:rFonts w:ascii="Times New Roman" w:eastAsia="Times New Roman" w:hAnsi="Times New Roman" w:cs="Times New Roman"/>
          <w:sz w:val="24"/>
          <w:szCs w:val="24"/>
        </w:rPr>
        <w:t xml:space="preserve">: a) visitas a galerías y museos, b) lectura de libros, c) visitas a las bibliotecas públicas, d) asistencia a conciertos, e) asistencia al </w:t>
      </w:r>
      <w:r w:rsidR="002D7060" w:rsidRPr="00A55200">
        <w:rPr>
          <w:rFonts w:ascii="Times New Roman" w:eastAsia="Times New Roman" w:hAnsi="Times New Roman" w:cs="Times New Roman"/>
          <w:sz w:val="24"/>
          <w:szCs w:val="24"/>
        </w:rPr>
        <w:t>teatro, d</w:t>
      </w:r>
      <w:r w:rsidRPr="00A55200">
        <w:rPr>
          <w:rFonts w:ascii="Times New Roman" w:eastAsia="Times New Roman" w:hAnsi="Times New Roman" w:cs="Times New Roman"/>
          <w:sz w:val="24"/>
          <w:szCs w:val="24"/>
        </w:rPr>
        <w:t xml:space="preserve">) asistencia al cine y e) asistencia a la ópera y danza. </w:t>
      </w:r>
    </w:p>
    <w:p w14:paraId="4DD30DEE" w14:textId="103E94A3" w:rsidR="00A360B4" w:rsidRPr="00A55200" w:rsidRDefault="00D251BE" w:rsidP="007829E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Dicho indicador  promedia </w:t>
      </w:r>
      <w:r w:rsidR="002D7060" w:rsidRPr="00A55200">
        <w:rPr>
          <w:rFonts w:ascii="Times New Roman" w:eastAsia="Times New Roman" w:hAnsi="Times New Roman" w:cs="Times New Roman"/>
          <w:sz w:val="24"/>
          <w:szCs w:val="24"/>
        </w:rPr>
        <w:t>la</w:t>
      </w:r>
      <w:r w:rsidR="00A360B4" w:rsidRPr="00A55200">
        <w:rPr>
          <w:rFonts w:ascii="Times New Roman" w:eastAsia="Times New Roman" w:hAnsi="Times New Roman" w:cs="Times New Roman"/>
          <w:sz w:val="24"/>
          <w:szCs w:val="24"/>
        </w:rPr>
        <w:t xml:space="preserve"> </w:t>
      </w:r>
      <w:r w:rsidR="002D7060" w:rsidRPr="00A55200">
        <w:rPr>
          <w:rFonts w:ascii="Times New Roman" w:eastAsia="Times New Roman" w:hAnsi="Times New Roman" w:cs="Times New Roman"/>
          <w:sz w:val="24"/>
          <w:szCs w:val="24"/>
        </w:rPr>
        <w:t>caída del</w:t>
      </w:r>
      <w:r w:rsidR="00A360B4" w:rsidRPr="00A55200">
        <w:rPr>
          <w:rFonts w:ascii="Times New Roman" w:eastAsia="Times New Roman" w:hAnsi="Times New Roman" w:cs="Times New Roman"/>
          <w:sz w:val="24"/>
          <w:szCs w:val="24"/>
        </w:rPr>
        <w:t xml:space="preserve"> consumo en </w:t>
      </w:r>
      <w:r w:rsidR="0076659B" w:rsidRPr="00A55200">
        <w:rPr>
          <w:rFonts w:ascii="Times New Roman" w:eastAsia="Times New Roman" w:hAnsi="Times New Roman" w:cs="Times New Roman"/>
          <w:sz w:val="24"/>
          <w:szCs w:val="24"/>
        </w:rPr>
        <w:t>cada país analizado. Asimismo, e</w:t>
      </w:r>
      <w:r w:rsidR="00A360B4" w:rsidRPr="00A55200">
        <w:rPr>
          <w:rFonts w:ascii="Times New Roman" w:eastAsia="Times New Roman" w:hAnsi="Times New Roman" w:cs="Times New Roman"/>
          <w:sz w:val="24"/>
          <w:szCs w:val="24"/>
        </w:rPr>
        <w:t>stas siete variables se correlacionan precisamente con aquellos sectores culturales que históricamente son los más regulados y financiados por parte de los estados europeos de su creación a partir de la segunda mitad del siglo XX; aquello que comúnmente se ha denominado como el “corazón cultural” compuesto por las bellas artes y las artes visuales, las artes escénicas y la música, el patrimoni</w:t>
      </w:r>
      <w:r w:rsidR="00C8109F">
        <w:rPr>
          <w:rFonts w:ascii="Times New Roman" w:eastAsia="Times New Roman" w:hAnsi="Times New Roman" w:cs="Times New Roman"/>
          <w:sz w:val="24"/>
          <w:szCs w:val="24"/>
        </w:rPr>
        <w:t xml:space="preserve">o cultural histórico-artístico </w:t>
      </w:r>
      <w:r w:rsidR="00A360B4" w:rsidRPr="00A55200">
        <w:rPr>
          <w:rFonts w:ascii="Times New Roman" w:eastAsia="Times New Roman" w:hAnsi="Times New Roman" w:cs="Times New Roman"/>
          <w:sz w:val="24"/>
          <w:szCs w:val="24"/>
        </w:rPr>
        <w:t>y las industrias culturales clásicas como el libro y el cine. Los datos co</w:t>
      </w:r>
      <w:r w:rsidR="00EF00F0" w:rsidRPr="00A55200">
        <w:rPr>
          <w:rFonts w:ascii="Times New Roman" w:eastAsia="Times New Roman" w:hAnsi="Times New Roman" w:cs="Times New Roman"/>
          <w:sz w:val="24"/>
          <w:szCs w:val="24"/>
        </w:rPr>
        <w:t>mparados que obtenemos del Euro</w:t>
      </w:r>
      <w:r w:rsidR="00A360B4" w:rsidRPr="00A55200">
        <w:rPr>
          <w:rFonts w:ascii="Times New Roman" w:eastAsia="Times New Roman" w:hAnsi="Times New Roman" w:cs="Times New Roman"/>
          <w:sz w:val="24"/>
          <w:szCs w:val="24"/>
        </w:rPr>
        <w:t xml:space="preserve">barómetro 399 </w:t>
      </w:r>
      <w:r w:rsidR="00A360B4" w:rsidRPr="00A55200">
        <w:rPr>
          <w:rFonts w:ascii="Times New Roman" w:eastAsia="Times New Roman" w:hAnsi="Times New Roman" w:cs="Times New Roman"/>
          <w:sz w:val="24"/>
          <w:szCs w:val="24"/>
        </w:rPr>
        <w:lastRenderedPageBreak/>
        <w:t>muestran en valores absolutos de consumo las pautas culturales de los país</w:t>
      </w:r>
      <w:r w:rsidR="00EF00F0" w:rsidRPr="00A55200">
        <w:rPr>
          <w:rFonts w:ascii="Times New Roman" w:eastAsia="Times New Roman" w:hAnsi="Times New Roman" w:cs="Times New Roman"/>
          <w:sz w:val="24"/>
          <w:szCs w:val="24"/>
        </w:rPr>
        <w:t>es del sur de Europa (Gráfico 1</w:t>
      </w:r>
      <w:r w:rsidR="00A360B4" w:rsidRPr="00A55200">
        <w:rPr>
          <w:rFonts w:ascii="Times New Roman" w:eastAsia="Times New Roman" w:hAnsi="Times New Roman" w:cs="Times New Roman"/>
          <w:sz w:val="24"/>
          <w:szCs w:val="24"/>
        </w:rPr>
        <w:t xml:space="preserve">) frente a </w:t>
      </w:r>
      <w:r w:rsidR="002D7060" w:rsidRPr="00A55200">
        <w:rPr>
          <w:rFonts w:ascii="Times New Roman" w:eastAsia="Times New Roman" w:hAnsi="Times New Roman" w:cs="Times New Roman"/>
          <w:sz w:val="24"/>
          <w:szCs w:val="24"/>
        </w:rPr>
        <w:t>otros modelos</w:t>
      </w:r>
      <w:r w:rsidR="00A360B4" w:rsidRPr="00A55200">
        <w:rPr>
          <w:rFonts w:ascii="Times New Roman" w:eastAsia="Times New Roman" w:hAnsi="Times New Roman" w:cs="Times New Roman"/>
          <w:sz w:val="24"/>
          <w:szCs w:val="24"/>
        </w:rPr>
        <w:t xml:space="preserve"> de política cultural (liberal, nórdico, central), lo que viene a redundar la tesis de un modelo de política del sur diferenciado del resto de los países </w:t>
      </w:r>
      <w:r w:rsidR="002D7060" w:rsidRPr="00A55200">
        <w:rPr>
          <w:rFonts w:ascii="Times New Roman" w:eastAsia="Times New Roman" w:hAnsi="Times New Roman" w:cs="Times New Roman"/>
          <w:sz w:val="24"/>
          <w:szCs w:val="24"/>
        </w:rPr>
        <w:t>europeos que</w:t>
      </w:r>
      <w:r w:rsidR="00A360B4" w:rsidRPr="00A55200">
        <w:rPr>
          <w:rFonts w:ascii="Times New Roman" w:eastAsia="Times New Roman" w:hAnsi="Times New Roman" w:cs="Times New Roman"/>
          <w:sz w:val="24"/>
          <w:szCs w:val="24"/>
        </w:rPr>
        <w:t xml:space="preserve"> se suma a las tesis de Rubio-Arostegui y Rius-Ulldemol</w:t>
      </w:r>
      <w:r w:rsidR="004C77B9" w:rsidRPr="00A55200">
        <w:rPr>
          <w:rFonts w:ascii="Times New Roman" w:eastAsia="Times New Roman" w:hAnsi="Times New Roman" w:cs="Times New Roman"/>
          <w:sz w:val="24"/>
          <w:szCs w:val="24"/>
        </w:rPr>
        <w:t>ins (2018). Ello se sumaría a otras características del modelo sud-europeo:</w:t>
      </w:r>
      <w:r w:rsidR="00A55200">
        <w:rPr>
          <w:rFonts w:ascii="Times New Roman" w:eastAsia="Times New Roman" w:hAnsi="Times New Roman" w:cs="Times New Roman"/>
          <w:sz w:val="24"/>
          <w:szCs w:val="24"/>
        </w:rPr>
        <w:t xml:space="preserve"> </w:t>
      </w:r>
      <w:r w:rsidR="004C77B9" w:rsidRPr="00A55200">
        <w:rPr>
          <w:rFonts w:ascii="Times New Roman" w:eastAsia="Times New Roman" w:hAnsi="Times New Roman" w:cs="Times New Roman"/>
          <w:sz w:val="24"/>
          <w:szCs w:val="24"/>
        </w:rPr>
        <w:t xml:space="preserve">una </w:t>
      </w:r>
      <w:r w:rsidR="00C8109F">
        <w:rPr>
          <w:rFonts w:ascii="Times New Roman" w:eastAsia="Times New Roman" w:hAnsi="Times New Roman" w:cs="Times New Roman"/>
          <w:sz w:val="24"/>
          <w:szCs w:val="24"/>
        </w:rPr>
        <w:t>homogeneidad del p</w:t>
      </w:r>
      <w:r w:rsidR="00A360B4" w:rsidRPr="00A55200">
        <w:rPr>
          <w:rFonts w:ascii="Times New Roman" w:eastAsia="Times New Roman" w:hAnsi="Times New Roman" w:cs="Times New Roman"/>
          <w:sz w:val="24"/>
          <w:szCs w:val="24"/>
        </w:rPr>
        <w:t>orcentaje del PIB de los gastos culturales y porcentaje de los gastos culturales del gasto público en el sur de Europa con respecto a la media europea, una</w:t>
      </w:r>
      <w:r w:rsidR="00A55200">
        <w:rPr>
          <w:rFonts w:ascii="Times New Roman" w:eastAsia="Times New Roman" w:hAnsi="Times New Roman" w:cs="Times New Roman"/>
          <w:sz w:val="24"/>
          <w:szCs w:val="24"/>
        </w:rPr>
        <w:t xml:space="preserve"> </w:t>
      </w:r>
      <w:r w:rsidR="00A360B4" w:rsidRPr="00A55200">
        <w:rPr>
          <w:rFonts w:ascii="Times New Roman" w:eastAsia="Times New Roman" w:hAnsi="Times New Roman" w:cs="Times New Roman"/>
          <w:sz w:val="24"/>
          <w:szCs w:val="24"/>
        </w:rPr>
        <w:t>fuerte tendencia del gasto cultural al patrimonio histórico y cultural que e</w:t>
      </w:r>
      <w:r w:rsidR="0076659B" w:rsidRPr="00A55200">
        <w:rPr>
          <w:rFonts w:ascii="Times New Roman" w:eastAsia="Times New Roman" w:hAnsi="Times New Roman" w:cs="Times New Roman"/>
          <w:sz w:val="24"/>
          <w:szCs w:val="24"/>
        </w:rPr>
        <w:t>s fijo y que no suele ser suficiente</w:t>
      </w:r>
      <w:r w:rsidR="004C77B9" w:rsidRPr="00A55200">
        <w:rPr>
          <w:rFonts w:ascii="Times New Roman" w:eastAsia="Times New Roman" w:hAnsi="Times New Roman" w:cs="Times New Roman"/>
          <w:sz w:val="24"/>
          <w:szCs w:val="24"/>
        </w:rPr>
        <w:t xml:space="preserve"> para cubrir </w:t>
      </w:r>
      <w:r w:rsidR="00A360B4" w:rsidRPr="00A55200">
        <w:rPr>
          <w:rFonts w:ascii="Times New Roman" w:eastAsia="Times New Roman" w:hAnsi="Times New Roman" w:cs="Times New Roman"/>
          <w:sz w:val="24"/>
          <w:szCs w:val="24"/>
        </w:rPr>
        <w:t>las necesidades de protección de estos países y, finalmente,</w:t>
      </w:r>
      <w:r w:rsidR="00A55200">
        <w:rPr>
          <w:rFonts w:ascii="Times New Roman" w:eastAsia="Times New Roman" w:hAnsi="Times New Roman" w:cs="Times New Roman"/>
          <w:sz w:val="24"/>
          <w:szCs w:val="24"/>
        </w:rPr>
        <w:t xml:space="preserve"> </w:t>
      </w:r>
      <w:r w:rsidR="00A360B4" w:rsidRPr="00A55200">
        <w:rPr>
          <w:rFonts w:ascii="Times New Roman" w:eastAsia="Times New Roman" w:hAnsi="Times New Roman" w:cs="Times New Roman"/>
          <w:sz w:val="24"/>
          <w:szCs w:val="24"/>
        </w:rPr>
        <w:t>una rigidez en la gestión de los equipamientos culturales, ligada a una ineficiencia en la gestión de los grandes equipamien</w:t>
      </w:r>
      <w:r w:rsidR="0076659B" w:rsidRPr="00A55200">
        <w:rPr>
          <w:rFonts w:ascii="Times New Roman" w:eastAsia="Times New Roman" w:hAnsi="Times New Roman" w:cs="Times New Roman"/>
          <w:sz w:val="24"/>
          <w:szCs w:val="24"/>
        </w:rPr>
        <w:t xml:space="preserve">tos culturales tal como muestran comparativamente </w:t>
      </w:r>
      <w:r w:rsidR="00EF00F0" w:rsidRPr="00A55200">
        <w:rPr>
          <w:rFonts w:ascii="Times New Roman" w:eastAsia="Times New Roman" w:hAnsi="Times New Roman" w:cs="Times New Roman"/>
          <w:sz w:val="24"/>
          <w:szCs w:val="24"/>
        </w:rPr>
        <w:t>en los teatros de</w:t>
      </w:r>
      <w:r w:rsidR="00A360B4" w:rsidRPr="00A55200">
        <w:rPr>
          <w:rFonts w:ascii="Times New Roman" w:eastAsia="Times New Roman" w:hAnsi="Times New Roman" w:cs="Times New Roman"/>
          <w:sz w:val="24"/>
          <w:szCs w:val="24"/>
        </w:rPr>
        <w:t xml:space="preserve"> </w:t>
      </w:r>
      <w:r w:rsidR="0076659B" w:rsidRPr="00A55200">
        <w:rPr>
          <w:rFonts w:ascii="Times New Roman" w:eastAsia="Times New Roman" w:hAnsi="Times New Roman" w:cs="Times New Roman"/>
          <w:sz w:val="24"/>
          <w:szCs w:val="24"/>
        </w:rPr>
        <w:t>ópera</w:t>
      </w:r>
      <w:r w:rsidR="00A55200">
        <w:rPr>
          <w:rFonts w:ascii="Times New Roman" w:eastAsia="Times New Roman" w:hAnsi="Times New Roman" w:cs="Times New Roman"/>
          <w:sz w:val="24"/>
          <w:szCs w:val="24"/>
        </w:rPr>
        <w:t xml:space="preserve"> </w:t>
      </w:r>
      <w:r w:rsidR="0076659B" w:rsidRPr="00A55200">
        <w:rPr>
          <w:rFonts w:ascii="Times New Roman" w:eastAsia="Times New Roman" w:hAnsi="Times New Roman" w:cs="Times New Roman"/>
          <w:sz w:val="24"/>
          <w:szCs w:val="24"/>
        </w:rPr>
        <w:t>Rius Ulldemolins y Hernández, (2015)</w:t>
      </w:r>
      <w:r w:rsidR="004C77B9" w:rsidRPr="00A55200">
        <w:rPr>
          <w:rFonts w:ascii="Times New Roman" w:eastAsia="Times New Roman" w:hAnsi="Times New Roman" w:cs="Times New Roman"/>
          <w:sz w:val="24"/>
          <w:szCs w:val="24"/>
        </w:rPr>
        <w:t xml:space="preserve">. En este trabajo se evidencian </w:t>
      </w:r>
      <w:r w:rsidR="00A360B4" w:rsidRPr="00A55200">
        <w:rPr>
          <w:rFonts w:ascii="Times New Roman" w:eastAsia="Times New Roman" w:hAnsi="Times New Roman" w:cs="Times New Roman"/>
          <w:sz w:val="24"/>
          <w:szCs w:val="24"/>
        </w:rPr>
        <w:t xml:space="preserve">los costes por espectador y coste público por </w:t>
      </w:r>
      <w:r w:rsidR="002D7060" w:rsidRPr="00A55200">
        <w:rPr>
          <w:rFonts w:ascii="Times New Roman" w:eastAsia="Times New Roman" w:hAnsi="Times New Roman" w:cs="Times New Roman"/>
          <w:sz w:val="24"/>
          <w:szCs w:val="24"/>
        </w:rPr>
        <w:t>espectador en</w:t>
      </w:r>
      <w:r w:rsidR="0076659B" w:rsidRPr="00A55200">
        <w:rPr>
          <w:rFonts w:ascii="Times New Roman" w:eastAsia="Times New Roman" w:hAnsi="Times New Roman" w:cs="Times New Roman"/>
          <w:sz w:val="24"/>
          <w:szCs w:val="24"/>
        </w:rPr>
        <w:t xml:space="preserve"> los teatros de </w:t>
      </w:r>
      <w:r w:rsidR="00A360B4" w:rsidRPr="00A55200">
        <w:rPr>
          <w:rFonts w:ascii="Times New Roman" w:eastAsia="Times New Roman" w:hAnsi="Times New Roman" w:cs="Times New Roman"/>
          <w:sz w:val="24"/>
          <w:szCs w:val="24"/>
        </w:rPr>
        <w:t xml:space="preserve">en Teatro Real de Madrid y el </w:t>
      </w:r>
      <w:r w:rsidR="00A360B4" w:rsidRPr="00A55200">
        <w:rPr>
          <w:rFonts w:ascii="Times New Roman" w:eastAsia="Times New Roman" w:hAnsi="Times New Roman" w:cs="Times New Roman"/>
          <w:i/>
          <w:sz w:val="24"/>
          <w:szCs w:val="24"/>
        </w:rPr>
        <w:t>Gran Teatre del Liceu</w:t>
      </w:r>
      <w:r w:rsidR="00A360B4" w:rsidRPr="00A55200">
        <w:rPr>
          <w:rFonts w:ascii="Times New Roman" w:eastAsia="Times New Roman" w:hAnsi="Times New Roman" w:cs="Times New Roman"/>
          <w:sz w:val="24"/>
          <w:szCs w:val="24"/>
        </w:rPr>
        <w:t xml:space="preserve"> de Barcelona frente a la </w:t>
      </w:r>
      <w:r w:rsidR="00A360B4" w:rsidRPr="00A55200">
        <w:rPr>
          <w:rFonts w:ascii="Times New Roman" w:eastAsia="Times New Roman" w:hAnsi="Times New Roman" w:cs="Times New Roman"/>
          <w:i/>
          <w:sz w:val="24"/>
          <w:szCs w:val="24"/>
        </w:rPr>
        <w:t xml:space="preserve">Royal Opera House </w:t>
      </w:r>
      <w:r w:rsidR="00A360B4" w:rsidRPr="00A55200">
        <w:rPr>
          <w:rFonts w:ascii="Times New Roman" w:eastAsia="Times New Roman" w:hAnsi="Times New Roman" w:cs="Times New Roman"/>
          <w:sz w:val="24"/>
          <w:szCs w:val="24"/>
        </w:rPr>
        <w:t xml:space="preserve">de </w:t>
      </w:r>
      <w:r w:rsidR="002D7060" w:rsidRPr="00A55200">
        <w:rPr>
          <w:rFonts w:ascii="Times New Roman" w:eastAsia="Times New Roman" w:hAnsi="Times New Roman" w:cs="Times New Roman"/>
          <w:sz w:val="24"/>
          <w:szCs w:val="24"/>
        </w:rPr>
        <w:t>Londres y</w:t>
      </w:r>
      <w:r w:rsidR="00A360B4" w:rsidRPr="00A55200">
        <w:rPr>
          <w:rFonts w:ascii="Times New Roman" w:eastAsia="Times New Roman" w:hAnsi="Times New Roman" w:cs="Times New Roman"/>
          <w:sz w:val="24"/>
          <w:szCs w:val="24"/>
        </w:rPr>
        <w:t xml:space="preserve"> la </w:t>
      </w:r>
      <w:r w:rsidR="00A360B4" w:rsidRPr="00A55200">
        <w:rPr>
          <w:rFonts w:ascii="Times New Roman" w:eastAsia="Times New Roman" w:hAnsi="Times New Roman" w:cs="Times New Roman"/>
          <w:i/>
          <w:sz w:val="24"/>
          <w:szCs w:val="24"/>
        </w:rPr>
        <w:t xml:space="preserve">Opera National </w:t>
      </w:r>
      <w:r w:rsidR="00A360B4" w:rsidRPr="00A55200">
        <w:rPr>
          <w:rFonts w:ascii="Times New Roman" w:eastAsia="Times New Roman" w:hAnsi="Times New Roman" w:cs="Times New Roman"/>
          <w:sz w:val="24"/>
          <w:szCs w:val="24"/>
        </w:rPr>
        <w:t xml:space="preserve">de París. El caso del </w:t>
      </w:r>
      <w:r w:rsidR="00A360B4" w:rsidRPr="00A55200">
        <w:rPr>
          <w:rFonts w:ascii="Times New Roman" w:eastAsia="Times New Roman" w:hAnsi="Times New Roman" w:cs="Times New Roman"/>
          <w:i/>
          <w:sz w:val="24"/>
          <w:szCs w:val="24"/>
        </w:rPr>
        <w:t>Palau de les Arts</w:t>
      </w:r>
      <w:r w:rsidR="00A360B4" w:rsidRPr="00A55200">
        <w:rPr>
          <w:rFonts w:ascii="Times New Roman" w:eastAsia="Times New Roman" w:hAnsi="Times New Roman" w:cs="Times New Roman"/>
          <w:sz w:val="24"/>
          <w:szCs w:val="24"/>
        </w:rPr>
        <w:t xml:space="preserve"> de Valencia es considerado como un elefante blanco ya que triplica los costes con respecto a los casos mencionados. </w:t>
      </w:r>
    </w:p>
    <w:p w14:paraId="34CA3E0D" w14:textId="77777777" w:rsidR="00A360B4" w:rsidRPr="00A55200" w:rsidRDefault="00A360B4" w:rsidP="007829E5">
      <w:pPr>
        <w:spacing w:after="0" w:line="480" w:lineRule="auto"/>
        <w:rPr>
          <w:rFonts w:ascii="Times New Roman" w:eastAsia="Times New Roman" w:hAnsi="Times New Roman" w:cs="Times New Roman"/>
          <w:sz w:val="24"/>
          <w:szCs w:val="24"/>
        </w:rPr>
      </w:pPr>
    </w:p>
    <w:p w14:paraId="4DBB435A" w14:textId="269126CC" w:rsidR="00A360B4" w:rsidRPr="00E65068" w:rsidRDefault="00E65068" w:rsidP="007829E5">
      <w:pPr>
        <w:spacing w:after="0" w:line="480" w:lineRule="auto"/>
        <w:rPr>
          <w:rFonts w:ascii="Times New Roman" w:eastAsia="Times New Roman" w:hAnsi="Times New Roman" w:cs="Times New Roman"/>
        </w:rPr>
      </w:pPr>
      <w:r w:rsidRPr="00E65068">
        <w:rPr>
          <w:rFonts w:ascii="Times New Roman" w:eastAsia="Times New Roman" w:hAnsi="Times New Roman" w:cs="Times New Roman"/>
          <w:b/>
        </w:rPr>
        <w:t>Figura</w:t>
      </w:r>
      <w:r w:rsidR="00EF00F0" w:rsidRPr="00E65068">
        <w:rPr>
          <w:rFonts w:ascii="Times New Roman" w:eastAsia="Times New Roman" w:hAnsi="Times New Roman" w:cs="Times New Roman"/>
          <w:b/>
        </w:rPr>
        <w:t xml:space="preserve"> 1</w:t>
      </w:r>
      <w:r w:rsidR="00EF00F0" w:rsidRPr="00E65068">
        <w:rPr>
          <w:rFonts w:ascii="Times New Roman" w:eastAsia="Times New Roman" w:hAnsi="Times New Roman" w:cs="Times New Roman"/>
        </w:rPr>
        <w:t xml:space="preserve">. Perfil del consumo cultural. Porcentaje de la población que refiere </w:t>
      </w:r>
      <w:r w:rsidR="002D7060" w:rsidRPr="00E65068">
        <w:rPr>
          <w:rFonts w:ascii="Times New Roman" w:eastAsia="Times New Roman" w:hAnsi="Times New Roman" w:cs="Times New Roman"/>
        </w:rPr>
        <w:t>consumir “</w:t>
      </w:r>
      <w:r w:rsidR="00EF00F0" w:rsidRPr="00E65068">
        <w:rPr>
          <w:rFonts w:ascii="Times New Roman" w:eastAsia="Times New Roman" w:hAnsi="Times New Roman" w:cs="Times New Roman"/>
        </w:rPr>
        <w:t xml:space="preserve">al menos una vez al año” en Europa según modelos de política cultural. </w:t>
      </w:r>
    </w:p>
    <w:p w14:paraId="2413AA3D" w14:textId="77777777" w:rsidR="00A360B4" w:rsidRPr="00A55200" w:rsidRDefault="00A360B4" w:rsidP="007829E5">
      <w:pPr>
        <w:spacing w:after="0" w:line="480" w:lineRule="auto"/>
        <w:rPr>
          <w:rFonts w:ascii="Times New Roman" w:eastAsia="Times New Roman" w:hAnsi="Times New Roman" w:cs="Times New Roman"/>
          <w:sz w:val="24"/>
          <w:szCs w:val="24"/>
        </w:rPr>
      </w:pPr>
      <w:r w:rsidRPr="00A55200">
        <w:rPr>
          <w:rFonts w:ascii="Times New Roman" w:hAnsi="Times New Roman" w:cs="Times New Roman"/>
          <w:noProof/>
          <w:lang w:eastAsia="es-ES"/>
        </w:rPr>
        <w:lastRenderedPageBreak/>
        <w:drawing>
          <wp:inline distT="0" distB="0" distL="0" distR="0" wp14:anchorId="190E9808" wp14:editId="5FEB2234">
            <wp:extent cx="4572000" cy="2743200"/>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176B822" w14:textId="77777777" w:rsidR="00A360B4" w:rsidRPr="00E65068" w:rsidRDefault="00A360B4" w:rsidP="007829E5">
      <w:pPr>
        <w:spacing w:after="0" w:line="480" w:lineRule="auto"/>
        <w:rPr>
          <w:rFonts w:ascii="Times New Roman" w:eastAsia="Times New Roman" w:hAnsi="Times New Roman" w:cs="Times New Roman"/>
        </w:rPr>
      </w:pPr>
      <w:r w:rsidRPr="00E65068">
        <w:rPr>
          <w:rFonts w:ascii="Times New Roman" w:eastAsia="Times New Roman" w:hAnsi="Times New Roman" w:cs="Times New Roman"/>
        </w:rPr>
        <w:t>Elaboración propia. Fuente: Eurobarometro 399.</w:t>
      </w:r>
    </w:p>
    <w:p w14:paraId="6282BF40" w14:textId="77777777" w:rsidR="00A360B4" w:rsidRPr="00A55200" w:rsidRDefault="00A360B4" w:rsidP="007829E5">
      <w:pPr>
        <w:spacing w:after="0" w:line="480" w:lineRule="auto"/>
        <w:rPr>
          <w:rFonts w:ascii="Times New Roman" w:eastAsia="Times New Roman" w:hAnsi="Times New Roman" w:cs="Times New Roman"/>
          <w:sz w:val="24"/>
          <w:szCs w:val="24"/>
        </w:rPr>
      </w:pPr>
    </w:p>
    <w:p w14:paraId="4CEFDE5B" w14:textId="1BE4F488" w:rsidR="00A360B4" w:rsidRPr="00A55200" w:rsidRDefault="00A360B4" w:rsidP="007829E5">
      <w:pPr>
        <w:spacing w:after="0" w:line="480" w:lineRule="auto"/>
        <w:rPr>
          <w:rFonts w:ascii="Times New Roman" w:eastAsia="Times New Roman" w:hAnsi="Times New Roman" w:cs="Times New Roman"/>
          <w:sz w:val="24"/>
          <w:szCs w:val="24"/>
        </w:rPr>
      </w:pPr>
      <w:r w:rsidRPr="00A55200">
        <w:rPr>
          <w:rFonts w:ascii="Times New Roman" w:eastAsia="Times New Roman" w:hAnsi="Times New Roman" w:cs="Times New Roman"/>
          <w:sz w:val="24"/>
          <w:szCs w:val="24"/>
        </w:rPr>
        <w:t>Los datos más signif</w:t>
      </w:r>
      <w:r w:rsidR="0076659B" w:rsidRPr="00A55200">
        <w:rPr>
          <w:rFonts w:ascii="Times New Roman" w:eastAsia="Times New Roman" w:hAnsi="Times New Roman" w:cs="Times New Roman"/>
          <w:sz w:val="24"/>
          <w:szCs w:val="24"/>
        </w:rPr>
        <w:t>icativos de acuerdo con</w:t>
      </w:r>
      <w:r w:rsidR="00DB31B1" w:rsidRPr="00A55200">
        <w:rPr>
          <w:rFonts w:ascii="Times New Roman" w:eastAsia="Times New Roman" w:hAnsi="Times New Roman" w:cs="Times New Roman"/>
          <w:sz w:val="24"/>
          <w:szCs w:val="24"/>
        </w:rPr>
        <w:t xml:space="preserve"> el gráfico son: l</w:t>
      </w:r>
      <w:r w:rsidRPr="00A55200">
        <w:rPr>
          <w:rFonts w:ascii="Times New Roman" w:eastAsia="Times New Roman" w:hAnsi="Times New Roman" w:cs="Times New Roman"/>
          <w:sz w:val="24"/>
          <w:szCs w:val="24"/>
        </w:rPr>
        <w:t>a lectura de libros es la práctica cultural más extendida</w:t>
      </w:r>
      <w:r w:rsidR="00C8109F">
        <w:rPr>
          <w:rFonts w:ascii="Times New Roman" w:eastAsia="Times New Roman" w:hAnsi="Times New Roman" w:cs="Times New Roman"/>
          <w:sz w:val="24"/>
          <w:szCs w:val="24"/>
        </w:rPr>
        <w:t>,</w:t>
      </w:r>
      <w:r w:rsidRPr="00A55200">
        <w:rPr>
          <w:rFonts w:ascii="Times New Roman" w:eastAsia="Times New Roman" w:hAnsi="Times New Roman" w:cs="Times New Roman"/>
          <w:sz w:val="24"/>
          <w:szCs w:val="24"/>
        </w:rPr>
        <w:t xml:space="preserve"> si bien las diferencias entre los países del sur y del norte es de veinte puntos porcentuales. Este porcentaje es menor en el caso del cine, pero en</w:t>
      </w:r>
      <w:r w:rsidR="0076659B" w:rsidRPr="00A55200">
        <w:rPr>
          <w:rFonts w:ascii="Times New Roman" w:eastAsia="Times New Roman" w:hAnsi="Times New Roman" w:cs="Times New Roman"/>
          <w:sz w:val="24"/>
          <w:szCs w:val="24"/>
        </w:rPr>
        <w:t xml:space="preserve"> general, en</w:t>
      </w:r>
      <w:r w:rsidRPr="00A55200">
        <w:rPr>
          <w:rFonts w:ascii="Times New Roman" w:eastAsia="Times New Roman" w:hAnsi="Times New Roman" w:cs="Times New Roman"/>
          <w:sz w:val="24"/>
          <w:szCs w:val="24"/>
        </w:rPr>
        <w:t xml:space="preserve"> todas las prácticas analizadas se da una diferencia porcentual sensible entre el sur y el norte, si bien el modelo nórdico tiene una diferenciación a su vez entre el liberal y el centroeuropeo que también se correlaciona cuando analicemos las prácticas artísticas. </w:t>
      </w:r>
    </w:p>
    <w:p w14:paraId="29321650" w14:textId="330083D9" w:rsidR="00A360B4" w:rsidRPr="00A55200" w:rsidRDefault="004C77B9" w:rsidP="007829E5">
      <w:pPr>
        <w:spacing w:after="0" w:line="480" w:lineRule="auto"/>
        <w:rPr>
          <w:rFonts w:ascii="Times New Roman" w:eastAsia="Times New Roman" w:hAnsi="Times New Roman" w:cs="Times New Roman"/>
          <w:sz w:val="24"/>
          <w:szCs w:val="24"/>
        </w:rPr>
      </w:pPr>
      <w:r w:rsidRPr="00A55200">
        <w:rPr>
          <w:rFonts w:ascii="Times New Roman" w:eastAsia="Times New Roman" w:hAnsi="Times New Roman" w:cs="Times New Roman"/>
          <w:sz w:val="24"/>
          <w:szCs w:val="24"/>
        </w:rPr>
        <w:t xml:space="preserve">Pero la cuestión </w:t>
      </w:r>
      <w:r w:rsidR="00A360B4" w:rsidRPr="00A55200">
        <w:rPr>
          <w:rFonts w:ascii="Times New Roman" w:eastAsia="Times New Roman" w:hAnsi="Times New Roman" w:cs="Times New Roman"/>
          <w:sz w:val="24"/>
          <w:szCs w:val="24"/>
        </w:rPr>
        <w:t xml:space="preserve">no está en analizar las dinámicas </w:t>
      </w:r>
      <w:r w:rsidR="0076659B" w:rsidRPr="00A55200">
        <w:rPr>
          <w:rFonts w:ascii="Times New Roman" w:eastAsia="Times New Roman" w:hAnsi="Times New Roman" w:cs="Times New Roman"/>
          <w:sz w:val="24"/>
          <w:szCs w:val="24"/>
        </w:rPr>
        <w:t>propias</w:t>
      </w:r>
      <w:r w:rsidR="00D1512B" w:rsidRPr="00A55200">
        <w:rPr>
          <w:rFonts w:ascii="Times New Roman" w:eastAsia="Times New Roman" w:hAnsi="Times New Roman" w:cs="Times New Roman"/>
          <w:sz w:val="24"/>
          <w:szCs w:val="24"/>
        </w:rPr>
        <w:t xml:space="preserve"> del consumo en </w:t>
      </w:r>
      <w:r w:rsidR="00A360B4" w:rsidRPr="00A55200">
        <w:rPr>
          <w:rFonts w:ascii="Times New Roman" w:eastAsia="Times New Roman" w:hAnsi="Times New Roman" w:cs="Times New Roman"/>
          <w:sz w:val="24"/>
          <w:szCs w:val="24"/>
        </w:rPr>
        <w:t xml:space="preserve">los </w:t>
      </w:r>
      <w:r w:rsidRPr="00A55200">
        <w:rPr>
          <w:rFonts w:ascii="Times New Roman" w:eastAsia="Times New Roman" w:hAnsi="Times New Roman" w:cs="Times New Roman"/>
          <w:sz w:val="24"/>
          <w:szCs w:val="24"/>
        </w:rPr>
        <w:t xml:space="preserve">sectores culturales ni tampoco </w:t>
      </w:r>
      <w:r w:rsidR="00A360B4" w:rsidRPr="00A55200">
        <w:rPr>
          <w:rFonts w:ascii="Times New Roman" w:eastAsia="Times New Roman" w:hAnsi="Times New Roman" w:cs="Times New Roman"/>
          <w:sz w:val="24"/>
          <w:szCs w:val="24"/>
        </w:rPr>
        <w:t xml:space="preserve">detenernos en esta regularidad empírica que es histórica, sino en tratar de evidenciar cómo la </w:t>
      </w:r>
      <w:r w:rsidR="002D7060" w:rsidRPr="00A55200">
        <w:rPr>
          <w:rFonts w:ascii="Times New Roman" w:eastAsia="Times New Roman" w:hAnsi="Times New Roman" w:cs="Times New Roman"/>
          <w:sz w:val="24"/>
          <w:szCs w:val="24"/>
        </w:rPr>
        <w:t>distancia en</w:t>
      </w:r>
      <w:r w:rsidR="00A360B4" w:rsidRPr="00A55200">
        <w:rPr>
          <w:rFonts w:ascii="Times New Roman" w:eastAsia="Times New Roman" w:hAnsi="Times New Roman" w:cs="Times New Roman"/>
          <w:sz w:val="24"/>
          <w:szCs w:val="24"/>
        </w:rPr>
        <w:t xml:space="preserve"> algunas formas de participación cultural y en el caso</w:t>
      </w:r>
      <w:r w:rsidRPr="00A55200">
        <w:rPr>
          <w:rFonts w:ascii="Times New Roman" w:eastAsia="Times New Roman" w:hAnsi="Times New Roman" w:cs="Times New Roman"/>
          <w:sz w:val="24"/>
          <w:szCs w:val="24"/>
        </w:rPr>
        <w:t xml:space="preserve"> de la cultura promovida por el Estado </w:t>
      </w:r>
      <w:r w:rsidR="00A360B4" w:rsidRPr="00A55200">
        <w:rPr>
          <w:rFonts w:ascii="Times New Roman" w:eastAsia="Times New Roman" w:hAnsi="Times New Roman" w:cs="Times New Roman"/>
          <w:sz w:val="24"/>
          <w:szCs w:val="24"/>
        </w:rPr>
        <w:t>se ha profundizado más como consecuencia de la crisis global.</w:t>
      </w:r>
      <w:r w:rsidR="003956B6" w:rsidRPr="00A55200">
        <w:rPr>
          <w:rFonts w:ascii="Times New Roman" w:eastAsia="Times New Roman" w:hAnsi="Times New Roman" w:cs="Times New Roman"/>
          <w:sz w:val="24"/>
          <w:szCs w:val="24"/>
        </w:rPr>
        <w:t xml:space="preserve"> Así, observamos (Gráfico 2</w:t>
      </w:r>
      <w:r w:rsidR="00A360B4" w:rsidRPr="00A55200">
        <w:rPr>
          <w:rFonts w:ascii="Times New Roman" w:eastAsia="Times New Roman" w:hAnsi="Times New Roman" w:cs="Times New Roman"/>
          <w:sz w:val="24"/>
          <w:szCs w:val="24"/>
        </w:rPr>
        <w:t>) cómo el indicador sintético de caída del consumo es mayor en los países del sur de Europa con respecto a la media europea y frente a otros países representativos de los mo</w:t>
      </w:r>
      <w:r w:rsidR="00C8109F">
        <w:rPr>
          <w:rFonts w:ascii="Times New Roman" w:eastAsia="Times New Roman" w:hAnsi="Times New Roman" w:cs="Times New Roman"/>
          <w:sz w:val="24"/>
          <w:szCs w:val="24"/>
        </w:rPr>
        <w:t>delos nórdico, liberal y centro</w:t>
      </w:r>
      <w:r w:rsidR="00A360B4" w:rsidRPr="00A55200">
        <w:rPr>
          <w:rFonts w:ascii="Times New Roman" w:eastAsia="Times New Roman" w:hAnsi="Times New Roman" w:cs="Times New Roman"/>
          <w:sz w:val="24"/>
          <w:szCs w:val="24"/>
        </w:rPr>
        <w:t>europeo, si bien la caída es mucho más ponderada en España, respe</w:t>
      </w:r>
      <w:r w:rsidR="003956B6" w:rsidRPr="00A55200">
        <w:rPr>
          <w:rFonts w:ascii="Times New Roman" w:eastAsia="Times New Roman" w:hAnsi="Times New Roman" w:cs="Times New Roman"/>
          <w:sz w:val="24"/>
          <w:szCs w:val="24"/>
        </w:rPr>
        <w:t>cto de</w:t>
      </w:r>
      <w:r w:rsidR="00A360B4" w:rsidRPr="00A55200">
        <w:rPr>
          <w:rFonts w:ascii="Times New Roman" w:eastAsia="Times New Roman" w:hAnsi="Times New Roman" w:cs="Times New Roman"/>
          <w:sz w:val="24"/>
          <w:szCs w:val="24"/>
        </w:rPr>
        <w:t xml:space="preserve"> Italia, y sobre todo, Grecia y Portugal, países donde la crisis económica ha sido más profunda en otros in</w:t>
      </w:r>
      <w:r w:rsidR="000F7F5D" w:rsidRPr="00A55200">
        <w:rPr>
          <w:rFonts w:ascii="Times New Roman" w:eastAsia="Times New Roman" w:hAnsi="Times New Roman" w:cs="Times New Roman"/>
          <w:sz w:val="24"/>
          <w:szCs w:val="24"/>
        </w:rPr>
        <w:t xml:space="preserve">dicadores sociales y económicos y como </w:t>
      </w:r>
      <w:r w:rsidR="000F7F5D" w:rsidRPr="00A55200">
        <w:rPr>
          <w:rFonts w:ascii="Times New Roman" w:eastAsia="Times New Roman" w:hAnsi="Times New Roman" w:cs="Times New Roman"/>
          <w:sz w:val="24"/>
          <w:szCs w:val="24"/>
        </w:rPr>
        <w:lastRenderedPageBreak/>
        <w:t>constatamos en este trabajo presentan</w:t>
      </w:r>
      <w:r w:rsidR="003956B6" w:rsidRPr="00A55200">
        <w:rPr>
          <w:rFonts w:ascii="Times New Roman" w:eastAsia="Times New Roman" w:hAnsi="Times New Roman" w:cs="Times New Roman"/>
          <w:sz w:val="24"/>
          <w:szCs w:val="24"/>
        </w:rPr>
        <w:t xml:space="preserve"> también</w:t>
      </w:r>
      <w:r w:rsidR="000F7F5D" w:rsidRPr="00A55200">
        <w:rPr>
          <w:rFonts w:ascii="Times New Roman" w:eastAsia="Times New Roman" w:hAnsi="Times New Roman" w:cs="Times New Roman"/>
          <w:sz w:val="24"/>
          <w:szCs w:val="24"/>
        </w:rPr>
        <w:t xml:space="preserve"> debilidades institucionales</w:t>
      </w:r>
      <w:r w:rsidR="003956B6" w:rsidRPr="00A55200">
        <w:rPr>
          <w:rFonts w:ascii="Times New Roman" w:eastAsia="Times New Roman" w:hAnsi="Times New Roman" w:cs="Times New Roman"/>
          <w:sz w:val="24"/>
          <w:szCs w:val="24"/>
        </w:rPr>
        <w:t xml:space="preserve"> en el ámbito de la educación no-formal de las prácticas artísticas, </w:t>
      </w:r>
      <w:r w:rsidR="000F7F5D" w:rsidRPr="00A55200">
        <w:rPr>
          <w:rFonts w:ascii="Times New Roman" w:eastAsia="Times New Roman" w:hAnsi="Times New Roman" w:cs="Times New Roman"/>
          <w:sz w:val="24"/>
          <w:szCs w:val="24"/>
        </w:rPr>
        <w:t>que acaban afectando al consumo cultural.</w:t>
      </w:r>
      <w:r w:rsidR="0042195A" w:rsidRPr="00A55200">
        <w:rPr>
          <w:rFonts w:ascii="Times New Roman" w:eastAsia="Times New Roman" w:hAnsi="Times New Roman" w:cs="Times New Roman"/>
          <w:sz w:val="24"/>
          <w:szCs w:val="24"/>
        </w:rPr>
        <w:t xml:space="preserve"> Sin embargo</w:t>
      </w:r>
      <w:r w:rsidR="003956B6" w:rsidRPr="00A55200">
        <w:rPr>
          <w:rFonts w:ascii="Times New Roman" w:eastAsia="Times New Roman" w:hAnsi="Times New Roman" w:cs="Times New Roman"/>
          <w:sz w:val="24"/>
          <w:szCs w:val="24"/>
        </w:rPr>
        <w:t>,</w:t>
      </w:r>
      <w:r w:rsidR="0042195A" w:rsidRPr="00A55200">
        <w:rPr>
          <w:rFonts w:ascii="Times New Roman" w:eastAsia="Times New Roman" w:hAnsi="Times New Roman" w:cs="Times New Roman"/>
          <w:sz w:val="24"/>
          <w:szCs w:val="24"/>
        </w:rPr>
        <w:t xml:space="preserve"> podemos constatar por otro lado que</w:t>
      </w:r>
      <w:r w:rsidR="002D7060" w:rsidRPr="00A55200">
        <w:rPr>
          <w:rFonts w:ascii="Times New Roman" w:eastAsia="Times New Roman" w:hAnsi="Times New Roman" w:cs="Times New Roman"/>
          <w:sz w:val="24"/>
          <w:szCs w:val="24"/>
        </w:rPr>
        <w:t>,</w:t>
      </w:r>
      <w:r w:rsidR="0042195A" w:rsidRPr="00A55200">
        <w:rPr>
          <w:rFonts w:ascii="Times New Roman" w:eastAsia="Times New Roman" w:hAnsi="Times New Roman" w:cs="Times New Roman"/>
          <w:sz w:val="24"/>
          <w:szCs w:val="24"/>
        </w:rPr>
        <w:t xml:space="preserve"> p</w:t>
      </w:r>
      <w:r w:rsidR="00A360B4" w:rsidRPr="00A55200">
        <w:rPr>
          <w:rFonts w:ascii="Times New Roman" w:eastAsia="Times New Roman" w:hAnsi="Times New Roman" w:cs="Times New Roman"/>
          <w:sz w:val="24"/>
          <w:szCs w:val="24"/>
        </w:rPr>
        <w:t xml:space="preserve">ese a los recortes en la cultura </w:t>
      </w:r>
      <w:r w:rsidR="00C8109F">
        <w:rPr>
          <w:rFonts w:ascii="Times New Roman" w:eastAsia="Times New Roman" w:hAnsi="Times New Roman" w:cs="Times New Roman"/>
          <w:sz w:val="24"/>
          <w:szCs w:val="24"/>
        </w:rPr>
        <w:t>–</w:t>
      </w:r>
      <w:r w:rsidR="00A360B4" w:rsidRPr="00A55200">
        <w:rPr>
          <w:rFonts w:ascii="Times New Roman" w:eastAsia="Times New Roman" w:hAnsi="Times New Roman" w:cs="Times New Roman"/>
          <w:sz w:val="24"/>
          <w:szCs w:val="24"/>
        </w:rPr>
        <w:t>que también han tenido lugar en el Reino Unido</w:t>
      </w:r>
      <w:r w:rsidR="00C8109F">
        <w:rPr>
          <w:rFonts w:ascii="Times New Roman" w:eastAsia="Times New Roman" w:hAnsi="Times New Roman" w:cs="Times New Roman"/>
          <w:sz w:val="24"/>
          <w:szCs w:val="24"/>
        </w:rPr>
        <w:t>–</w:t>
      </w:r>
      <w:r w:rsidR="00A360B4" w:rsidRPr="00A55200">
        <w:rPr>
          <w:rFonts w:ascii="Times New Roman" w:eastAsia="Times New Roman" w:hAnsi="Times New Roman" w:cs="Times New Roman"/>
          <w:sz w:val="24"/>
          <w:szCs w:val="24"/>
        </w:rPr>
        <w:t xml:space="preserve"> el consu</w:t>
      </w:r>
      <w:r w:rsidR="003956B6" w:rsidRPr="00A55200">
        <w:rPr>
          <w:rFonts w:ascii="Times New Roman" w:eastAsia="Times New Roman" w:hAnsi="Times New Roman" w:cs="Times New Roman"/>
          <w:sz w:val="24"/>
          <w:szCs w:val="24"/>
        </w:rPr>
        <w:t>mo no se ha resentido (valor 0) en el periodo de crisis analizado.</w:t>
      </w:r>
      <w:r w:rsidR="00A360B4" w:rsidRPr="00A55200">
        <w:rPr>
          <w:rFonts w:ascii="Times New Roman" w:eastAsia="Times New Roman" w:hAnsi="Times New Roman" w:cs="Times New Roman"/>
          <w:sz w:val="24"/>
          <w:szCs w:val="24"/>
        </w:rPr>
        <w:t xml:space="preserve"> El descenso también se produce en los países que representan el modelo centroeuropeo y el nórdico si bien de manera mucho menos significativa que en los países del sur de Europa. El consumo cultural</w:t>
      </w:r>
      <w:r w:rsidR="003956B6" w:rsidRPr="00A55200">
        <w:rPr>
          <w:rFonts w:ascii="Times New Roman" w:eastAsia="Times New Roman" w:hAnsi="Times New Roman" w:cs="Times New Roman"/>
          <w:sz w:val="24"/>
          <w:szCs w:val="24"/>
        </w:rPr>
        <w:t>,</w:t>
      </w:r>
      <w:r w:rsidR="00A360B4" w:rsidRPr="00A55200">
        <w:rPr>
          <w:rFonts w:ascii="Times New Roman" w:eastAsia="Times New Roman" w:hAnsi="Times New Roman" w:cs="Times New Roman"/>
          <w:sz w:val="24"/>
          <w:szCs w:val="24"/>
        </w:rPr>
        <w:t xml:space="preserve"> siendo menor en los países del sur de Europa</w:t>
      </w:r>
      <w:r w:rsidR="003956B6" w:rsidRPr="00A55200">
        <w:rPr>
          <w:rFonts w:ascii="Times New Roman" w:eastAsia="Times New Roman" w:hAnsi="Times New Roman" w:cs="Times New Roman"/>
          <w:sz w:val="24"/>
          <w:szCs w:val="24"/>
        </w:rPr>
        <w:t>,</w:t>
      </w:r>
      <w:r w:rsidR="0042195A" w:rsidRPr="00A55200">
        <w:rPr>
          <w:rFonts w:ascii="Times New Roman" w:eastAsia="Times New Roman" w:hAnsi="Times New Roman" w:cs="Times New Roman"/>
          <w:sz w:val="24"/>
          <w:szCs w:val="24"/>
        </w:rPr>
        <w:t xml:space="preserve"> además</w:t>
      </w:r>
      <w:r w:rsidR="00A360B4" w:rsidRPr="00A55200">
        <w:rPr>
          <w:rFonts w:ascii="Times New Roman" w:eastAsia="Times New Roman" w:hAnsi="Times New Roman" w:cs="Times New Roman"/>
          <w:sz w:val="24"/>
          <w:szCs w:val="24"/>
        </w:rPr>
        <w:t xml:space="preserve"> ha caído porcentualmente más en el periodo de crisis global. Es esta una evidencia del proceso de </w:t>
      </w:r>
      <w:r w:rsidR="004E2B4C">
        <w:rPr>
          <w:rFonts w:ascii="Times New Roman" w:eastAsia="Times New Roman" w:hAnsi="Times New Roman" w:cs="Times New Roman"/>
          <w:sz w:val="24"/>
          <w:szCs w:val="24"/>
        </w:rPr>
        <w:t xml:space="preserve">no convergencia </w:t>
      </w:r>
      <w:r w:rsidR="00A360B4" w:rsidRPr="00A55200">
        <w:rPr>
          <w:rFonts w:ascii="Times New Roman" w:eastAsia="Times New Roman" w:hAnsi="Times New Roman" w:cs="Times New Roman"/>
          <w:sz w:val="24"/>
          <w:szCs w:val="24"/>
        </w:rPr>
        <w:t>en las prácticas culturales del sur de Europa y a su vez un indicador negativo persistente de la orientación democratizadora de las políticas culturales.</w:t>
      </w:r>
      <w:r w:rsidR="00A55200">
        <w:rPr>
          <w:rFonts w:ascii="Times New Roman" w:eastAsia="Times New Roman" w:hAnsi="Times New Roman" w:cs="Times New Roman"/>
          <w:sz w:val="24"/>
          <w:szCs w:val="24"/>
        </w:rPr>
        <w:t xml:space="preserve"> </w:t>
      </w:r>
    </w:p>
    <w:p w14:paraId="018EB8F5" w14:textId="77777777" w:rsidR="00A360B4" w:rsidRPr="00A55200" w:rsidRDefault="00A360B4" w:rsidP="007829E5">
      <w:pPr>
        <w:spacing w:after="0" w:line="480" w:lineRule="auto"/>
        <w:rPr>
          <w:rFonts w:ascii="Times New Roman" w:eastAsia="Times New Roman" w:hAnsi="Times New Roman" w:cs="Times New Roman"/>
          <w:sz w:val="24"/>
          <w:szCs w:val="24"/>
        </w:rPr>
      </w:pPr>
    </w:p>
    <w:p w14:paraId="5B5A43D4" w14:textId="327163E8" w:rsidR="00A360B4" w:rsidRPr="00E65068" w:rsidRDefault="00E65068" w:rsidP="007829E5">
      <w:pPr>
        <w:spacing w:after="0" w:line="480" w:lineRule="auto"/>
        <w:rPr>
          <w:rFonts w:ascii="Times New Roman" w:eastAsia="Times New Roman" w:hAnsi="Times New Roman" w:cs="Times New Roman"/>
        </w:rPr>
      </w:pPr>
      <w:r w:rsidRPr="00E65068">
        <w:rPr>
          <w:rFonts w:ascii="Times New Roman" w:eastAsia="Times New Roman" w:hAnsi="Times New Roman" w:cs="Times New Roman"/>
          <w:b/>
        </w:rPr>
        <w:t>Figura</w:t>
      </w:r>
      <w:r w:rsidR="003956B6" w:rsidRPr="00E65068">
        <w:rPr>
          <w:rFonts w:ascii="Times New Roman" w:eastAsia="Times New Roman" w:hAnsi="Times New Roman" w:cs="Times New Roman"/>
          <w:b/>
        </w:rPr>
        <w:t xml:space="preserve"> </w:t>
      </w:r>
      <w:r w:rsidR="00213952" w:rsidRPr="00E65068">
        <w:rPr>
          <w:rFonts w:ascii="Times New Roman" w:eastAsia="Times New Roman" w:hAnsi="Times New Roman" w:cs="Times New Roman"/>
          <w:b/>
        </w:rPr>
        <w:t>2</w:t>
      </w:r>
      <w:r w:rsidR="00A360B4" w:rsidRPr="00E65068">
        <w:rPr>
          <w:rFonts w:ascii="Times New Roman" w:eastAsia="Times New Roman" w:hAnsi="Times New Roman" w:cs="Times New Roman"/>
          <w:b/>
        </w:rPr>
        <w:t>.</w:t>
      </w:r>
      <w:r w:rsidR="00A360B4" w:rsidRPr="00E65068">
        <w:rPr>
          <w:rFonts w:ascii="Times New Roman" w:eastAsia="Times New Roman" w:hAnsi="Times New Roman" w:cs="Times New Roman"/>
        </w:rPr>
        <w:t xml:space="preserve"> Indicador sintético de la caída del consumo cultural: 2007-2013</w:t>
      </w:r>
    </w:p>
    <w:p w14:paraId="30E8F808" w14:textId="0499B6B9" w:rsidR="00A360B4" w:rsidRPr="00A55200" w:rsidRDefault="00A63621" w:rsidP="007829E5">
      <w:pPr>
        <w:spacing w:after="0" w:line="480" w:lineRule="auto"/>
        <w:rPr>
          <w:rFonts w:ascii="Times New Roman" w:eastAsia="Times New Roman" w:hAnsi="Times New Roman" w:cs="Times New Roman"/>
          <w:sz w:val="24"/>
          <w:szCs w:val="24"/>
        </w:rPr>
      </w:pPr>
      <w:r>
        <w:rPr>
          <w:noProof/>
          <w:lang w:eastAsia="es-ES"/>
        </w:rPr>
        <w:drawing>
          <wp:inline distT="0" distB="0" distL="0" distR="0" wp14:anchorId="18038CB5" wp14:editId="52FDCE53">
            <wp:extent cx="4572000" cy="2743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0" w:name="_GoBack"/>
      <w:bookmarkEnd w:id="0"/>
    </w:p>
    <w:p w14:paraId="74800BF1" w14:textId="77777777" w:rsidR="00A360B4" w:rsidRPr="00E65068" w:rsidRDefault="00A360B4" w:rsidP="007829E5">
      <w:pPr>
        <w:spacing w:after="0" w:line="480" w:lineRule="auto"/>
        <w:rPr>
          <w:rFonts w:ascii="Times New Roman" w:eastAsia="Times New Roman" w:hAnsi="Times New Roman" w:cs="Times New Roman"/>
        </w:rPr>
      </w:pPr>
      <w:r w:rsidRPr="00E65068">
        <w:rPr>
          <w:rFonts w:ascii="Times New Roman" w:eastAsia="Times New Roman" w:hAnsi="Times New Roman" w:cs="Times New Roman"/>
        </w:rPr>
        <w:t>Elaboración propia.</w:t>
      </w:r>
      <w:r w:rsidR="002D7060" w:rsidRPr="00E65068">
        <w:rPr>
          <w:rFonts w:ascii="Times New Roman" w:eastAsia="Times New Roman" w:hAnsi="Times New Roman" w:cs="Times New Roman"/>
        </w:rPr>
        <w:t xml:space="preserve"> </w:t>
      </w:r>
      <w:r w:rsidRPr="00E65068">
        <w:rPr>
          <w:rFonts w:ascii="Times New Roman" w:eastAsia="Times New Roman" w:hAnsi="Times New Roman" w:cs="Times New Roman"/>
        </w:rPr>
        <w:t>Fuente: Eurobarometros 2007 y 2013.</w:t>
      </w:r>
    </w:p>
    <w:p w14:paraId="6F570FDD" w14:textId="77777777" w:rsidR="00A360B4" w:rsidRPr="00A55200" w:rsidRDefault="00A360B4" w:rsidP="007829E5">
      <w:pPr>
        <w:spacing w:after="0" w:line="480" w:lineRule="auto"/>
        <w:rPr>
          <w:rFonts w:ascii="Times New Roman" w:eastAsia="Times New Roman" w:hAnsi="Times New Roman" w:cs="Times New Roman"/>
          <w:sz w:val="24"/>
          <w:szCs w:val="24"/>
        </w:rPr>
      </w:pPr>
    </w:p>
    <w:p w14:paraId="7A08801A" w14:textId="46987BD8" w:rsidR="00A360B4" w:rsidRPr="00A55200" w:rsidRDefault="00A360B4" w:rsidP="007829E5">
      <w:pPr>
        <w:spacing w:after="0" w:line="480" w:lineRule="auto"/>
        <w:rPr>
          <w:rFonts w:ascii="Times New Roman" w:eastAsia="Times New Roman" w:hAnsi="Times New Roman" w:cs="Times New Roman"/>
          <w:sz w:val="24"/>
          <w:szCs w:val="24"/>
        </w:rPr>
      </w:pPr>
      <w:r w:rsidRPr="00A55200">
        <w:rPr>
          <w:rFonts w:ascii="Times New Roman" w:eastAsia="Times New Roman" w:hAnsi="Times New Roman" w:cs="Times New Roman"/>
          <w:sz w:val="24"/>
          <w:szCs w:val="24"/>
        </w:rPr>
        <w:t xml:space="preserve">Si atendemos a </w:t>
      </w:r>
      <w:r w:rsidR="002D7060" w:rsidRPr="00A55200">
        <w:rPr>
          <w:rFonts w:ascii="Times New Roman" w:eastAsia="Times New Roman" w:hAnsi="Times New Roman" w:cs="Times New Roman"/>
          <w:sz w:val="24"/>
          <w:szCs w:val="24"/>
        </w:rPr>
        <w:t>las razones</w:t>
      </w:r>
      <w:r w:rsidRPr="00A55200">
        <w:rPr>
          <w:rFonts w:ascii="Times New Roman" w:eastAsia="Times New Roman" w:hAnsi="Times New Roman" w:cs="Times New Roman"/>
          <w:sz w:val="24"/>
          <w:szCs w:val="24"/>
        </w:rPr>
        <w:t xml:space="preserve"> por las que los europeos no consumi</w:t>
      </w:r>
      <w:r w:rsidR="0042195A" w:rsidRPr="00A55200">
        <w:rPr>
          <w:rFonts w:ascii="Times New Roman" w:eastAsia="Times New Roman" w:hAnsi="Times New Roman" w:cs="Times New Roman"/>
          <w:sz w:val="24"/>
          <w:szCs w:val="24"/>
        </w:rPr>
        <w:t>eron más o no pudieron consumir</w:t>
      </w:r>
      <w:r w:rsidR="00DA3BE2" w:rsidRPr="00A55200">
        <w:rPr>
          <w:rFonts w:ascii="Times New Roman" w:eastAsia="Times New Roman" w:hAnsi="Times New Roman" w:cs="Times New Roman"/>
          <w:sz w:val="24"/>
          <w:szCs w:val="24"/>
        </w:rPr>
        <w:t>,</w:t>
      </w:r>
      <w:r w:rsidR="0042195A" w:rsidRPr="00A55200">
        <w:rPr>
          <w:rFonts w:ascii="Times New Roman" w:eastAsia="Times New Roman" w:hAnsi="Times New Roman" w:cs="Times New Roman"/>
          <w:sz w:val="24"/>
          <w:szCs w:val="24"/>
        </w:rPr>
        <w:t xml:space="preserve"> que se consideran en el Eurobarómetro</w:t>
      </w:r>
      <w:r w:rsidR="00DA3BE2" w:rsidRPr="00A55200">
        <w:rPr>
          <w:rFonts w:ascii="Times New Roman" w:eastAsia="Times New Roman" w:hAnsi="Times New Roman" w:cs="Times New Roman"/>
          <w:sz w:val="24"/>
          <w:szCs w:val="24"/>
        </w:rPr>
        <w:t xml:space="preserve"> observamos (Gráfico 3</w:t>
      </w:r>
      <w:r w:rsidRPr="00A55200">
        <w:rPr>
          <w:rFonts w:ascii="Times New Roman" w:eastAsia="Times New Roman" w:hAnsi="Times New Roman" w:cs="Times New Roman"/>
          <w:sz w:val="24"/>
          <w:szCs w:val="24"/>
        </w:rPr>
        <w:t>) que no hay diferencias significativas –salvo el caso de Portugal</w:t>
      </w:r>
      <w:r w:rsidR="00C8109F">
        <w:rPr>
          <w:rFonts w:ascii="Times New Roman" w:eastAsia="Times New Roman" w:hAnsi="Times New Roman" w:cs="Times New Roman"/>
          <w:sz w:val="24"/>
          <w:szCs w:val="24"/>
        </w:rPr>
        <w:t>–</w:t>
      </w:r>
      <w:r w:rsidRPr="00A55200">
        <w:rPr>
          <w:rFonts w:ascii="Times New Roman" w:eastAsia="Times New Roman" w:hAnsi="Times New Roman" w:cs="Times New Roman"/>
          <w:sz w:val="24"/>
          <w:szCs w:val="24"/>
        </w:rPr>
        <w:t xml:space="preserve"> ent</w:t>
      </w:r>
      <w:r w:rsidR="00DA3BE2" w:rsidRPr="00A55200">
        <w:rPr>
          <w:rFonts w:ascii="Times New Roman" w:eastAsia="Times New Roman" w:hAnsi="Times New Roman" w:cs="Times New Roman"/>
          <w:sz w:val="24"/>
          <w:szCs w:val="24"/>
        </w:rPr>
        <w:t xml:space="preserve">re la media de la UE </w:t>
      </w:r>
      <w:r w:rsidRPr="00A55200">
        <w:rPr>
          <w:rFonts w:ascii="Times New Roman" w:eastAsia="Times New Roman" w:hAnsi="Times New Roman" w:cs="Times New Roman"/>
          <w:sz w:val="24"/>
          <w:szCs w:val="24"/>
        </w:rPr>
        <w:t xml:space="preserve">y al resto de </w:t>
      </w:r>
      <w:r w:rsidRPr="00A55200">
        <w:rPr>
          <w:rFonts w:ascii="Times New Roman" w:eastAsia="Times New Roman" w:hAnsi="Times New Roman" w:cs="Times New Roman"/>
          <w:sz w:val="24"/>
          <w:szCs w:val="24"/>
        </w:rPr>
        <w:lastRenderedPageBreak/>
        <w:t xml:space="preserve">países del sur de Europa, si bien son ligeramente mayores que los países representantes del modelo liberal. De ello se deduce que la ausencia de </w:t>
      </w:r>
      <w:r w:rsidR="00580C56" w:rsidRPr="00A55200">
        <w:rPr>
          <w:rFonts w:ascii="Times New Roman" w:eastAsia="Times New Roman" w:hAnsi="Times New Roman" w:cs="Times New Roman"/>
          <w:sz w:val="24"/>
          <w:szCs w:val="24"/>
        </w:rPr>
        <w:t xml:space="preserve">una </w:t>
      </w:r>
      <w:r w:rsidRPr="00A55200">
        <w:rPr>
          <w:rFonts w:ascii="Times New Roman" w:eastAsia="Times New Roman" w:hAnsi="Times New Roman" w:cs="Times New Roman"/>
          <w:sz w:val="24"/>
          <w:szCs w:val="24"/>
        </w:rPr>
        <w:t>socialización con las artes no parece ser un elemento diferenciador de los países del sur de Europa frente al resto de modelos de política cultural</w:t>
      </w:r>
      <w:r w:rsidRPr="004E2B4C">
        <w:rPr>
          <w:rFonts w:ascii="Times New Roman" w:eastAsia="Times New Roman" w:hAnsi="Times New Roman" w:cs="Times New Roman"/>
          <w:sz w:val="24"/>
          <w:szCs w:val="24"/>
        </w:rPr>
        <w:t>. Es</w:t>
      </w:r>
      <w:r w:rsidR="009A1E54" w:rsidRPr="004E2B4C">
        <w:rPr>
          <w:rFonts w:ascii="Times New Roman" w:eastAsia="Times New Roman" w:hAnsi="Times New Roman" w:cs="Times New Roman"/>
          <w:sz w:val="24"/>
          <w:szCs w:val="24"/>
        </w:rPr>
        <w:t xml:space="preserve"> </w:t>
      </w:r>
      <w:r w:rsidR="004E2B4C" w:rsidRPr="004E2B4C">
        <w:rPr>
          <w:rFonts w:ascii="Times New Roman" w:eastAsia="Times New Roman" w:hAnsi="Times New Roman" w:cs="Times New Roman"/>
          <w:sz w:val="24"/>
          <w:szCs w:val="24"/>
        </w:rPr>
        <w:t>“</w:t>
      </w:r>
      <w:r w:rsidR="009A1E54" w:rsidRPr="004E2B4C">
        <w:rPr>
          <w:rFonts w:ascii="Times New Roman" w:eastAsia="Times New Roman" w:hAnsi="Times New Roman" w:cs="Times New Roman"/>
          <w:sz w:val="24"/>
          <w:szCs w:val="24"/>
        </w:rPr>
        <w:t>la falta de interés</w:t>
      </w:r>
      <w:r w:rsidR="004E2B4C" w:rsidRPr="004E2B4C">
        <w:rPr>
          <w:rFonts w:ascii="Times New Roman" w:eastAsia="Times New Roman" w:hAnsi="Times New Roman" w:cs="Times New Roman"/>
          <w:sz w:val="24"/>
          <w:szCs w:val="24"/>
        </w:rPr>
        <w:t>”</w:t>
      </w:r>
      <w:r w:rsidRPr="004E2B4C">
        <w:rPr>
          <w:rFonts w:ascii="Times New Roman" w:eastAsia="Times New Roman" w:hAnsi="Times New Roman" w:cs="Times New Roman"/>
          <w:sz w:val="24"/>
          <w:szCs w:val="24"/>
        </w:rPr>
        <w:t xml:space="preserve"> junto a </w:t>
      </w:r>
      <w:r w:rsidR="004E2B4C" w:rsidRPr="004E2B4C">
        <w:rPr>
          <w:rFonts w:ascii="Times New Roman" w:eastAsia="Times New Roman" w:hAnsi="Times New Roman" w:cs="Times New Roman"/>
          <w:sz w:val="24"/>
          <w:szCs w:val="24"/>
        </w:rPr>
        <w:t>“</w:t>
      </w:r>
      <w:r w:rsidRPr="004E2B4C">
        <w:rPr>
          <w:rFonts w:ascii="Times New Roman" w:eastAsia="Times New Roman" w:hAnsi="Times New Roman" w:cs="Times New Roman"/>
          <w:sz w:val="24"/>
          <w:szCs w:val="24"/>
        </w:rPr>
        <w:t>la falta de tiempo</w:t>
      </w:r>
      <w:r w:rsidR="004E2B4C" w:rsidRPr="004E2B4C">
        <w:rPr>
          <w:rFonts w:ascii="Times New Roman" w:eastAsia="Times New Roman" w:hAnsi="Times New Roman" w:cs="Times New Roman"/>
          <w:sz w:val="24"/>
          <w:szCs w:val="24"/>
        </w:rPr>
        <w:t>”</w:t>
      </w:r>
      <w:r w:rsidRPr="004E2B4C">
        <w:rPr>
          <w:rFonts w:ascii="Times New Roman" w:eastAsia="Times New Roman" w:hAnsi="Times New Roman" w:cs="Times New Roman"/>
          <w:sz w:val="24"/>
          <w:szCs w:val="24"/>
        </w:rPr>
        <w:t xml:space="preserve"> las </w:t>
      </w:r>
      <w:r w:rsidRPr="00A55200">
        <w:rPr>
          <w:rFonts w:ascii="Times New Roman" w:eastAsia="Times New Roman" w:hAnsi="Times New Roman" w:cs="Times New Roman"/>
          <w:sz w:val="24"/>
          <w:szCs w:val="24"/>
        </w:rPr>
        <w:t>principales razones que aducen los europeo</w:t>
      </w:r>
      <w:r w:rsidR="0042195A" w:rsidRPr="00A55200">
        <w:rPr>
          <w:rFonts w:ascii="Times New Roman" w:eastAsia="Times New Roman" w:hAnsi="Times New Roman" w:cs="Times New Roman"/>
          <w:sz w:val="24"/>
          <w:szCs w:val="24"/>
        </w:rPr>
        <w:t xml:space="preserve">s para no consumir más cultura, si bien esta última parece tener una connotación que remite a </w:t>
      </w:r>
      <w:r w:rsidR="006F5FEF" w:rsidRPr="00A55200">
        <w:rPr>
          <w:rFonts w:ascii="Times New Roman" w:eastAsia="Times New Roman" w:hAnsi="Times New Roman" w:cs="Times New Roman"/>
          <w:sz w:val="24"/>
          <w:szCs w:val="24"/>
        </w:rPr>
        <w:t xml:space="preserve">un relativo </w:t>
      </w:r>
      <w:r w:rsidR="0042195A" w:rsidRPr="00A55200">
        <w:rPr>
          <w:rFonts w:ascii="Times New Roman" w:eastAsia="Times New Roman" w:hAnsi="Times New Roman" w:cs="Times New Roman"/>
          <w:sz w:val="24"/>
          <w:szCs w:val="24"/>
        </w:rPr>
        <w:t>interés hacia l</w:t>
      </w:r>
      <w:r w:rsidR="00DA3BE2" w:rsidRPr="00A55200">
        <w:rPr>
          <w:rFonts w:ascii="Times New Roman" w:eastAsia="Times New Roman" w:hAnsi="Times New Roman" w:cs="Times New Roman"/>
          <w:sz w:val="24"/>
          <w:szCs w:val="24"/>
        </w:rPr>
        <w:t>a cultura que no es prevalente en todo caso en sus decisiones del consumo.</w:t>
      </w:r>
    </w:p>
    <w:p w14:paraId="33275829" w14:textId="36FBC575" w:rsidR="00213952" w:rsidRPr="00E65068" w:rsidRDefault="00E65068" w:rsidP="007829E5">
      <w:pPr>
        <w:spacing w:after="0" w:line="480" w:lineRule="auto"/>
        <w:rPr>
          <w:rFonts w:ascii="Times New Roman" w:eastAsia="Times New Roman" w:hAnsi="Times New Roman" w:cs="Times New Roman"/>
        </w:rPr>
      </w:pPr>
      <w:r w:rsidRPr="00E65068">
        <w:rPr>
          <w:rFonts w:ascii="Times New Roman" w:eastAsia="Times New Roman" w:hAnsi="Times New Roman" w:cs="Times New Roman"/>
          <w:b/>
        </w:rPr>
        <w:t>Figura</w:t>
      </w:r>
      <w:r w:rsidR="00DA3BE2" w:rsidRPr="00E65068">
        <w:rPr>
          <w:rFonts w:ascii="Times New Roman" w:eastAsia="Times New Roman" w:hAnsi="Times New Roman" w:cs="Times New Roman"/>
          <w:b/>
        </w:rPr>
        <w:t xml:space="preserve"> </w:t>
      </w:r>
      <w:r w:rsidR="002D7060" w:rsidRPr="00E65068">
        <w:rPr>
          <w:rFonts w:ascii="Times New Roman" w:eastAsia="Times New Roman" w:hAnsi="Times New Roman" w:cs="Times New Roman"/>
          <w:b/>
        </w:rPr>
        <w:t>3.</w:t>
      </w:r>
      <w:r w:rsidR="002D7060" w:rsidRPr="00E65068">
        <w:rPr>
          <w:rFonts w:ascii="Times New Roman" w:eastAsia="Times New Roman" w:hAnsi="Times New Roman" w:cs="Times New Roman"/>
        </w:rPr>
        <w:t xml:space="preserve"> Indicador</w:t>
      </w:r>
      <w:r w:rsidR="00DA3BE2" w:rsidRPr="00E65068">
        <w:rPr>
          <w:rFonts w:ascii="Times New Roman" w:eastAsia="Times New Roman" w:hAnsi="Times New Roman" w:cs="Times New Roman"/>
        </w:rPr>
        <w:t xml:space="preserve"> sintético del promedio en las respuestas “Falta de interés” en no consumir cultura. </w:t>
      </w:r>
    </w:p>
    <w:p w14:paraId="076DFA55" w14:textId="77777777" w:rsidR="00A360B4" w:rsidRPr="00A55200" w:rsidRDefault="00A360B4" w:rsidP="007829E5">
      <w:pPr>
        <w:spacing w:after="0" w:line="480" w:lineRule="auto"/>
        <w:rPr>
          <w:rFonts w:ascii="Times New Roman" w:eastAsia="Times New Roman" w:hAnsi="Times New Roman" w:cs="Times New Roman"/>
          <w:sz w:val="24"/>
          <w:szCs w:val="24"/>
        </w:rPr>
      </w:pPr>
      <w:r w:rsidRPr="00A55200">
        <w:rPr>
          <w:rFonts w:ascii="Times New Roman" w:hAnsi="Times New Roman" w:cs="Times New Roman"/>
          <w:noProof/>
          <w:lang w:eastAsia="es-ES"/>
        </w:rPr>
        <w:drawing>
          <wp:inline distT="0" distB="0" distL="0" distR="0" wp14:anchorId="307B5DDB" wp14:editId="07CC7287">
            <wp:extent cx="4572000" cy="2638425"/>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12955C3" w14:textId="77777777" w:rsidR="00A360B4" w:rsidRPr="00E65068" w:rsidRDefault="00A360B4" w:rsidP="007829E5">
      <w:pPr>
        <w:spacing w:after="0" w:line="480" w:lineRule="auto"/>
        <w:rPr>
          <w:rFonts w:ascii="Times New Roman" w:eastAsia="Times New Roman" w:hAnsi="Times New Roman" w:cs="Times New Roman"/>
        </w:rPr>
      </w:pPr>
      <w:r w:rsidRPr="00E65068">
        <w:rPr>
          <w:rFonts w:ascii="Times New Roman" w:eastAsia="Times New Roman" w:hAnsi="Times New Roman" w:cs="Times New Roman"/>
        </w:rPr>
        <w:t xml:space="preserve">Elaboración </w:t>
      </w:r>
      <w:r w:rsidR="002D7060" w:rsidRPr="00E65068">
        <w:rPr>
          <w:rFonts w:ascii="Times New Roman" w:eastAsia="Times New Roman" w:hAnsi="Times New Roman" w:cs="Times New Roman"/>
        </w:rPr>
        <w:t>propia. Fuente</w:t>
      </w:r>
      <w:r w:rsidRPr="00E65068">
        <w:rPr>
          <w:rFonts w:ascii="Times New Roman" w:eastAsia="Times New Roman" w:hAnsi="Times New Roman" w:cs="Times New Roman"/>
        </w:rPr>
        <w:t>: Eurobarometros 2007 y 2013.</w:t>
      </w:r>
    </w:p>
    <w:p w14:paraId="49CBED3C" w14:textId="77777777" w:rsidR="00A360B4" w:rsidRPr="00A55200" w:rsidRDefault="00A360B4" w:rsidP="007829E5">
      <w:pPr>
        <w:spacing w:after="0" w:line="480" w:lineRule="auto"/>
        <w:rPr>
          <w:rFonts w:ascii="Times New Roman" w:eastAsia="Times New Roman" w:hAnsi="Times New Roman" w:cs="Times New Roman"/>
          <w:sz w:val="24"/>
          <w:szCs w:val="24"/>
        </w:rPr>
      </w:pPr>
    </w:p>
    <w:p w14:paraId="2F58F702" w14:textId="77777777" w:rsidR="00A360B4" w:rsidRPr="00A55200" w:rsidRDefault="00A360B4" w:rsidP="007829E5">
      <w:pPr>
        <w:spacing w:after="0" w:line="480" w:lineRule="auto"/>
        <w:rPr>
          <w:rFonts w:ascii="Times New Roman" w:eastAsia="Times New Roman" w:hAnsi="Times New Roman" w:cs="Times New Roman"/>
          <w:sz w:val="24"/>
          <w:szCs w:val="24"/>
        </w:rPr>
      </w:pPr>
      <w:r w:rsidRPr="00A55200">
        <w:rPr>
          <w:rFonts w:ascii="Times New Roman" w:eastAsia="Times New Roman" w:hAnsi="Times New Roman" w:cs="Times New Roman"/>
          <w:sz w:val="24"/>
          <w:szCs w:val="24"/>
        </w:rPr>
        <w:t xml:space="preserve">Donde sí, por el </w:t>
      </w:r>
      <w:r w:rsidR="002D7060" w:rsidRPr="00A55200">
        <w:rPr>
          <w:rFonts w:ascii="Times New Roman" w:eastAsia="Times New Roman" w:hAnsi="Times New Roman" w:cs="Times New Roman"/>
          <w:sz w:val="24"/>
          <w:szCs w:val="24"/>
        </w:rPr>
        <w:t>contrario, parece</w:t>
      </w:r>
      <w:r w:rsidRPr="00A55200">
        <w:rPr>
          <w:rFonts w:ascii="Times New Roman" w:eastAsia="Times New Roman" w:hAnsi="Times New Roman" w:cs="Times New Roman"/>
          <w:sz w:val="24"/>
          <w:szCs w:val="24"/>
        </w:rPr>
        <w:t xml:space="preserve"> haber una diferencia mayor entre los países del sur frente al resto de los europeos es por el lado de la oferta, en el sentido de que la frecuencia de la respuesta de mucho mayor. </w:t>
      </w:r>
      <w:r w:rsidR="00575840" w:rsidRPr="00A55200">
        <w:rPr>
          <w:rFonts w:ascii="Times New Roman" w:eastAsia="Times New Roman" w:hAnsi="Times New Roman" w:cs="Times New Roman"/>
          <w:sz w:val="24"/>
          <w:szCs w:val="24"/>
        </w:rPr>
        <w:t>En la encuesta referida</w:t>
      </w:r>
      <w:r w:rsidR="007D2CCC" w:rsidRPr="00A55200">
        <w:rPr>
          <w:rFonts w:ascii="Times New Roman" w:eastAsia="Times New Roman" w:hAnsi="Times New Roman" w:cs="Times New Roman"/>
          <w:sz w:val="24"/>
          <w:szCs w:val="24"/>
        </w:rPr>
        <w:t>, las respuestas que apuntan</w:t>
      </w:r>
      <w:r w:rsidR="00575840" w:rsidRPr="00A55200">
        <w:rPr>
          <w:rFonts w:ascii="Times New Roman" w:eastAsia="Times New Roman" w:hAnsi="Times New Roman" w:cs="Times New Roman"/>
          <w:sz w:val="24"/>
          <w:szCs w:val="24"/>
        </w:rPr>
        <w:t xml:space="preserve"> a unas condiciones deficitarias, escasas o en malas condiciones</w:t>
      </w:r>
      <w:r w:rsidR="007D2CCC" w:rsidRPr="00A55200">
        <w:rPr>
          <w:rFonts w:ascii="Times New Roman" w:eastAsia="Times New Roman" w:hAnsi="Times New Roman" w:cs="Times New Roman"/>
          <w:sz w:val="24"/>
          <w:szCs w:val="24"/>
        </w:rPr>
        <w:t xml:space="preserve"> de la oferta cultural</w:t>
      </w:r>
      <w:r w:rsidR="00575840" w:rsidRPr="00A55200">
        <w:rPr>
          <w:rFonts w:ascii="Times New Roman" w:eastAsia="Times New Roman" w:hAnsi="Times New Roman" w:cs="Times New Roman"/>
          <w:sz w:val="24"/>
          <w:szCs w:val="24"/>
        </w:rPr>
        <w:t xml:space="preserve"> son</w:t>
      </w:r>
      <w:r w:rsidR="007D2CCC" w:rsidRPr="00A55200">
        <w:rPr>
          <w:rFonts w:ascii="Times New Roman" w:eastAsia="Times New Roman" w:hAnsi="Times New Roman" w:cs="Times New Roman"/>
          <w:sz w:val="24"/>
          <w:szCs w:val="24"/>
        </w:rPr>
        <w:t xml:space="preserve"> porcentualmente menores que las que se refieren a falta de interés o falta de </w:t>
      </w:r>
      <w:r w:rsidR="002D7060" w:rsidRPr="00A55200">
        <w:rPr>
          <w:rFonts w:ascii="Times New Roman" w:eastAsia="Times New Roman" w:hAnsi="Times New Roman" w:cs="Times New Roman"/>
          <w:sz w:val="24"/>
          <w:szCs w:val="24"/>
        </w:rPr>
        <w:t>tiempo,</w:t>
      </w:r>
      <w:r w:rsidR="007D2CCC" w:rsidRPr="00A55200">
        <w:rPr>
          <w:rFonts w:ascii="Times New Roman" w:eastAsia="Times New Roman" w:hAnsi="Times New Roman" w:cs="Times New Roman"/>
          <w:sz w:val="24"/>
          <w:szCs w:val="24"/>
        </w:rPr>
        <w:t xml:space="preserve"> pero tal como muestra el gráfico son porcentualmente mayores en los países del sur. </w:t>
      </w:r>
      <w:r w:rsidRPr="00A55200">
        <w:rPr>
          <w:rFonts w:ascii="Times New Roman" w:eastAsia="Times New Roman" w:hAnsi="Times New Roman" w:cs="Times New Roman"/>
          <w:sz w:val="24"/>
          <w:szCs w:val="24"/>
        </w:rPr>
        <w:t xml:space="preserve">Esta dificultad de acceso a la oferta cultural puede apuntar a una deficiente democratización territorial de la </w:t>
      </w:r>
      <w:r w:rsidRPr="00A55200">
        <w:rPr>
          <w:rFonts w:ascii="Times New Roman" w:eastAsia="Times New Roman" w:hAnsi="Times New Roman" w:cs="Times New Roman"/>
          <w:sz w:val="24"/>
          <w:szCs w:val="24"/>
        </w:rPr>
        <w:lastRenderedPageBreak/>
        <w:t>cultura de dichos estados. En los casos representativos de los modelos centroeuropeo, liberal y nórdico el indicador sintético es menor del 10 % mientras que en los países del sur de Europa superan el 14 %, llegando casi</w:t>
      </w:r>
      <w:r w:rsidR="007D2CCC" w:rsidRPr="00A55200">
        <w:rPr>
          <w:rFonts w:ascii="Times New Roman" w:eastAsia="Times New Roman" w:hAnsi="Times New Roman" w:cs="Times New Roman"/>
          <w:sz w:val="24"/>
          <w:szCs w:val="24"/>
        </w:rPr>
        <w:t xml:space="preserve"> al 20% en e</w:t>
      </w:r>
      <w:r w:rsidR="00DA3BE2" w:rsidRPr="00A55200">
        <w:rPr>
          <w:rFonts w:ascii="Times New Roman" w:eastAsia="Times New Roman" w:hAnsi="Times New Roman" w:cs="Times New Roman"/>
          <w:sz w:val="24"/>
          <w:szCs w:val="24"/>
        </w:rPr>
        <w:t xml:space="preserve">l caso de Grecia. Si atendemos a los </w:t>
      </w:r>
      <w:r w:rsidR="007D2CCC" w:rsidRPr="00A55200">
        <w:rPr>
          <w:rFonts w:ascii="Times New Roman" w:eastAsia="Times New Roman" w:hAnsi="Times New Roman" w:cs="Times New Roman"/>
          <w:sz w:val="24"/>
          <w:szCs w:val="24"/>
        </w:rPr>
        <w:t>sectores</w:t>
      </w:r>
      <w:r w:rsidR="00DA3BE2" w:rsidRPr="00A55200">
        <w:rPr>
          <w:rFonts w:ascii="Times New Roman" w:eastAsia="Times New Roman" w:hAnsi="Times New Roman" w:cs="Times New Roman"/>
          <w:sz w:val="24"/>
          <w:szCs w:val="24"/>
        </w:rPr>
        <w:t>,</w:t>
      </w:r>
      <w:r w:rsidR="007D2CCC" w:rsidRPr="00A55200">
        <w:rPr>
          <w:rFonts w:ascii="Times New Roman" w:eastAsia="Times New Roman" w:hAnsi="Times New Roman" w:cs="Times New Roman"/>
          <w:sz w:val="24"/>
          <w:szCs w:val="24"/>
        </w:rPr>
        <w:t xml:space="preserve"> hay que reseñar los cas</w:t>
      </w:r>
      <w:r w:rsidR="00537FCB" w:rsidRPr="00A55200">
        <w:rPr>
          <w:rFonts w:ascii="Times New Roman" w:eastAsia="Times New Roman" w:hAnsi="Times New Roman" w:cs="Times New Roman"/>
          <w:sz w:val="24"/>
          <w:szCs w:val="24"/>
        </w:rPr>
        <w:t>os del t</w:t>
      </w:r>
      <w:r w:rsidR="007D2CCC" w:rsidRPr="00A55200">
        <w:rPr>
          <w:rFonts w:ascii="Times New Roman" w:eastAsia="Times New Roman" w:hAnsi="Times New Roman" w:cs="Times New Roman"/>
          <w:sz w:val="24"/>
          <w:szCs w:val="24"/>
        </w:rPr>
        <w:t>eatro en Grecia</w:t>
      </w:r>
      <w:r w:rsidR="00DA3BE2" w:rsidRPr="00A55200">
        <w:rPr>
          <w:rFonts w:ascii="Times New Roman" w:eastAsia="Times New Roman" w:hAnsi="Times New Roman" w:cs="Times New Roman"/>
          <w:sz w:val="24"/>
          <w:szCs w:val="24"/>
        </w:rPr>
        <w:t xml:space="preserve"> (40%), España y Portugal (31 </w:t>
      </w:r>
      <w:r w:rsidR="007D2CCC" w:rsidRPr="00A55200">
        <w:rPr>
          <w:rFonts w:ascii="Times New Roman" w:eastAsia="Times New Roman" w:hAnsi="Times New Roman" w:cs="Times New Roman"/>
          <w:sz w:val="24"/>
          <w:szCs w:val="24"/>
        </w:rPr>
        <w:t>%); en el cine el déficit de la oferta llega hasta el 42% en España, Grecia (30%) y Portugal (32%).</w:t>
      </w:r>
      <w:r w:rsidR="00537FCB" w:rsidRPr="00A55200">
        <w:rPr>
          <w:rFonts w:ascii="Times New Roman" w:eastAsia="Times New Roman" w:hAnsi="Times New Roman" w:cs="Times New Roman"/>
          <w:sz w:val="24"/>
          <w:szCs w:val="24"/>
        </w:rPr>
        <w:t xml:space="preserve"> </w:t>
      </w:r>
      <w:r w:rsidR="00DA3BE2" w:rsidRPr="00A55200">
        <w:rPr>
          <w:rFonts w:ascii="Times New Roman" w:eastAsia="Times New Roman" w:hAnsi="Times New Roman" w:cs="Times New Roman"/>
          <w:sz w:val="24"/>
          <w:szCs w:val="24"/>
        </w:rPr>
        <w:t xml:space="preserve">Estos datos deberían ser objeto de atención por parte de los gestores culturales y los responsables políticos. </w:t>
      </w:r>
    </w:p>
    <w:p w14:paraId="0308C3E6" w14:textId="4888C7B6" w:rsidR="00A360B4" w:rsidRPr="00E65068" w:rsidRDefault="00E65068" w:rsidP="007829E5">
      <w:pPr>
        <w:spacing w:after="0" w:line="480" w:lineRule="auto"/>
        <w:rPr>
          <w:rFonts w:ascii="Times New Roman" w:eastAsia="Times New Roman" w:hAnsi="Times New Roman" w:cs="Times New Roman"/>
        </w:rPr>
      </w:pPr>
      <w:r w:rsidRPr="00E65068">
        <w:rPr>
          <w:rFonts w:ascii="Times New Roman" w:eastAsia="Times New Roman" w:hAnsi="Times New Roman" w:cs="Times New Roman"/>
          <w:b/>
        </w:rPr>
        <w:t>Figura</w:t>
      </w:r>
      <w:r w:rsidR="00213952" w:rsidRPr="00E65068">
        <w:rPr>
          <w:rFonts w:ascii="Times New Roman" w:eastAsia="Times New Roman" w:hAnsi="Times New Roman" w:cs="Times New Roman"/>
          <w:b/>
        </w:rPr>
        <w:t xml:space="preserve"> 4</w:t>
      </w:r>
      <w:r w:rsidR="00213952" w:rsidRPr="00E65068">
        <w:rPr>
          <w:rFonts w:ascii="Times New Roman" w:eastAsia="Times New Roman" w:hAnsi="Times New Roman" w:cs="Times New Roman"/>
        </w:rPr>
        <w:t>.</w:t>
      </w:r>
      <w:r w:rsidR="00DA3BE2" w:rsidRPr="00E65068">
        <w:rPr>
          <w:rFonts w:ascii="Times New Roman" w:eastAsia="Times New Roman" w:hAnsi="Times New Roman" w:cs="Times New Roman"/>
        </w:rPr>
        <w:t xml:space="preserve"> Indicador sintético del promedio en las respuestas “oferta deficitaria o en malas condiciones” en no consumir cultura.</w:t>
      </w:r>
    </w:p>
    <w:p w14:paraId="024FFC91" w14:textId="77777777" w:rsidR="00A360B4" w:rsidRPr="00A55200" w:rsidRDefault="00A360B4" w:rsidP="007829E5">
      <w:pPr>
        <w:spacing w:after="0" w:line="480" w:lineRule="auto"/>
        <w:rPr>
          <w:rFonts w:ascii="Times New Roman" w:eastAsia="Times New Roman" w:hAnsi="Times New Roman" w:cs="Times New Roman"/>
          <w:sz w:val="24"/>
          <w:szCs w:val="24"/>
        </w:rPr>
      </w:pPr>
      <w:r w:rsidRPr="00A55200">
        <w:rPr>
          <w:rFonts w:ascii="Times New Roman" w:hAnsi="Times New Roman" w:cs="Times New Roman"/>
          <w:noProof/>
          <w:lang w:eastAsia="es-ES"/>
        </w:rPr>
        <w:drawing>
          <wp:inline distT="0" distB="0" distL="0" distR="0" wp14:anchorId="495261F6" wp14:editId="7884E7B1">
            <wp:extent cx="4572000" cy="2743200"/>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198E805" w14:textId="77777777" w:rsidR="00A360B4" w:rsidRPr="00E65068" w:rsidRDefault="00A360B4" w:rsidP="007829E5">
      <w:pPr>
        <w:spacing w:after="0" w:line="480" w:lineRule="auto"/>
        <w:rPr>
          <w:rFonts w:ascii="Times New Roman" w:eastAsia="Times New Roman" w:hAnsi="Times New Roman" w:cs="Times New Roman"/>
        </w:rPr>
      </w:pPr>
      <w:r w:rsidRPr="00E65068">
        <w:rPr>
          <w:rFonts w:ascii="Times New Roman" w:eastAsia="Times New Roman" w:hAnsi="Times New Roman" w:cs="Times New Roman"/>
        </w:rPr>
        <w:t>Elaboración propia.</w:t>
      </w:r>
      <w:r w:rsidR="00584AC6" w:rsidRPr="00E65068">
        <w:rPr>
          <w:rFonts w:ascii="Times New Roman" w:eastAsia="Times New Roman" w:hAnsi="Times New Roman" w:cs="Times New Roman"/>
        </w:rPr>
        <w:t xml:space="preserve"> </w:t>
      </w:r>
      <w:r w:rsidRPr="00E65068">
        <w:rPr>
          <w:rFonts w:ascii="Times New Roman" w:eastAsia="Times New Roman" w:hAnsi="Times New Roman" w:cs="Times New Roman"/>
        </w:rPr>
        <w:t>Fuente: Eurobarometros 2007 y 2013.</w:t>
      </w:r>
    </w:p>
    <w:p w14:paraId="7209F222" w14:textId="77777777" w:rsidR="00A360B4" w:rsidRPr="00A55200" w:rsidRDefault="00A360B4" w:rsidP="007829E5">
      <w:pPr>
        <w:spacing w:after="0" w:line="480" w:lineRule="auto"/>
        <w:rPr>
          <w:rFonts w:ascii="Times New Roman" w:eastAsia="Times New Roman" w:hAnsi="Times New Roman" w:cs="Times New Roman"/>
          <w:sz w:val="24"/>
          <w:szCs w:val="24"/>
        </w:rPr>
      </w:pPr>
    </w:p>
    <w:p w14:paraId="029AF140" w14:textId="77777777" w:rsidR="00A360B4" w:rsidRPr="00A55200" w:rsidRDefault="00A360B4" w:rsidP="007829E5">
      <w:pPr>
        <w:spacing w:after="0" w:line="480" w:lineRule="auto"/>
        <w:rPr>
          <w:rFonts w:ascii="Times New Roman" w:eastAsia="Times New Roman" w:hAnsi="Times New Roman" w:cs="Times New Roman"/>
          <w:b/>
          <w:sz w:val="24"/>
          <w:szCs w:val="24"/>
        </w:rPr>
      </w:pPr>
      <w:r w:rsidRPr="00A55200">
        <w:rPr>
          <w:rFonts w:ascii="Times New Roman" w:eastAsia="Times New Roman" w:hAnsi="Times New Roman" w:cs="Times New Roman"/>
          <w:b/>
          <w:sz w:val="24"/>
          <w:szCs w:val="24"/>
        </w:rPr>
        <w:t>La práctica en actividades artísticas y culturales y su repercusión en el propio consumo cultural</w:t>
      </w:r>
    </w:p>
    <w:p w14:paraId="0D25D123" w14:textId="746FB179" w:rsidR="00A360B4" w:rsidRPr="00A55200" w:rsidRDefault="00A360B4" w:rsidP="007829E5">
      <w:pPr>
        <w:spacing w:after="0" w:line="480" w:lineRule="auto"/>
        <w:rPr>
          <w:rFonts w:ascii="Times New Roman" w:eastAsia="Times New Roman" w:hAnsi="Times New Roman" w:cs="Times New Roman"/>
          <w:sz w:val="24"/>
          <w:szCs w:val="24"/>
        </w:rPr>
      </w:pPr>
      <w:r w:rsidRPr="00A55200">
        <w:rPr>
          <w:rFonts w:ascii="Times New Roman" w:eastAsia="Times New Roman" w:hAnsi="Times New Roman" w:cs="Times New Roman"/>
          <w:sz w:val="24"/>
          <w:szCs w:val="24"/>
        </w:rPr>
        <w:t xml:space="preserve">Del mismo modo que </w:t>
      </w:r>
      <w:r w:rsidR="00580C56" w:rsidRPr="00A55200">
        <w:rPr>
          <w:rFonts w:ascii="Times New Roman" w:eastAsia="Times New Roman" w:hAnsi="Times New Roman" w:cs="Times New Roman"/>
          <w:sz w:val="24"/>
          <w:szCs w:val="24"/>
        </w:rPr>
        <w:t xml:space="preserve">acontece </w:t>
      </w:r>
      <w:r w:rsidRPr="00A55200">
        <w:rPr>
          <w:rFonts w:ascii="Times New Roman" w:eastAsia="Times New Roman" w:hAnsi="Times New Roman" w:cs="Times New Roman"/>
          <w:sz w:val="24"/>
          <w:szCs w:val="24"/>
        </w:rPr>
        <w:t xml:space="preserve">en el consumo cultural, las prácticas artísticas de los europeos han descendido ligeramente en el periodo comparado. El </w:t>
      </w:r>
      <w:r w:rsidR="00974439">
        <w:rPr>
          <w:rFonts w:ascii="Times New Roman" w:eastAsia="Times New Roman" w:hAnsi="Times New Roman" w:cs="Times New Roman"/>
          <w:sz w:val="24"/>
          <w:szCs w:val="24"/>
        </w:rPr>
        <w:t>Euro</w:t>
      </w:r>
      <w:r w:rsidR="002D7060" w:rsidRPr="00A55200">
        <w:rPr>
          <w:rFonts w:ascii="Times New Roman" w:eastAsia="Times New Roman" w:hAnsi="Times New Roman" w:cs="Times New Roman"/>
          <w:sz w:val="24"/>
          <w:szCs w:val="24"/>
        </w:rPr>
        <w:t>barómetro</w:t>
      </w:r>
      <w:r w:rsidRPr="00A55200">
        <w:rPr>
          <w:rFonts w:ascii="Times New Roman" w:eastAsia="Times New Roman" w:hAnsi="Times New Roman" w:cs="Times New Roman"/>
          <w:sz w:val="24"/>
          <w:szCs w:val="24"/>
        </w:rPr>
        <w:t xml:space="preserve"> clasifica el conjunto de la población en cuatro categorías (muy alta, alta, media y baja). Los </w:t>
      </w:r>
      <w:r w:rsidR="002D7060" w:rsidRPr="00A55200">
        <w:rPr>
          <w:rFonts w:ascii="Times New Roman" w:eastAsia="Times New Roman" w:hAnsi="Times New Roman" w:cs="Times New Roman"/>
          <w:sz w:val="24"/>
          <w:szCs w:val="24"/>
        </w:rPr>
        <w:t>porcentajes del</w:t>
      </w:r>
      <w:r w:rsidRPr="00A55200">
        <w:rPr>
          <w:rFonts w:ascii="Times New Roman" w:eastAsia="Times New Roman" w:hAnsi="Times New Roman" w:cs="Times New Roman"/>
          <w:sz w:val="24"/>
          <w:szCs w:val="24"/>
        </w:rPr>
        <w:t xml:space="preserve"> gráfico ilustran las diferencias cuantitativas significativas de los países del sur de Europa en </w:t>
      </w:r>
      <w:r w:rsidRPr="00A55200">
        <w:rPr>
          <w:rFonts w:ascii="Times New Roman" w:eastAsia="Times New Roman" w:hAnsi="Times New Roman" w:cs="Times New Roman"/>
          <w:sz w:val="24"/>
          <w:szCs w:val="24"/>
        </w:rPr>
        <w:lastRenderedPageBreak/>
        <w:t xml:space="preserve">relación </w:t>
      </w:r>
      <w:r w:rsidR="004821BC" w:rsidRPr="00A55200">
        <w:rPr>
          <w:rFonts w:ascii="Times New Roman" w:eastAsia="Times New Roman" w:hAnsi="Times New Roman" w:cs="Times New Roman"/>
          <w:sz w:val="24"/>
          <w:szCs w:val="24"/>
        </w:rPr>
        <w:t>con los modelos liberal, centro</w:t>
      </w:r>
      <w:r w:rsidRPr="00A55200">
        <w:rPr>
          <w:rFonts w:ascii="Times New Roman" w:eastAsia="Times New Roman" w:hAnsi="Times New Roman" w:cs="Times New Roman"/>
          <w:sz w:val="24"/>
          <w:szCs w:val="24"/>
        </w:rPr>
        <w:t xml:space="preserve">europeo y nórdico, en donde se </w:t>
      </w:r>
      <w:r w:rsidR="00974439">
        <w:rPr>
          <w:rFonts w:ascii="Times New Roman" w:eastAsia="Times New Roman" w:hAnsi="Times New Roman" w:cs="Times New Roman"/>
          <w:sz w:val="24"/>
          <w:szCs w:val="24"/>
        </w:rPr>
        <w:t>evidencian</w:t>
      </w:r>
      <w:r w:rsidRPr="00A55200">
        <w:rPr>
          <w:rFonts w:ascii="Times New Roman" w:eastAsia="Times New Roman" w:hAnsi="Times New Roman" w:cs="Times New Roman"/>
          <w:sz w:val="24"/>
          <w:szCs w:val="24"/>
        </w:rPr>
        <w:t xml:space="preserve"> variaciones entre los países que representan modelos diferentes de política cultural. Contrasta</w:t>
      </w:r>
      <w:r w:rsidR="00537FCB" w:rsidRPr="00A55200">
        <w:rPr>
          <w:rFonts w:ascii="Times New Roman" w:eastAsia="Times New Roman" w:hAnsi="Times New Roman" w:cs="Times New Roman"/>
          <w:sz w:val="24"/>
          <w:szCs w:val="24"/>
        </w:rPr>
        <w:t>,</w:t>
      </w:r>
      <w:r w:rsidRPr="00A55200">
        <w:rPr>
          <w:rFonts w:ascii="Times New Roman" w:eastAsia="Times New Roman" w:hAnsi="Times New Roman" w:cs="Times New Roman"/>
          <w:sz w:val="24"/>
          <w:szCs w:val="24"/>
        </w:rPr>
        <w:t xml:space="preserve"> por ejemplo</w:t>
      </w:r>
      <w:r w:rsidR="00537FCB" w:rsidRPr="00A55200">
        <w:rPr>
          <w:rFonts w:ascii="Times New Roman" w:eastAsia="Times New Roman" w:hAnsi="Times New Roman" w:cs="Times New Roman"/>
          <w:sz w:val="24"/>
          <w:szCs w:val="24"/>
        </w:rPr>
        <w:t xml:space="preserve">, </w:t>
      </w:r>
      <w:r w:rsidRPr="00A55200">
        <w:rPr>
          <w:rFonts w:ascii="Times New Roman" w:eastAsia="Times New Roman" w:hAnsi="Times New Roman" w:cs="Times New Roman"/>
          <w:sz w:val="24"/>
          <w:szCs w:val="24"/>
        </w:rPr>
        <w:t>el caso de Dinamarca</w:t>
      </w:r>
      <w:r w:rsidR="00537FCB" w:rsidRPr="00A55200">
        <w:rPr>
          <w:rFonts w:ascii="Times New Roman" w:eastAsia="Times New Roman" w:hAnsi="Times New Roman" w:cs="Times New Roman"/>
          <w:sz w:val="24"/>
          <w:szCs w:val="24"/>
        </w:rPr>
        <w:t>, país en el que</w:t>
      </w:r>
      <w:r w:rsidRPr="00A55200">
        <w:rPr>
          <w:rFonts w:ascii="Times New Roman" w:eastAsia="Times New Roman" w:hAnsi="Times New Roman" w:cs="Times New Roman"/>
          <w:sz w:val="24"/>
          <w:szCs w:val="24"/>
        </w:rPr>
        <w:t xml:space="preserve"> la población con una práctica cultural alta y mu</w:t>
      </w:r>
      <w:r w:rsidR="00537FCB" w:rsidRPr="00A55200">
        <w:rPr>
          <w:rFonts w:ascii="Times New Roman" w:eastAsia="Times New Roman" w:hAnsi="Times New Roman" w:cs="Times New Roman"/>
          <w:sz w:val="24"/>
          <w:szCs w:val="24"/>
        </w:rPr>
        <w:t xml:space="preserve">y alta llegue casi al 40% del conjunto de la </w:t>
      </w:r>
      <w:r w:rsidRPr="00A55200">
        <w:rPr>
          <w:rFonts w:ascii="Times New Roman" w:eastAsia="Times New Roman" w:hAnsi="Times New Roman" w:cs="Times New Roman"/>
          <w:sz w:val="24"/>
          <w:szCs w:val="24"/>
        </w:rPr>
        <w:t xml:space="preserve">población frente a los casos de Grecia y Portugal e Italia en donde la suma de ambas es irrelevante. Asimismo, </w:t>
      </w:r>
      <w:r w:rsidR="00F170DC" w:rsidRPr="00A55200">
        <w:rPr>
          <w:rFonts w:ascii="Times New Roman" w:eastAsia="Times New Roman" w:hAnsi="Times New Roman" w:cs="Times New Roman"/>
          <w:sz w:val="24"/>
          <w:szCs w:val="24"/>
        </w:rPr>
        <w:t>ello supone un correlativo</w:t>
      </w:r>
      <w:r w:rsidRPr="00A55200">
        <w:rPr>
          <w:rFonts w:ascii="Times New Roman" w:eastAsia="Times New Roman" w:hAnsi="Times New Roman" w:cs="Times New Roman"/>
          <w:sz w:val="24"/>
          <w:szCs w:val="24"/>
        </w:rPr>
        <w:t xml:space="preserve"> índice bajo de práctica cultural </w:t>
      </w:r>
      <w:r w:rsidR="00F170DC" w:rsidRPr="00A55200">
        <w:rPr>
          <w:rFonts w:ascii="Times New Roman" w:eastAsia="Times New Roman" w:hAnsi="Times New Roman" w:cs="Times New Roman"/>
          <w:sz w:val="24"/>
          <w:szCs w:val="24"/>
        </w:rPr>
        <w:t xml:space="preserve">que </w:t>
      </w:r>
      <w:r w:rsidRPr="00A55200">
        <w:rPr>
          <w:rFonts w:ascii="Times New Roman" w:eastAsia="Times New Roman" w:hAnsi="Times New Roman" w:cs="Times New Roman"/>
          <w:sz w:val="24"/>
          <w:szCs w:val="24"/>
        </w:rPr>
        <w:t>se ensa</w:t>
      </w:r>
      <w:r w:rsidR="00F170DC" w:rsidRPr="00A55200">
        <w:rPr>
          <w:rFonts w:ascii="Times New Roman" w:eastAsia="Times New Roman" w:hAnsi="Times New Roman" w:cs="Times New Roman"/>
          <w:sz w:val="24"/>
          <w:szCs w:val="24"/>
        </w:rPr>
        <w:t xml:space="preserve">ncha hasta </w:t>
      </w:r>
      <w:r w:rsidRPr="00A55200">
        <w:rPr>
          <w:rFonts w:ascii="Times New Roman" w:eastAsia="Times New Roman" w:hAnsi="Times New Roman" w:cs="Times New Roman"/>
          <w:sz w:val="24"/>
          <w:szCs w:val="24"/>
        </w:rPr>
        <w:t>más de la mitad de la población</w:t>
      </w:r>
      <w:r w:rsidR="00F170DC" w:rsidRPr="00A55200">
        <w:rPr>
          <w:rFonts w:ascii="Times New Roman" w:eastAsia="Times New Roman" w:hAnsi="Times New Roman" w:cs="Times New Roman"/>
          <w:sz w:val="24"/>
          <w:szCs w:val="24"/>
        </w:rPr>
        <w:t xml:space="preserve"> de los mismos países. También,</w:t>
      </w:r>
      <w:r w:rsidRPr="00A55200">
        <w:rPr>
          <w:rFonts w:ascii="Times New Roman" w:eastAsia="Times New Roman" w:hAnsi="Times New Roman" w:cs="Times New Roman"/>
          <w:sz w:val="24"/>
          <w:szCs w:val="24"/>
        </w:rPr>
        <w:t xml:space="preserve"> tal como planteamos en el enfoque de este artículo, ello tiene una influencia directa en el propio consumo cultural y, por tanto, en los propios ecosistemas de las artes y las industrias culturales clásicas. </w:t>
      </w:r>
    </w:p>
    <w:p w14:paraId="7ED4D79F" w14:textId="55B39EE8" w:rsidR="00A360B4" w:rsidRPr="00E65068" w:rsidRDefault="00E65068" w:rsidP="007829E5">
      <w:pPr>
        <w:spacing w:after="0" w:line="480" w:lineRule="auto"/>
        <w:rPr>
          <w:rFonts w:ascii="Times New Roman" w:eastAsia="Times New Roman" w:hAnsi="Times New Roman" w:cs="Times New Roman"/>
        </w:rPr>
      </w:pPr>
      <w:r w:rsidRPr="00E65068">
        <w:rPr>
          <w:rFonts w:ascii="Times New Roman" w:eastAsia="Times New Roman" w:hAnsi="Times New Roman" w:cs="Times New Roman"/>
          <w:b/>
        </w:rPr>
        <w:t xml:space="preserve">Figura </w:t>
      </w:r>
      <w:r w:rsidR="00213952" w:rsidRPr="00E65068">
        <w:rPr>
          <w:rFonts w:ascii="Times New Roman" w:eastAsia="Times New Roman" w:hAnsi="Times New Roman" w:cs="Times New Roman"/>
          <w:b/>
        </w:rPr>
        <w:t>5</w:t>
      </w:r>
      <w:r w:rsidR="004821BC" w:rsidRPr="00E65068">
        <w:rPr>
          <w:rFonts w:ascii="Times New Roman" w:eastAsia="Times New Roman" w:hAnsi="Times New Roman" w:cs="Times New Roman"/>
          <w:b/>
        </w:rPr>
        <w:t>.</w:t>
      </w:r>
      <w:r w:rsidR="004821BC" w:rsidRPr="00E65068">
        <w:rPr>
          <w:rFonts w:ascii="Times New Roman" w:eastAsia="Times New Roman" w:hAnsi="Times New Roman" w:cs="Times New Roman"/>
        </w:rPr>
        <w:t xml:space="preserve"> Porcentaje de la población según el índice de práctica cultural.</w:t>
      </w:r>
    </w:p>
    <w:p w14:paraId="4660F087" w14:textId="77777777" w:rsidR="00A360B4" w:rsidRPr="00A55200" w:rsidRDefault="00A360B4" w:rsidP="007829E5">
      <w:pPr>
        <w:spacing w:after="0" w:line="480" w:lineRule="auto"/>
        <w:rPr>
          <w:rFonts w:ascii="Times New Roman" w:eastAsia="Times New Roman" w:hAnsi="Times New Roman" w:cs="Times New Roman"/>
          <w:sz w:val="24"/>
          <w:szCs w:val="24"/>
        </w:rPr>
      </w:pPr>
      <w:r w:rsidRPr="00A55200">
        <w:rPr>
          <w:rFonts w:ascii="Times New Roman" w:hAnsi="Times New Roman" w:cs="Times New Roman"/>
          <w:noProof/>
          <w:lang w:eastAsia="es-ES"/>
        </w:rPr>
        <w:drawing>
          <wp:inline distT="0" distB="0" distL="0" distR="0" wp14:anchorId="1DB95C87" wp14:editId="6B1F57D2">
            <wp:extent cx="4572000" cy="2572578"/>
            <wp:effectExtent l="0" t="0" r="0" b="18415"/>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FF84CD4" w14:textId="77777777" w:rsidR="004821BC" w:rsidRPr="00E65068" w:rsidRDefault="004821BC" w:rsidP="007829E5">
      <w:pPr>
        <w:spacing w:after="0" w:line="480" w:lineRule="auto"/>
        <w:rPr>
          <w:rFonts w:ascii="Times New Roman" w:eastAsia="Times New Roman" w:hAnsi="Times New Roman" w:cs="Times New Roman"/>
        </w:rPr>
      </w:pPr>
      <w:r w:rsidRPr="00E65068">
        <w:rPr>
          <w:rFonts w:ascii="Times New Roman" w:eastAsia="Times New Roman" w:hAnsi="Times New Roman" w:cs="Times New Roman"/>
        </w:rPr>
        <w:t>Elaboración propia. Fuente: Eurobarometro 2013.</w:t>
      </w:r>
    </w:p>
    <w:p w14:paraId="43A81611" w14:textId="58BA7AEA" w:rsidR="004821BC" w:rsidRPr="00A55200" w:rsidRDefault="00A360B4" w:rsidP="007829E5">
      <w:pPr>
        <w:spacing w:after="0" w:line="480" w:lineRule="auto"/>
        <w:rPr>
          <w:rFonts w:ascii="Times New Roman" w:eastAsia="Times New Roman" w:hAnsi="Times New Roman" w:cs="Times New Roman"/>
          <w:sz w:val="24"/>
          <w:szCs w:val="24"/>
        </w:rPr>
      </w:pPr>
      <w:r w:rsidRPr="00A55200">
        <w:rPr>
          <w:rFonts w:ascii="Times New Roman" w:eastAsia="Times New Roman" w:hAnsi="Times New Roman" w:cs="Times New Roman"/>
          <w:sz w:val="24"/>
          <w:szCs w:val="24"/>
        </w:rPr>
        <w:t xml:space="preserve">Tal como hemos abordado en el ámbito del consumo cultural, el efecto de la crisis global también se evidencia con una evolución ligeramente </w:t>
      </w:r>
      <w:r w:rsidRPr="004E2B4C">
        <w:rPr>
          <w:rFonts w:ascii="Times New Roman" w:eastAsia="Times New Roman" w:hAnsi="Times New Roman" w:cs="Times New Roman"/>
          <w:sz w:val="24"/>
          <w:szCs w:val="24"/>
        </w:rPr>
        <w:t>negativa</w:t>
      </w:r>
      <w:r w:rsidRPr="00A55200">
        <w:rPr>
          <w:rFonts w:ascii="Times New Roman" w:eastAsia="Times New Roman" w:hAnsi="Times New Roman" w:cs="Times New Roman"/>
          <w:sz w:val="24"/>
          <w:szCs w:val="24"/>
        </w:rPr>
        <w:t xml:space="preserve"> que consiste en un trasvase de población de los niveles más altos</w:t>
      </w:r>
      <w:r w:rsidR="008A7A00" w:rsidRPr="00A55200">
        <w:rPr>
          <w:rFonts w:ascii="Times New Roman" w:eastAsia="Times New Roman" w:hAnsi="Times New Roman" w:cs="Times New Roman"/>
          <w:sz w:val="24"/>
          <w:szCs w:val="24"/>
        </w:rPr>
        <w:t xml:space="preserve"> de práctica cultural</w:t>
      </w:r>
      <w:r w:rsidRPr="00A55200">
        <w:rPr>
          <w:rFonts w:ascii="Times New Roman" w:eastAsia="Times New Roman" w:hAnsi="Times New Roman" w:cs="Times New Roman"/>
          <w:sz w:val="24"/>
          <w:szCs w:val="24"/>
        </w:rPr>
        <w:t xml:space="preserve"> a los más bajos</w:t>
      </w:r>
      <w:r w:rsidR="008A7A00" w:rsidRPr="00A55200">
        <w:rPr>
          <w:rFonts w:ascii="Times New Roman" w:eastAsia="Times New Roman" w:hAnsi="Times New Roman" w:cs="Times New Roman"/>
          <w:sz w:val="24"/>
          <w:szCs w:val="24"/>
        </w:rPr>
        <w:t>,</w:t>
      </w:r>
      <w:r w:rsidR="003A4DA3" w:rsidRPr="00A55200">
        <w:rPr>
          <w:rFonts w:ascii="Times New Roman" w:eastAsia="Times New Roman" w:hAnsi="Times New Roman" w:cs="Times New Roman"/>
          <w:sz w:val="24"/>
          <w:szCs w:val="24"/>
        </w:rPr>
        <w:t xml:space="preserve"> </w:t>
      </w:r>
      <w:r w:rsidRPr="00A55200">
        <w:rPr>
          <w:rFonts w:ascii="Times New Roman" w:eastAsia="Times New Roman" w:hAnsi="Times New Roman" w:cs="Times New Roman"/>
          <w:sz w:val="24"/>
          <w:szCs w:val="24"/>
        </w:rPr>
        <w:t>como muestra</w:t>
      </w:r>
      <w:r w:rsidR="003A4DA3" w:rsidRPr="00A55200">
        <w:rPr>
          <w:rFonts w:ascii="Times New Roman" w:eastAsia="Times New Roman" w:hAnsi="Times New Roman" w:cs="Times New Roman"/>
          <w:sz w:val="24"/>
          <w:szCs w:val="24"/>
        </w:rPr>
        <w:t>n</w:t>
      </w:r>
      <w:r w:rsidRPr="00A55200">
        <w:rPr>
          <w:rFonts w:ascii="Times New Roman" w:eastAsia="Times New Roman" w:hAnsi="Times New Roman" w:cs="Times New Roman"/>
          <w:sz w:val="24"/>
          <w:szCs w:val="24"/>
        </w:rPr>
        <w:t xml:space="preserve"> los datos del Eurobarómetro, si bien como también </w:t>
      </w:r>
      <w:r w:rsidR="004821BC" w:rsidRPr="00A55200">
        <w:rPr>
          <w:rFonts w:ascii="Times New Roman" w:eastAsia="Times New Roman" w:hAnsi="Times New Roman" w:cs="Times New Roman"/>
          <w:sz w:val="24"/>
          <w:szCs w:val="24"/>
        </w:rPr>
        <w:t>acreditábamos</w:t>
      </w:r>
      <w:r w:rsidRPr="00A55200">
        <w:rPr>
          <w:rFonts w:ascii="Times New Roman" w:eastAsia="Times New Roman" w:hAnsi="Times New Roman" w:cs="Times New Roman"/>
          <w:sz w:val="24"/>
          <w:szCs w:val="24"/>
        </w:rPr>
        <w:t xml:space="preserve"> en el caso del consumo cultural</w:t>
      </w:r>
      <w:r w:rsidR="004821BC" w:rsidRPr="00A55200">
        <w:rPr>
          <w:rFonts w:ascii="Times New Roman" w:eastAsia="Times New Roman" w:hAnsi="Times New Roman" w:cs="Times New Roman"/>
          <w:sz w:val="24"/>
          <w:szCs w:val="24"/>
        </w:rPr>
        <w:t>,</w:t>
      </w:r>
      <w:r w:rsidRPr="00A55200">
        <w:rPr>
          <w:rFonts w:ascii="Times New Roman" w:eastAsia="Times New Roman" w:hAnsi="Times New Roman" w:cs="Times New Roman"/>
          <w:sz w:val="24"/>
          <w:szCs w:val="24"/>
        </w:rPr>
        <w:t xml:space="preserve"> el model</w:t>
      </w:r>
      <w:r w:rsidR="002C2DA8" w:rsidRPr="00A55200">
        <w:rPr>
          <w:rFonts w:ascii="Times New Roman" w:eastAsia="Times New Roman" w:hAnsi="Times New Roman" w:cs="Times New Roman"/>
          <w:sz w:val="24"/>
          <w:szCs w:val="24"/>
        </w:rPr>
        <w:t>o liberal es el menos afectado por el efecto de la crisis global.</w:t>
      </w:r>
      <w:r w:rsidRPr="00A55200">
        <w:rPr>
          <w:rFonts w:ascii="Times New Roman" w:eastAsia="Times New Roman" w:hAnsi="Times New Roman" w:cs="Times New Roman"/>
          <w:sz w:val="24"/>
          <w:szCs w:val="24"/>
        </w:rPr>
        <w:t xml:space="preserve"> En todos los países del sur analizados</w:t>
      </w:r>
      <w:r w:rsidR="00974439">
        <w:rPr>
          <w:rFonts w:ascii="Times New Roman" w:eastAsia="Times New Roman" w:hAnsi="Times New Roman" w:cs="Times New Roman"/>
          <w:sz w:val="24"/>
          <w:szCs w:val="24"/>
        </w:rPr>
        <w:t>,</w:t>
      </w:r>
      <w:r w:rsidRPr="00A55200">
        <w:rPr>
          <w:rFonts w:ascii="Times New Roman" w:eastAsia="Times New Roman" w:hAnsi="Times New Roman" w:cs="Times New Roman"/>
          <w:sz w:val="24"/>
          <w:szCs w:val="24"/>
        </w:rPr>
        <w:t xml:space="preserve"> la población con un índice bajo de práctica cultural es mayor que en </w:t>
      </w:r>
      <w:r w:rsidRPr="00A55200">
        <w:rPr>
          <w:rFonts w:ascii="Times New Roman" w:eastAsia="Times New Roman" w:hAnsi="Times New Roman" w:cs="Times New Roman"/>
          <w:sz w:val="24"/>
          <w:szCs w:val="24"/>
        </w:rPr>
        <w:lastRenderedPageBreak/>
        <w:t xml:space="preserve">la media </w:t>
      </w:r>
      <w:r w:rsidR="003A4DA3" w:rsidRPr="00A55200">
        <w:rPr>
          <w:rFonts w:ascii="Times New Roman" w:eastAsia="Times New Roman" w:hAnsi="Times New Roman" w:cs="Times New Roman"/>
          <w:sz w:val="24"/>
          <w:szCs w:val="24"/>
        </w:rPr>
        <w:t>europea, si bien hay que señalar</w:t>
      </w:r>
      <w:r w:rsidRPr="00A55200">
        <w:rPr>
          <w:rFonts w:ascii="Times New Roman" w:eastAsia="Times New Roman" w:hAnsi="Times New Roman" w:cs="Times New Roman"/>
          <w:sz w:val="24"/>
          <w:szCs w:val="24"/>
        </w:rPr>
        <w:t xml:space="preserve"> que España presenta valores mucho más ponderados que Italia, Portugal y Grecia.</w:t>
      </w:r>
    </w:p>
    <w:p w14:paraId="226354BB" w14:textId="3CE4AE4F" w:rsidR="004821BC" w:rsidRPr="00E65068" w:rsidRDefault="00A360B4" w:rsidP="007829E5">
      <w:pPr>
        <w:spacing w:after="0" w:line="480" w:lineRule="auto"/>
        <w:rPr>
          <w:rFonts w:ascii="Times New Roman" w:eastAsia="Times New Roman" w:hAnsi="Times New Roman" w:cs="Times New Roman"/>
        </w:rPr>
      </w:pPr>
      <w:r w:rsidRPr="00A55200">
        <w:rPr>
          <w:rFonts w:ascii="Times New Roman" w:eastAsia="Times New Roman" w:hAnsi="Times New Roman" w:cs="Times New Roman"/>
          <w:sz w:val="24"/>
          <w:szCs w:val="24"/>
        </w:rPr>
        <w:t xml:space="preserve"> </w:t>
      </w:r>
      <w:r w:rsidR="00E65068" w:rsidRPr="00E65068">
        <w:rPr>
          <w:rFonts w:ascii="Times New Roman" w:eastAsia="Times New Roman" w:hAnsi="Times New Roman" w:cs="Times New Roman"/>
          <w:b/>
        </w:rPr>
        <w:t>Figura</w:t>
      </w:r>
      <w:r w:rsidR="004821BC" w:rsidRPr="00E65068">
        <w:rPr>
          <w:rFonts w:ascii="Times New Roman" w:eastAsia="Times New Roman" w:hAnsi="Times New Roman" w:cs="Times New Roman"/>
          <w:b/>
        </w:rPr>
        <w:t xml:space="preserve"> 6.</w:t>
      </w:r>
      <w:r w:rsidR="004821BC" w:rsidRPr="00E65068">
        <w:rPr>
          <w:rFonts w:ascii="Times New Roman" w:eastAsia="Times New Roman" w:hAnsi="Times New Roman" w:cs="Times New Roman"/>
        </w:rPr>
        <w:t xml:space="preserve"> Porcentaje de la población con un índice bajo de práctica cultural e incremento en el periodo 2007-20013.</w:t>
      </w:r>
    </w:p>
    <w:p w14:paraId="57B65982" w14:textId="77777777" w:rsidR="00A360B4" w:rsidRPr="00A55200" w:rsidRDefault="00A360B4" w:rsidP="007829E5">
      <w:pPr>
        <w:spacing w:after="0" w:line="480" w:lineRule="auto"/>
        <w:rPr>
          <w:rFonts w:ascii="Times New Roman" w:eastAsia="Times New Roman" w:hAnsi="Times New Roman" w:cs="Times New Roman"/>
          <w:sz w:val="24"/>
          <w:szCs w:val="24"/>
        </w:rPr>
      </w:pPr>
      <w:r w:rsidRPr="00A55200">
        <w:rPr>
          <w:rFonts w:ascii="Times New Roman" w:hAnsi="Times New Roman" w:cs="Times New Roman"/>
          <w:noProof/>
          <w:lang w:eastAsia="es-ES"/>
        </w:rPr>
        <w:drawing>
          <wp:inline distT="0" distB="0" distL="0" distR="0" wp14:anchorId="2C78F6A5" wp14:editId="379AEC63">
            <wp:extent cx="4572000" cy="2743200"/>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994A653" w14:textId="77777777" w:rsidR="00A360B4" w:rsidRPr="00E65068" w:rsidRDefault="00584AC6" w:rsidP="007829E5">
      <w:pPr>
        <w:spacing w:after="0" w:line="480" w:lineRule="auto"/>
        <w:rPr>
          <w:rFonts w:ascii="Times New Roman" w:eastAsia="Times New Roman" w:hAnsi="Times New Roman" w:cs="Times New Roman"/>
        </w:rPr>
      </w:pPr>
      <w:r w:rsidRPr="00E65068">
        <w:rPr>
          <w:rFonts w:ascii="Times New Roman" w:eastAsia="Times New Roman" w:hAnsi="Times New Roman" w:cs="Times New Roman"/>
        </w:rPr>
        <w:t>Elaboración propia. Fuente: Eurobarometro 2013.</w:t>
      </w:r>
    </w:p>
    <w:p w14:paraId="26BD6651" w14:textId="50BC6D89" w:rsidR="00777489" w:rsidRPr="00B7539E" w:rsidRDefault="00A360B4" w:rsidP="007829E5">
      <w:pPr>
        <w:spacing w:after="0" w:line="480" w:lineRule="auto"/>
        <w:rPr>
          <w:rFonts w:ascii="Times New Roman" w:eastAsia="Times New Roman" w:hAnsi="Times New Roman" w:cs="Times New Roman"/>
          <w:sz w:val="24"/>
          <w:szCs w:val="24"/>
        </w:rPr>
      </w:pPr>
      <w:r w:rsidRPr="00A55200">
        <w:rPr>
          <w:rFonts w:ascii="Times New Roman" w:eastAsia="Times New Roman" w:hAnsi="Times New Roman" w:cs="Times New Roman"/>
          <w:sz w:val="24"/>
          <w:szCs w:val="24"/>
        </w:rPr>
        <w:t>Si la literatura científica ha vinculado durante algunas décadas, ya</w:t>
      </w:r>
      <w:r w:rsidR="004821BC" w:rsidRPr="00A55200">
        <w:rPr>
          <w:rFonts w:ascii="Times New Roman" w:eastAsia="Times New Roman" w:hAnsi="Times New Roman" w:cs="Times New Roman"/>
          <w:sz w:val="24"/>
          <w:szCs w:val="24"/>
        </w:rPr>
        <w:t xml:space="preserve"> desde los trabajos de Bourdieu,</w:t>
      </w:r>
      <w:r w:rsidRPr="00A55200">
        <w:rPr>
          <w:rFonts w:ascii="Times New Roman" w:eastAsia="Times New Roman" w:hAnsi="Times New Roman" w:cs="Times New Roman"/>
          <w:sz w:val="24"/>
          <w:szCs w:val="24"/>
        </w:rPr>
        <w:t xml:space="preserve"> el consumo cultural con las bases sociales del gusto artístico, por el </w:t>
      </w:r>
      <w:r w:rsidR="002D7060" w:rsidRPr="00A55200">
        <w:rPr>
          <w:rFonts w:ascii="Times New Roman" w:eastAsia="Times New Roman" w:hAnsi="Times New Roman" w:cs="Times New Roman"/>
          <w:sz w:val="24"/>
          <w:szCs w:val="24"/>
        </w:rPr>
        <w:t>contrario,</w:t>
      </w:r>
      <w:r w:rsidRPr="00A55200">
        <w:rPr>
          <w:rFonts w:ascii="Times New Roman" w:eastAsia="Times New Roman" w:hAnsi="Times New Roman" w:cs="Times New Roman"/>
          <w:sz w:val="24"/>
          <w:szCs w:val="24"/>
        </w:rPr>
        <w:t xml:space="preserve"> apenas podemos encontrar literatura que vincule el efecto de la práctica artística en el propio consumo. De hecho</w:t>
      </w:r>
      <w:r w:rsidR="004821BC" w:rsidRPr="00A55200">
        <w:rPr>
          <w:rFonts w:ascii="Times New Roman" w:eastAsia="Times New Roman" w:hAnsi="Times New Roman" w:cs="Times New Roman"/>
          <w:sz w:val="24"/>
          <w:szCs w:val="24"/>
        </w:rPr>
        <w:t>,</w:t>
      </w:r>
      <w:r w:rsidRPr="00A55200">
        <w:rPr>
          <w:rFonts w:ascii="Times New Roman" w:eastAsia="Times New Roman" w:hAnsi="Times New Roman" w:cs="Times New Roman"/>
          <w:sz w:val="24"/>
          <w:szCs w:val="24"/>
        </w:rPr>
        <w:t xml:space="preserve"> el </w:t>
      </w:r>
      <w:r w:rsidR="00314B78" w:rsidRPr="00A55200">
        <w:rPr>
          <w:rFonts w:ascii="Times New Roman" w:eastAsia="Times New Roman" w:hAnsi="Times New Roman" w:cs="Times New Roman"/>
          <w:sz w:val="24"/>
          <w:szCs w:val="24"/>
        </w:rPr>
        <w:t>E</w:t>
      </w:r>
      <w:r w:rsidRPr="00A55200">
        <w:rPr>
          <w:rFonts w:ascii="Times New Roman" w:eastAsia="Times New Roman" w:hAnsi="Times New Roman" w:cs="Times New Roman"/>
          <w:sz w:val="24"/>
          <w:szCs w:val="24"/>
        </w:rPr>
        <w:t>urobarómetro y otras encuestas sobre consumo y prácticas artísticas no relacionan el efecto que tiene el ejercicio de la práctica sobre el propio consumo, algo que podría evidenciarse en el diseño de la en</w:t>
      </w:r>
      <w:r w:rsidR="00FE7FC1" w:rsidRPr="00A55200">
        <w:rPr>
          <w:rFonts w:ascii="Times New Roman" w:eastAsia="Times New Roman" w:hAnsi="Times New Roman" w:cs="Times New Roman"/>
          <w:sz w:val="24"/>
          <w:szCs w:val="24"/>
        </w:rPr>
        <w:t xml:space="preserve">cuesta de forma sencilla. Así, </w:t>
      </w:r>
      <w:r w:rsidRPr="00A55200">
        <w:rPr>
          <w:rFonts w:ascii="Times New Roman" w:eastAsia="Times New Roman" w:hAnsi="Times New Roman" w:cs="Times New Roman"/>
          <w:sz w:val="24"/>
          <w:szCs w:val="24"/>
        </w:rPr>
        <w:t>partimos del axioma que es una inconsistencia conceptual entender la práctica y el consumo</w:t>
      </w:r>
      <w:r w:rsidR="00FE7FC1" w:rsidRPr="00A55200">
        <w:rPr>
          <w:rFonts w:ascii="Times New Roman" w:eastAsia="Times New Roman" w:hAnsi="Times New Roman" w:cs="Times New Roman"/>
          <w:sz w:val="24"/>
          <w:szCs w:val="24"/>
        </w:rPr>
        <w:t xml:space="preserve"> cultural</w:t>
      </w:r>
      <w:r w:rsidRPr="00A55200">
        <w:rPr>
          <w:rFonts w:ascii="Times New Roman" w:eastAsia="Times New Roman" w:hAnsi="Times New Roman" w:cs="Times New Roman"/>
          <w:sz w:val="24"/>
          <w:szCs w:val="24"/>
        </w:rPr>
        <w:t xml:space="preserve"> de forma de form</w:t>
      </w:r>
      <w:r w:rsidR="008B3F3A" w:rsidRPr="00A55200">
        <w:rPr>
          <w:rFonts w:ascii="Times New Roman" w:eastAsia="Times New Roman" w:hAnsi="Times New Roman" w:cs="Times New Roman"/>
          <w:sz w:val="24"/>
          <w:szCs w:val="24"/>
        </w:rPr>
        <w:t>a aislada y no relacionada. A</w:t>
      </w:r>
      <w:r w:rsidR="008A7A00" w:rsidRPr="00A55200">
        <w:rPr>
          <w:rFonts w:ascii="Times New Roman" w:eastAsia="Times New Roman" w:hAnsi="Times New Roman" w:cs="Times New Roman"/>
          <w:sz w:val="24"/>
          <w:szCs w:val="24"/>
        </w:rPr>
        <w:t>demás</w:t>
      </w:r>
      <w:r w:rsidR="008B3F3A" w:rsidRPr="00A55200">
        <w:rPr>
          <w:rFonts w:ascii="Times New Roman" w:eastAsia="Times New Roman" w:hAnsi="Times New Roman" w:cs="Times New Roman"/>
          <w:sz w:val="24"/>
          <w:szCs w:val="24"/>
        </w:rPr>
        <w:t>,</w:t>
      </w:r>
      <w:r w:rsidR="008A7A00" w:rsidRPr="00A55200">
        <w:rPr>
          <w:rFonts w:ascii="Times New Roman" w:eastAsia="Times New Roman" w:hAnsi="Times New Roman" w:cs="Times New Roman"/>
          <w:sz w:val="24"/>
          <w:szCs w:val="24"/>
        </w:rPr>
        <w:t xml:space="preserve"> entendemos que</w:t>
      </w:r>
      <w:r w:rsidRPr="00A55200">
        <w:rPr>
          <w:rFonts w:ascii="Times New Roman" w:eastAsia="Times New Roman" w:hAnsi="Times New Roman" w:cs="Times New Roman"/>
          <w:sz w:val="24"/>
          <w:szCs w:val="24"/>
        </w:rPr>
        <w:t xml:space="preserve"> en este binomio no se da una relación de tipo coordinada sino su</w:t>
      </w:r>
      <w:r w:rsidR="008A7A00" w:rsidRPr="00A55200">
        <w:rPr>
          <w:rFonts w:ascii="Times New Roman" w:eastAsia="Times New Roman" w:hAnsi="Times New Roman" w:cs="Times New Roman"/>
          <w:sz w:val="24"/>
          <w:szCs w:val="24"/>
        </w:rPr>
        <w:t xml:space="preserve">bordinada. Consecuentemente, </w:t>
      </w:r>
      <w:r w:rsidRPr="00A55200">
        <w:rPr>
          <w:rFonts w:ascii="Times New Roman" w:eastAsia="Times New Roman" w:hAnsi="Times New Roman" w:cs="Times New Roman"/>
          <w:sz w:val="24"/>
          <w:szCs w:val="24"/>
        </w:rPr>
        <w:t>los que practican algún tipo de actividad artística necesariamente son consumidores culturales y no la inversa. En otras palabras, la práctica artística contiene necesariamente un</w:t>
      </w:r>
      <w:r w:rsidRPr="00A55200">
        <w:rPr>
          <w:rFonts w:ascii="Times New Roman" w:eastAsia="Times New Roman" w:hAnsi="Times New Roman" w:cs="Times New Roman"/>
          <w:i/>
          <w:sz w:val="24"/>
          <w:szCs w:val="24"/>
        </w:rPr>
        <w:t xml:space="preserve"> a priori </w:t>
      </w:r>
      <w:r w:rsidRPr="00A55200">
        <w:rPr>
          <w:rFonts w:ascii="Times New Roman" w:eastAsia="Times New Roman" w:hAnsi="Times New Roman" w:cs="Times New Roman"/>
          <w:sz w:val="24"/>
          <w:szCs w:val="24"/>
        </w:rPr>
        <w:t xml:space="preserve">que no es otro que </w:t>
      </w:r>
      <w:r w:rsidR="002D7060" w:rsidRPr="00A55200">
        <w:rPr>
          <w:rFonts w:ascii="Times New Roman" w:eastAsia="Times New Roman" w:hAnsi="Times New Roman" w:cs="Times New Roman"/>
          <w:sz w:val="24"/>
          <w:szCs w:val="24"/>
        </w:rPr>
        <w:t>un gusto</w:t>
      </w:r>
      <w:r w:rsidRPr="00A55200">
        <w:rPr>
          <w:rFonts w:ascii="Times New Roman" w:eastAsia="Times New Roman" w:hAnsi="Times New Roman" w:cs="Times New Roman"/>
          <w:sz w:val="24"/>
          <w:szCs w:val="24"/>
        </w:rPr>
        <w:t xml:space="preserve"> por dicho lenguaje artístico. Dedicarle horas a la práctica amateur de un </w:t>
      </w:r>
      <w:r w:rsidR="00FE7FC1" w:rsidRPr="00A55200">
        <w:rPr>
          <w:rFonts w:ascii="Times New Roman" w:eastAsia="Times New Roman" w:hAnsi="Times New Roman" w:cs="Times New Roman"/>
          <w:sz w:val="24"/>
          <w:szCs w:val="24"/>
        </w:rPr>
        <w:t xml:space="preserve">instrumento musical </w:t>
      </w:r>
      <w:r w:rsidR="00FE7FC1" w:rsidRPr="00A55200">
        <w:rPr>
          <w:rFonts w:ascii="Times New Roman" w:eastAsia="Times New Roman" w:hAnsi="Times New Roman" w:cs="Times New Roman"/>
          <w:sz w:val="24"/>
          <w:szCs w:val="24"/>
        </w:rPr>
        <w:lastRenderedPageBreak/>
        <w:t xml:space="preserve">o al dibujo </w:t>
      </w:r>
      <w:r w:rsidRPr="00A55200">
        <w:rPr>
          <w:rFonts w:ascii="Times New Roman" w:eastAsia="Times New Roman" w:hAnsi="Times New Roman" w:cs="Times New Roman"/>
          <w:sz w:val="24"/>
          <w:szCs w:val="24"/>
        </w:rPr>
        <w:t>o la pintura indefectiblemente implica un tipo de vocación que incluye necesariamente una actitud, un interés hacia dicho lenguaje artístico y una cons</w:t>
      </w:r>
      <w:r w:rsidR="008A7A00" w:rsidRPr="00A55200">
        <w:rPr>
          <w:rFonts w:ascii="Times New Roman" w:eastAsia="Times New Roman" w:hAnsi="Times New Roman" w:cs="Times New Roman"/>
          <w:sz w:val="24"/>
          <w:szCs w:val="24"/>
        </w:rPr>
        <w:t xml:space="preserve">ecuente predisposición necesaria y suficiente </w:t>
      </w:r>
      <w:r w:rsidRPr="00A55200">
        <w:rPr>
          <w:rFonts w:ascii="Times New Roman" w:eastAsia="Times New Roman" w:hAnsi="Times New Roman" w:cs="Times New Roman"/>
          <w:sz w:val="24"/>
          <w:szCs w:val="24"/>
        </w:rPr>
        <w:t xml:space="preserve">en consumirlo. Ni qué decir tiene </w:t>
      </w:r>
      <w:r w:rsidR="002D7060" w:rsidRPr="00A55200">
        <w:rPr>
          <w:rFonts w:ascii="Times New Roman" w:eastAsia="Times New Roman" w:hAnsi="Times New Roman" w:cs="Times New Roman"/>
          <w:sz w:val="24"/>
          <w:szCs w:val="24"/>
        </w:rPr>
        <w:t>que,</w:t>
      </w:r>
      <w:r w:rsidRPr="00A55200">
        <w:rPr>
          <w:rFonts w:ascii="Times New Roman" w:eastAsia="Times New Roman" w:hAnsi="Times New Roman" w:cs="Times New Roman"/>
          <w:sz w:val="24"/>
          <w:szCs w:val="24"/>
        </w:rPr>
        <w:t xml:space="preserve"> si nos adentráramos en la percepción y experiencia estéti</w:t>
      </w:r>
      <w:r w:rsidR="008A7A00" w:rsidRPr="00A55200">
        <w:rPr>
          <w:rFonts w:ascii="Times New Roman" w:eastAsia="Times New Roman" w:hAnsi="Times New Roman" w:cs="Times New Roman"/>
          <w:sz w:val="24"/>
          <w:szCs w:val="24"/>
        </w:rPr>
        <w:t>ca de los que practican e</w:t>
      </w:r>
      <w:r w:rsidR="00FE7FC1" w:rsidRPr="00A55200">
        <w:rPr>
          <w:rFonts w:ascii="Times New Roman" w:eastAsia="Times New Roman" w:hAnsi="Times New Roman" w:cs="Times New Roman"/>
          <w:sz w:val="24"/>
          <w:szCs w:val="24"/>
        </w:rPr>
        <w:t xml:space="preserve">l arte, podríamos constatar la </w:t>
      </w:r>
      <w:r w:rsidR="008A7A00" w:rsidRPr="00A55200">
        <w:rPr>
          <w:rFonts w:ascii="Times New Roman" w:eastAsia="Times New Roman" w:hAnsi="Times New Roman" w:cs="Times New Roman"/>
          <w:sz w:val="24"/>
          <w:szCs w:val="24"/>
        </w:rPr>
        <w:t>adquisición de ciertas</w:t>
      </w:r>
      <w:r w:rsidRPr="00A55200">
        <w:rPr>
          <w:rFonts w:ascii="Times New Roman" w:eastAsia="Times New Roman" w:hAnsi="Times New Roman" w:cs="Times New Roman"/>
          <w:sz w:val="24"/>
          <w:szCs w:val="24"/>
        </w:rPr>
        <w:t xml:space="preserve"> claves y recursos que carecen los no-prac</w:t>
      </w:r>
      <w:r w:rsidR="00AF3866" w:rsidRPr="00A55200">
        <w:rPr>
          <w:rFonts w:ascii="Times New Roman" w:eastAsia="Times New Roman" w:hAnsi="Times New Roman" w:cs="Times New Roman"/>
          <w:sz w:val="24"/>
          <w:szCs w:val="24"/>
        </w:rPr>
        <w:t>ticantes</w:t>
      </w:r>
      <w:r w:rsidR="00314B78" w:rsidRPr="00A55200">
        <w:rPr>
          <w:rFonts w:ascii="Times New Roman" w:eastAsia="Times New Roman" w:hAnsi="Times New Roman" w:cs="Times New Roman"/>
          <w:sz w:val="24"/>
          <w:szCs w:val="24"/>
        </w:rPr>
        <w:t xml:space="preserve"> </w:t>
      </w:r>
      <w:r w:rsidR="00314B78" w:rsidRPr="00A55200">
        <w:rPr>
          <w:rFonts w:ascii="Times New Roman" w:eastAsia="Times New Roman" w:hAnsi="Times New Roman" w:cs="Times New Roman"/>
          <w:sz w:val="24"/>
          <w:szCs w:val="24"/>
        </w:rPr>
        <w:fldChar w:fldCharType="begin"/>
      </w:r>
      <w:r w:rsidR="00314B78" w:rsidRPr="00A55200">
        <w:rPr>
          <w:rFonts w:ascii="Times New Roman" w:eastAsia="Times New Roman" w:hAnsi="Times New Roman" w:cs="Times New Roman"/>
          <w:sz w:val="24"/>
          <w:szCs w:val="24"/>
        </w:rPr>
        <w:instrText>ADDIN RW.CITE{{2496 Zakaras, Laura 2008}}</w:instrText>
      </w:r>
      <w:r w:rsidR="00314B78" w:rsidRPr="00A55200">
        <w:rPr>
          <w:rFonts w:ascii="Times New Roman" w:eastAsia="Times New Roman" w:hAnsi="Times New Roman" w:cs="Times New Roman"/>
          <w:sz w:val="24"/>
          <w:szCs w:val="24"/>
        </w:rPr>
        <w:fldChar w:fldCharType="separate"/>
      </w:r>
      <w:r w:rsidR="00FE7FC1" w:rsidRPr="00A55200">
        <w:rPr>
          <w:rFonts w:ascii="Times New Roman" w:eastAsia="Times New Roman" w:hAnsi="Times New Roman" w:cs="Times New Roman"/>
          <w:sz w:val="24"/>
          <w:szCs w:val="24"/>
        </w:rPr>
        <w:t>(Zakaras y Lowell</w:t>
      </w:r>
      <w:r w:rsidR="00642426" w:rsidRPr="00A55200">
        <w:rPr>
          <w:rFonts w:ascii="Times New Roman" w:eastAsia="Times New Roman" w:hAnsi="Times New Roman" w:cs="Times New Roman"/>
          <w:sz w:val="24"/>
          <w:szCs w:val="24"/>
        </w:rPr>
        <w:t>, 2008)</w:t>
      </w:r>
      <w:r w:rsidR="00314B78" w:rsidRPr="00A55200">
        <w:rPr>
          <w:rFonts w:ascii="Times New Roman" w:eastAsia="Times New Roman" w:hAnsi="Times New Roman" w:cs="Times New Roman"/>
          <w:sz w:val="24"/>
          <w:szCs w:val="24"/>
        </w:rPr>
        <w:fldChar w:fldCharType="end"/>
      </w:r>
      <w:r w:rsidR="00314B78" w:rsidRPr="00A55200">
        <w:rPr>
          <w:rFonts w:ascii="Times New Roman" w:eastAsia="Times New Roman" w:hAnsi="Times New Roman" w:cs="Times New Roman"/>
          <w:sz w:val="24"/>
          <w:szCs w:val="24"/>
        </w:rPr>
        <w:t xml:space="preserve">. </w:t>
      </w:r>
      <w:r w:rsidRPr="00A55200">
        <w:rPr>
          <w:rFonts w:ascii="Times New Roman" w:eastAsia="Times New Roman" w:hAnsi="Times New Roman" w:cs="Times New Roman"/>
          <w:sz w:val="24"/>
          <w:szCs w:val="24"/>
        </w:rPr>
        <w:t>Por otro lado, esta relación conceptual subordinada</w:t>
      </w:r>
      <w:r w:rsidR="000849EF" w:rsidRPr="00A55200">
        <w:rPr>
          <w:rFonts w:ascii="Times New Roman" w:eastAsia="Times New Roman" w:hAnsi="Times New Roman" w:cs="Times New Roman"/>
          <w:sz w:val="24"/>
          <w:szCs w:val="24"/>
        </w:rPr>
        <w:t xml:space="preserve"> entre práctica y consumo culturales </w:t>
      </w:r>
      <w:r w:rsidRPr="00A55200">
        <w:rPr>
          <w:rFonts w:ascii="Times New Roman" w:eastAsia="Times New Roman" w:hAnsi="Times New Roman" w:cs="Times New Roman"/>
          <w:sz w:val="24"/>
          <w:szCs w:val="24"/>
        </w:rPr>
        <w:t>no se da en sentido contrario pues es evidente que existen consumidores culturales que no practican ninguna actividad artística (también podríamos establecer analogías con la práctica deportiva y el consumo de espectáculos deportivos).</w:t>
      </w:r>
      <w:r w:rsidR="00A55200">
        <w:rPr>
          <w:rFonts w:ascii="Times New Roman" w:eastAsia="Times New Roman" w:hAnsi="Times New Roman" w:cs="Times New Roman"/>
          <w:sz w:val="24"/>
          <w:szCs w:val="24"/>
        </w:rPr>
        <w:t xml:space="preserve"> </w:t>
      </w:r>
      <w:r w:rsidRPr="00A55200">
        <w:rPr>
          <w:rFonts w:ascii="Times New Roman" w:eastAsia="Times New Roman" w:hAnsi="Times New Roman" w:cs="Times New Roman"/>
          <w:sz w:val="24"/>
          <w:szCs w:val="24"/>
        </w:rPr>
        <w:t xml:space="preserve">La </w:t>
      </w:r>
      <w:r w:rsidR="002D7060" w:rsidRPr="00A55200">
        <w:rPr>
          <w:rFonts w:ascii="Times New Roman" w:eastAsia="Times New Roman" w:hAnsi="Times New Roman" w:cs="Times New Roman"/>
          <w:sz w:val="24"/>
          <w:szCs w:val="24"/>
        </w:rPr>
        <w:t>ineficiencia de</w:t>
      </w:r>
      <w:r w:rsidRPr="00A55200">
        <w:rPr>
          <w:rFonts w:ascii="Times New Roman" w:eastAsia="Times New Roman" w:hAnsi="Times New Roman" w:cs="Times New Roman"/>
          <w:sz w:val="24"/>
          <w:szCs w:val="24"/>
        </w:rPr>
        <w:t xml:space="preserve"> las políticas culturales de orientación democratizadora (centradas en la oferta cultural) s</w:t>
      </w:r>
      <w:r w:rsidR="000849EF" w:rsidRPr="00A55200">
        <w:rPr>
          <w:rFonts w:ascii="Times New Roman" w:eastAsia="Times New Roman" w:hAnsi="Times New Roman" w:cs="Times New Roman"/>
          <w:sz w:val="24"/>
          <w:szCs w:val="24"/>
        </w:rPr>
        <w:t xml:space="preserve">e ha ido paliando a través del desarrollo institucional del campo de </w:t>
      </w:r>
      <w:r w:rsidR="002D7060" w:rsidRPr="00A55200">
        <w:rPr>
          <w:rFonts w:ascii="Times New Roman" w:eastAsia="Times New Roman" w:hAnsi="Times New Roman" w:cs="Times New Roman"/>
          <w:sz w:val="24"/>
          <w:szCs w:val="24"/>
        </w:rPr>
        <w:t>la educación</w:t>
      </w:r>
      <w:r w:rsidRPr="00A55200">
        <w:rPr>
          <w:rFonts w:ascii="Times New Roman" w:eastAsia="Times New Roman" w:hAnsi="Times New Roman" w:cs="Times New Roman"/>
          <w:sz w:val="24"/>
          <w:szCs w:val="24"/>
        </w:rPr>
        <w:t xml:space="preserve"> artística no formal (que sensibiliza la demanda de forma </w:t>
      </w:r>
      <w:r w:rsidR="002D7060" w:rsidRPr="00A55200">
        <w:rPr>
          <w:rFonts w:ascii="Times New Roman" w:eastAsia="Times New Roman" w:hAnsi="Times New Roman" w:cs="Times New Roman"/>
          <w:sz w:val="24"/>
          <w:szCs w:val="24"/>
        </w:rPr>
        <w:t>secundaria) y</w:t>
      </w:r>
      <w:r w:rsidRPr="00A55200">
        <w:rPr>
          <w:rFonts w:ascii="Times New Roman" w:eastAsia="Times New Roman" w:hAnsi="Times New Roman" w:cs="Times New Roman"/>
          <w:sz w:val="24"/>
          <w:szCs w:val="24"/>
        </w:rPr>
        <w:t xml:space="preserve"> que tiene un efecto consecuente en el consumo cultural, si bien aún todavía no podemos precisarlo con exactitud.</w:t>
      </w:r>
      <w:r w:rsidR="00A55200">
        <w:rPr>
          <w:rFonts w:ascii="Times New Roman" w:eastAsia="Times New Roman" w:hAnsi="Times New Roman" w:cs="Times New Roman"/>
          <w:sz w:val="24"/>
          <w:szCs w:val="24"/>
        </w:rPr>
        <w:t xml:space="preserve"> </w:t>
      </w:r>
      <w:r w:rsidRPr="00A55200">
        <w:rPr>
          <w:rFonts w:ascii="Times New Roman" w:eastAsia="Times New Roman" w:hAnsi="Times New Roman" w:cs="Times New Roman"/>
          <w:sz w:val="24"/>
          <w:szCs w:val="24"/>
        </w:rPr>
        <w:t>De este modo, si en el caso del consumo cu</w:t>
      </w:r>
      <w:r w:rsidR="00FE7FC1" w:rsidRPr="00A55200">
        <w:rPr>
          <w:rFonts w:ascii="Times New Roman" w:eastAsia="Times New Roman" w:hAnsi="Times New Roman" w:cs="Times New Roman"/>
          <w:sz w:val="24"/>
          <w:szCs w:val="24"/>
        </w:rPr>
        <w:t>ltural</w:t>
      </w:r>
      <w:r w:rsidR="00AF3866" w:rsidRPr="00A55200">
        <w:rPr>
          <w:rFonts w:ascii="Times New Roman" w:eastAsia="Times New Roman" w:hAnsi="Times New Roman" w:cs="Times New Roman"/>
          <w:sz w:val="24"/>
          <w:szCs w:val="24"/>
        </w:rPr>
        <w:t xml:space="preserve"> la literatura</w:t>
      </w:r>
      <w:r w:rsidR="00A55200">
        <w:rPr>
          <w:rFonts w:ascii="Times New Roman" w:eastAsia="Times New Roman" w:hAnsi="Times New Roman" w:cs="Times New Roman"/>
          <w:sz w:val="24"/>
          <w:szCs w:val="24"/>
        </w:rPr>
        <w:t xml:space="preserve"> </w:t>
      </w:r>
      <w:r w:rsidRPr="00A55200">
        <w:rPr>
          <w:rFonts w:ascii="Times New Roman" w:eastAsia="Times New Roman" w:hAnsi="Times New Roman" w:cs="Times New Roman"/>
          <w:sz w:val="24"/>
          <w:szCs w:val="24"/>
        </w:rPr>
        <w:t>ha puesto de relieve el determinismo del nivel educativo, en el caso de la práctica artística el factor más importante pasa más por la consistencia y densidad i</w:t>
      </w:r>
      <w:r w:rsidR="00974439">
        <w:rPr>
          <w:rFonts w:ascii="Times New Roman" w:eastAsia="Times New Roman" w:hAnsi="Times New Roman" w:cs="Times New Roman"/>
          <w:sz w:val="24"/>
          <w:szCs w:val="24"/>
        </w:rPr>
        <w:t xml:space="preserve">nstitucional de la </w:t>
      </w:r>
      <w:r w:rsidR="00974439" w:rsidRPr="00B7539E">
        <w:rPr>
          <w:rFonts w:ascii="Times New Roman" w:eastAsia="Times New Roman" w:hAnsi="Times New Roman" w:cs="Times New Roman"/>
          <w:sz w:val="24"/>
          <w:szCs w:val="24"/>
        </w:rPr>
        <w:t>educación no-</w:t>
      </w:r>
      <w:r w:rsidRPr="00B7539E">
        <w:rPr>
          <w:rFonts w:ascii="Times New Roman" w:eastAsia="Times New Roman" w:hAnsi="Times New Roman" w:cs="Times New Roman"/>
          <w:sz w:val="24"/>
          <w:szCs w:val="24"/>
        </w:rPr>
        <w:t>formal que por los sistemas educativos, pues el papel de la educación artística en los sistemas ed</w:t>
      </w:r>
      <w:r w:rsidR="00AF3866" w:rsidRPr="00B7539E">
        <w:rPr>
          <w:rFonts w:ascii="Times New Roman" w:eastAsia="Times New Roman" w:hAnsi="Times New Roman" w:cs="Times New Roman"/>
          <w:sz w:val="24"/>
          <w:szCs w:val="24"/>
        </w:rPr>
        <w:t>ucativos europeos (Robinson, 1996</w:t>
      </w:r>
      <w:r w:rsidRPr="00B7539E">
        <w:rPr>
          <w:rFonts w:ascii="Times New Roman" w:eastAsia="Times New Roman" w:hAnsi="Times New Roman" w:cs="Times New Roman"/>
          <w:sz w:val="24"/>
          <w:szCs w:val="24"/>
        </w:rPr>
        <w:t xml:space="preserve">) ha sido históricamente muy débil y se encuentra además en retroceso si tomamos como referencia el número de horas semanales que tienen en el </w:t>
      </w:r>
      <w:r w:rsidRPr="00B7539E">
        <w:rPr>
          <w:rFonts w:ascii="Times New Roman" w:eastAsia="Times New Roman" w:hAnsi="Times New Roman" w:cs="Times New Roman"/>
          <w:i/>
          <w:sz w:val="24"/>
          <w:szCs w:val="24"/>
        </w:rPr>
        <w:t>curriculum</w:t>
      </w:r>
      <w:r w:rsidRPr="00B7539E">
        <w:rPr>
          <w:rFonts w:ascii="Times New Roman" w:eastAsia="Times New Roman" w:hAnsi="Times New Roman" w:cs="Times New Roman"/>
          <w:sz w:val="24"/>
          <w:szCs w:val="24"/>
        </w:rPr>
        <w:t xml:space="preserve"> de la enseñanza obligatoria en los países europeos</w:t>
      </w:r>
      <w:r w:rsidR="00974439" w:rsidRPr="00B7539E">
        <w:rPr>
          <w:rStyle w:val="Refdenotaalfinal"/>
          <w:rFonts w:ascii="Times New Roman" w:eastAsia="Times New Roman" w:hAnsi="Times New Roman" w:cs="Times New Roman"/>
          <w:sz w:val="24"/>
          <w:szCs w:val="24"/>
        </w:rPr>
        <w:endnoteReference w:id="3"/>
      </w:r>
      <w:r w:rsidRPr="00B7539E">
        <w:rPr>
          <w:rFonts w:ascii="Times New Roman" w:eastAsia="Times New Roman" w:hAnsi="Times New Roman" w:cs="Times New Roman"/>
          <w:sz w:val="24"/>
          <w:szCs w:val="24"/>
        </w:rPr>
        <w:t>.</w:t>
      </w:r>
      <w:r w:rsidR="00A55200" w:rsidRPr="00B7539E">
        <w:rPr>
          <w:rFonts w:ascii="Times New Roman" w:eastAsia="Times New Roman" w:hAnsi="Times New Roman" w:cs="Times New Roman"/>
          <w:sz w:val="24"/>
          <w:szCs w:val="24"/>
        </w:rPr>
        <w:t xml:space="preserve"> </w:t>
      </w:r>
    </w:p>
    <w:p w14:paraId="4B0AF2B0" w14:textId="77777777" w:rsidR="00A360B4" w:rsidRPr="00A55200" w:rsidRDefault="00A360B4" w:rsidP="007829E5">
      <w:pPr>
        <w:spacing w:after="0" w:line="480" w:lineRule="auto"/>
        <w:rPr>
          <w:rFonts w:ascii="Times New Roman" w:eastAsia="Times New Roman" w:hAnsi="Times New Roman" w:cs="Times New Roman"/>
          <w:sz w:val="24"/>
          <w:szCs w:val="24"/>
        </w:rPr>
      </w:pPr>
      <w:r w:rsidRPr="00B7539E">
        <w:rPr>
          <w:rFonts w:ascii="Times New Roman" w:eastAsia="Times New Roman" w:hAnsi="Times New Roman" w:cs="Times New Roman"/>
          <w:sz w:val="24"/>
          <w:szCs w:val="24"/>
        </w:rPr>
        <w:t>Esta densidad institucion</w:t>
      </w:r>
      <w:r w:rsidR="00FE7FC1" w:rsidRPr="00B7539E">
        <w:rPr>
          <w:rFonts w:ascii="Times New Roman" w:eastAsia="Times New Roman" w:hAnsi="Times New Roman" w:cs="Times New Roman"/>
          <w:sz w:val="24"/>
          <w:szCs w:val="24"/>
        </w:rPr>
        <w:t>al de la educación artística no-</w:t>
      </w:r>
      <w:r w:rsidRPr="00B7539E">
        <w:rPr>
          <w:rFonts w:ascii="Times New Roman" w:eastAsia="Times New Roman" w:hAnsi="Times New Roman" w:cs="Times New Roman"/>
          <w:sz w:val="24"/>
          <w:szCs w:val="24"/>
        </w:rPr>
        <w:t>formal</w:t>
      </w:r>
      <w:r w:rsidR="000849EF" w:rsidRPr="00B7539E">
        <w:rPr>
          <w:rFonts w:ascii="Times New Roman" w:eastAsia="Times New Roman" w:hAnsi="Times New Roman" w:cs="Times New Roman"/>
          <w:sz w:val="24"/>
          <w:szCs w:val="24"/>
        </w:rPr>
        <w:t>,</w:t>
      </w:r>
      <w:r w:rsidRPr="00B7539E">
        <w:rPr>
          <w:rFonts w:ascii="Times New Roman" w:eastAsia="Times New Roman" w:hAnsi="Times New Roman" w:cs="Times New Roman"/>
          <w:sz w:val="24"/>
          <w:szCs w:val="24"/>
        </w:rPr>
        <w:t xml:space="preserve"> que</w:t>
      </w:r>
      <w:r w:rsidRPr="00A55200">
        <w:rPr>
          <w:rFonts w:ascii="Times New Roman" w:eastAsia="Times New Roman" w:hAnsi="Times New Roman" w:cs="Times New Roman"/>
          <w:sz w:val="24"/>
          <w:szCs w:val="24"/>
        </w:rPr>
        <w:t xml:space="preserve"> </w:t>
      </w:r>
      <w:r w:rsidR="002D7060" w:rsidRPr="00A55200">
        <w:rPr>
          <w:rFonts w:ascii="Times New Roman" w:eastAsia="Times New Roman" w:hAnsi="Times New Roman" w:cs="Times New Roman"/>
          <w:sz w:val="24"/>
          <w:szCs w:val="24"/>
        </w:rPr>
        <w:t>determina las</w:t>
      </w:r>
      <w:r w:rsidRPr="00A55200">
        <w:rPr>
          <w:rFonts w:ascii="Times New Roman" w:eastAsia="Times New Roman" w:hAnsi="Times New Roman" w:cs="Times New Roman"/>
          <w:sz w:val="24"/>
          <w:szCs w:val="24"/>
        </w:rPr>
        <w:t xml:space="preserve"> prácticas artísticas es la variable que </w:t>
      </w:r>
      <w:r w:rsidR="00FE7FC1" w:rsidRPr="00A55200">
        <w:rPr>
          <w:rFonts w:ascii="Times New Roman" w:eastAsia="Times New Roman" w:hAnsi="Times New Roman" w:cs="Times New Roman"/>
          <w:sz w:val="24"/>
          <w:szCs w:val="24"/>
        </w:rPr>
        <w:t xml:space="preserve">parece </w:t>
      </w:r>
      <w:r w:rsidRPr="00A55200">
        <w:rPr>
          <w:rFonts w:ascii="Times New Roman" w:eastAsia="Times New Roman" w:hAnsi="Times New Roman" w:cs="Times New Roman"/>
          <w:sz w:val="24"/>
          <w:szCs w:val="24"/>
        </w:rPr>
        <w:t>explica</w:t>
      </w:r>
      <w:r w:rsidR="00FE7FC1" w:rsidRPr="00A55200">
        <w:rPr>
          <w:rFonts w:ascii="Times New Roman" w:eastAsia="Times New Roman" w:hAnsi="Times New Roman" w:cs="Times New Roman"/>
          <w:sz w:val="24"/>
          <w:szCs w:val="24"/>
        </w:rPr>
        <w:t>r</w:t>
      </w:r>
      <w:r w:rsidRPr="00A55200">
        <w:rPr>
          <w:rFonts w:ascii="Times New Roman" w:eastAsia="Times New Roman" w:hAnsi="Times New Roman" w:cs="Times New Roman"/>
          <w:sz w:val="24"/>
          <w:szCs w:val="24"/>
        </w:rPr>
        <w:t xml:space="preserve"> que estén </w:t>
      </w:r>
      <w:r w:rsidR="002D7060" w:rsidRPr="00A55200">
        <w:rPr>
          <w:rFonts w:ascii="Times New Roman" w:eastAsia="Times New Roman" w:hAnsi="Times New Roman" w:cs="Times New Roman"/>
          <w:sz w:val="24"/>
          <w:szCs w:val="24"/>
        </w:rPr>
        <w:t>más democratizadas</w:t>
      </w:r>
      <w:r w:rsidRPr="00A55200">
        <w:rPr>
          <w:rFonts w:ascii="Times New Roman" w:eastAsia="Times New Roman" w:hAnsi="Times New Roman" w:cs="Times New Roman"/>
          <w:sz w:val="24"/>
          <w:szCs w:val="24"/>
        </w:rPr>
        <w:t xml:space="preserve"> entre los países del norte y, particularmente, en los nórdicos. Un indicador fidedigno de</w:t>
      </w:r>
      <w:r w:rsidR="00311078" w:rsidRPr="00A55200">
        <w:rPr>
          <w:rFonts w:ascii="Times New Roman" w:eastAsia="Times New Roman" w:hAnsi="Times New Roman" w:cs="Times New Roman"/>
          <w:sz w:val="24"/>
          <w:szCs w:val="24"/>
        </w:rPr>
        <w:t xml:space="preserve"> calibrar las dimensiones</w:t>
      </w:r>
      <w:r w:rsidRPr="00A55200">
        <w:rPr>
          <w:rFonts w:ascii="Times New Roman" w:eastAsia="Times New Roman" w:hAnsi="Times New Roman" w:cs="Times New Roman"/>
          <w:sz w:val="24"/>
          <w:szCs w:val="24"/>
        </w:rPr>
        <w:t xml:space="preserve"> de la educación artísti</w:t>
      </w:r>
      <w:r w:rsidR="00311078" w:rsidRPr="00A55200">
        <w:rPr>
          <w:rFonts w:ascii="Times New Roman" w:eastAsia="Times New Roman" w:hAnsi="Times New Roman" w:cs="Times New Roman"/>
          <w:sz w:val="24"/>
          <w:szCs w:val="24"/>
        </w:rPr>
        <w:t xml:space="preserve">ca no formal lo encontramos en </w:t>
      </w:r>
      <w:r w:rsidRPr="00A55200">
        <w:rPr>
          <w:rFonts w:ascii="Times New Roman" w:eastAsia="Times New Roman" w:hAnsi="Times New Roman" w:cs="Times New Roman"/>
          <w:sz w:val="24"/>
          <w:szCs w:val="24"/>
        </w:rPr>
        <w:t>el ámbito m</w:t>
      </w:r>
      <w:r w:rsidR="00FE7FC1" w:rsidRPr="00A55200">
        <w:rPr>
          <w:rFonts w:ascii="Times New Roman" w:eastAsia="Times New Roman" w:hAnsi="Times New Roman" w:cs="Times New Roman"/>
          <w:sz w:val="24"/>
          <w:szCs w:val="24"/>
        </w:rPr>
        <w:t xml:space="preserve">usical. Los datos disponibles, </w:t>
      </w:r>
      <w:r w:rsidRPr="00A55200">
        <w:rPr>
          <w:rFonts w:ascii="Times New Roman" w:eastAsia="Times New Roman" w:hAnsi="Times New Roman" w:cs="Times New Roman"/>
          <w:sz w:val="24"/>
          <w:szCs w:val="24"/>
        </w:rPr>
        <w:t xml:space="preserve">a pesar de las deficiencias en la comparación de los datos por países de la </w:t>
      </w:r>
      <w:r w:rsidRPr="00A55200">
        <w:rPr>
          <w:rFonts w:ascii="Times New Roman" w:eastAsia="Times New Roman" w:hAnsi="Times New Roman" w:cs="Times New Roman"/>
          <w:sz w:val="24"/>
          <w:szCs w:val="24"/>
        </w:rPr>
        <w:lastRenderedPageBreak/>
        <w:t>Asociación de Escuelas de Música Europeas (EMU</w:t>
      </w:r>
      <w:r w:rsidR="0046488B" w:rsidRPr="00A55200">
        <w:rPr>
          <w:rFonts w:ascii="Times New Roman" w:eastAsia="Times New Roman" w:hAnsi="Times New Roman" w:cs="Times New Roman"/>
          <w:sz w:val="24"/>
          <w:szCs w:val="24"/>
        </w:rPr>
        <w:t>, 2010</w:t>
      </w:r>
      <w:r w:rsidRPr="00A55200">
        <w:rPr>
          <w:rFonts w:ascii="Times New Roman" w:eastAsia="Times New Roman" w:hAnsi="Times New Roman" w:cs="Times New Roman"/>
          <w:sz w:val="24"/>
          <w:szCs w:val="24"/>
        </w:rPr>
        <w:t>) permiten establecer las diferencias institucionales entre los países del norte y en sur de Europa:</w:t>
      </w:r>
    </w:p>
    <w:p w14:paraId="7E0D2BCA" w14:textId="77777777" w:rsidR="00A360B4" w:rsidRPr="00A55200" w:rsidRDefault="00A360B4" w:rsidP="007829E5">
      <w:pPr>
        <w:pStyle w:val="Prrafodelista"/>
        <w:numPr>
          <w:ilvl w:val="0"/>
          <w:numId w:val="3"/>
        </w:numPr>
        <w:spacing w:after="0" w:line="480" w:lineRule="auto"/>
        <w:ind w:firstLine="0"/>
        <w:rPr>
          <w:rFonts w:ascii="Times New Roman" w:eastAsia="Times New Roman" w:hAnsi="Times New Roman" w:cs="Times New Roman"/>
          <w:sz w:val="24"/>
          <w:szCs w:val="24"/>
        </w:rPr>
      </w:pPr>
      <w:r w:rsidRPr="00A55200">
        <w:rPr>
          <w:rFonts w:ascii="Times New Roman" w:eastAsia="Times New Roman" w:hAnsi="Times New Roman" w:cs="Times New Roman"/>
          <w:sz w:val="24"/>
          <w:szCs w:val="24"/>
        </w:rPr>
        <w:t>No hay representación por parte asociac</w:t>
      </w:r>
      <w:r w:rsidR="00FE7FC1" w:rsidRPr="00A55200">
        <w:rPr>
          <w:rFonts w:ascii="Times New Roman" w:eastAsia="Times New Roman" w:hAnsi="Times New Roman" w:cs="Times New Roman"/>
          <w:sz w:val="24"/>
          <w:szCs w:val="24"/>
        </w:rPr>
        <w:t xml:space="preserve">iones de escuelas de música de </w:t>
      </w:r>
      <w:r w:rsidRPr="00A55200">
        <w:rPr>
          <w:rFonts w:ascii="Times New Roman" w:eastAsia="Times New Roman" w:hAnsi="Times New Roman" w:cs="Times New Roman"/>
          <w:sz w:val="24"/>
          <w:szCs w:val="24"/>
        </w:rPr>
        <w:t xml:space="preserve">Portugal y Grecia, que son los países que presentan un índice más bajo en práctica artística, lo que indica una desconexión con los temas que afectan a la enseñanza musical, sus discursos sobre la sociabilidad de la música, las competencias profesionales de </w:t>
      </w:r>
      <w:r w:rsidR="002D7060" w:rsidRPr="00A55200">
        <w:rPr>
          <w:rFonts w:ascii="Times New Roman" w:eastAsia="Times New Roman" w:hAnsi="Times New Roman" w:cs="Times New Roman"/>
          <w:sz w:val="24"/>
          <w:szCs w:val="24"/>
        </w:rPr>
        <w:t>los docentes</w:t>
      </w:r>
      <w:r w:rsidRPr="00A55200">
        <w:rPr>
          <w:rFonts w:ascii="Times New Roman" w:eastAsia="Times New Roman" w:hAnsi="Times New Roman" w:cs="Times New Roman"/>
          <w:sz w:val="24"/>
          <w:szCs w:val="24"/>
        </w:rPr>
        <w:t xml:space="preserve">, entre otros temas, </w:t>
      </w:r>
      <w:r w:rsidR="002D7060" w:rsidRPr="00A55200">
        <w:rPr>
          <w:rFonts w:ascii="Times New Roman" w:eastAsia="Times New Roman" w:hAnsi="Times New Roman" w:cs="Times New Roman"/>
          <w:sz w:val="24"/>
          <w:szCs w:val="24"/>
        </w:rPr>
        <w:t>y,</w:t>
      </w:r>
      <w:r w:rsidRPr="00A55200">
        <w:rPr>
          <w:rFonts w:ascii="Times New Roman" w:eastAsia="Times New Roman" w:hAnsi="Times New Roman" w:cs="Times New Roman"/>
          <w:sz w:val="24"/>
          <w:szCs w:val="24"/>
        </w:rPr>
        <w:t xml:space="preserve"> sobre todo, los discursos sociales del presente sobre la práctica de </w:t>
      </w:r>
      <w:r w:rsidR="002D7060" w:rsidRPr="00A55200">
        <w:rPr>
          <w:rFonts w:ascii="Times New Roman" w:eastAsia="Times New Roman" w:hAnsi="Times New Roman" w:cs="Times New Roman"/>
          <w:sz w:val="24"/>
          <w:szCs w:val="24"/>
        </w:rPr>
        <w:t>la música</w:t>
      </w:r>
      <w:r w:rsidRPr="00A55200">
        <w:rPr>
          <w:rFonts w:ascii="Times New Roman" w:eastAsia="Times New Roman" w:hAnsi="Times New Roman" w:cs="Times New Roman"/>
          <w:sz w:val="24"/>
          <w:szCs w:val="24"/>
        </w:rPr>
        <w:t xml:space="preserve"> y otras artes conexas.</w:t>
      </w:r>
      <w:r w:rsidR="00A55200">
        <w:rPr>
          <w:rFonts w:ascii="Times New Roman" w:eastAsia="Times New Roman" w:hAnsi="Times New Roman" w:cs="Times New Roman"/>
          <w:sz w:val="24"/>
          <w:szCs w:val="24"/>
        </w:rPr>
        <w:t xml:space="preserve"> </w:t>
      </w:r>
    </w:p>
    <w:p w14:paraId="5A55ED20" w14:textId="7C930840" w:rsidR="00A360B4" w:rsidRPr="00A55200" w:rsidRDefault="00C57E58" w:rsidP="007829E5">
      <w:pPr>
        <w:pStyle w:val="Prrafodelista"/>
        <w:numPr>
          <w:ilvl w:val="0"/>
          <w:numId w:val="3"/>
        </w:numPr>
        <w:spacing w:after="0" w:line="480" w:lineRule="auto"/>
        <w:ind w:firstLine="0"/>
        <w:rPr>
          <w:rFonts w:ascii="Times New Roman" w:eastAsia="Times New Roman" w:hAnsi="Times New Roman" w:cs="Times New Roman"/>
          <w:sz w:val="24"/>
          <w:szCs w:val="24"/>
        </w:rPr>
      </w:pPr>
      <w:r w:rsidRPr="00A55200">
        <w:rPr>
          <w:rFonts w:ascii="Times New Roman" w:eastAsia="Times New Roman" w:hAnsi="Times New Roman" w:cs="Times New Roman"/>
          <w:sz w:val="24"/>
          <w:szCs w:val="24"/>
        </w:rPr>
        <w:t xml:space="preserve">Los países representativos </w:t>
      </w:r>
      <w:r w:rsidR="00A360B4" w:rsidRPr="00A55200">
        <w:rPr>
          <w:rFonts w:ascii="Times New Roman" w:eastAsia="Times New Roman" w:hAnsi="Times New Roman" w:cs="Times New Roman"/>
          <w:sz w:val="24"/>
          <w:szCs w:val="24"/>
        </w:rPr>
        <w:t>de los modelos de política cultural (A</w:t>
      </w:r>
      <w:r w:rsidR="00974439">
        <w:rPr>
          <w:rFonts w:ascii="Times New Roman" w:eastAsia="Times New Roman" w:hAnsi="Times New Roman" w:cs="Times New Roman"/>
          <w:sz w:val="24"/>
          <w:szCs w:val="24"/>
        </w:rPr>
        <w:t>lemania, Dinamarca, Reino Unido</w:t>
      </w:r>
      <w:r w:rsidR="00A360B4" w:rsidRPr="00A55200">
        <w:rPr>
          <w:rFonts w:ascii="Times New Roman" w:eastAsia="Times New Roman" w:hAnsi="Times New Roman" w:cs="Times New Roman"/>
          <w:sz w:val="24"/>
          <w:szCs w:val="24"/>
        </w:rPr>
        <w:t>) presentan indicadores muy superiores relativos acerca de las agrupaciones musicales surgi</w:t>
      </w:r>
      <w:r w:rsidR="000849EF" w:rsidRPr="00A55200">
        <w:rPr>
          <w:rFonts w:ascii="Times New Roman" w:eastAsia="Times New Roman" w:hAnsi="Times New Roman" w:cs="Times New Roman"/>
          <w:sz w:val="24"/>
          <w:szCs w:val="24"/>
        </w:rPr>
        <w:t xml:space="preserve">das de las escuelas (coros, </w:t>
      </w:r>
      <w:r w:rsidR="000849EF" w:rsidRPr="00A55200">
        <w:rPr>
          <w:rFonts w:ascii="Times New Roman" w:eastAsia="Times New Roman" w:hAnsi="Times New Roman" w:cs="Times New Roman"/>
          <w:i/>
          <w:sz w:val="24"/>
          <w:szCs w:val="24"/>
        </w:rPr>
        <w:t>big</w:t>
      </w:r>
      <w:r w:rsidR="00A360B4" w:rsidRPr="00A55200">
        <w:rPr>
          <w:rFonts w:ascii="Times New Roman" w:eastAsia="Times New Roman" w:hAnsi="Times New Roman" w:cs="Times New Roman"/>
          <w:i/>
          <w:sz w:val="24"/>
          <w:szCs w:val="24"/>
        </w:rPr>
        <w:t xml:space="preserve"> bands</w:t>
      </w:r>
      <w:r w:rsidR="00A360B4" w:rsidRPr="00A55200">
        <w:rPr>
          <w:rFonts w:ascii="Times New Roman" w:eastAsia="Times New Roman" w:hAnsi="Times New Roman" w:cs="Times New Roman"/>
          <w:sz w:val="24"/>
          <w:szCs w:val="24"/>
        </w:rPr>
        <w:t>, grupos de pop, étnicos etc.</w:t>
      </w:r>
      <w:r w:rsidR="002D7060" w:rsidRPr="00A55200">
        <w:rPr>
          <w:rFonts w:ascii="Times New Roman" w:eastAsia="Times New Roman" w:hAnsi="Times New Roman" w:cs="Times New Roman"/>
          <w:sz w:val="24"/>
          <w:szCs w:val="24"/>
        </w:rPr>
        <w:t>, frente</w:t>
      </w:r>
      <w:r w:rsidR="00A360B4" w:rsidRPr="00A55200">
        <w:rPr>
          <w:rFonts w:ascii="Times New Roman" w:eastAsia="Times New Roman" w:hAnsi="Times New Roman" w:cs="Times New Roman"/>
          <w:sz w:val="24"/>
          <w:szCs w:val="24"/>
        </w:rPr>
        <w:t xml:space="preserve"> a los casos italiano y español. </w:t>
      </w:r>
    </w:p>
    <w:p w14:paraId="2D76D17F" w14:textId="77777777" w:rsidR="00A360B4" w:rsidRPr="00A55200" w:rsidRDefault="00A360B4" w:rsidP="007829E5">
      <w:pPr>
        <w:pStyle w:val="Prrafodelista"/>
        <w:numPr>
          <w:ilvl w:val="0"/>
          <w:numId w:val="3"/>
        </w:numPr>
        <w:spacing w:after="0" w:line="480" w:lineRule="auto"/>
        <w:ind w:firstLine="0"/>
        <w:rPr>
          <w:rFonts w:ascii="Times New Roman" w:eastAsia="Times New Roman" w:hAnsi="Times New Roman" w:cs="Times New Roman"/>
          <w:sz w:val="24"/>
          <w:szCs w:val="24"/>
        </w:rPr>
      </w:pPr>
      <w:r w:rsidRPr="00A55200">
        <w:rPr>
          <w:rFonts w:ascii="Times New Roman" w:eastAsia="Times New Roman" w:hAnsi="Times New Roman" w:cs="Times New Roman"/>
          <w:sz w:val="24"/>
          <w:szCs w:val="24"/>
        </w:rPr>
        <w:t xml:space="preserve">Los porcentajes de alumnos jóvenes que practican música en las escuelas de música son muy superiores a los países del sur. </w:t>
      </w:r>
    </w:p>
    <w:p w14:paraId="424FCC0E" w14:textId="77777777" w:rsidR="00A360B4" w:rsidRPr="00A55200" w:rsidRDefault="00C57E58" w:rsidP="007829E5">
      <w:pPr>
        <w:pStyle w:val="Prrafodelista"/>
        <w:numPr>
          <w:ilvl w:val="0"/>
          <w:numId w:val="3"/>
        </w:numPr>
        <w:spacing w:after="0" w:line="480" w:lineRule="auto"/>
        <w:ind w:firstLine="0"/>
        <w:rPr>
          <w:rFonts w:ascii="Times New Roman" w:eastAsia="Times New Roman" w:hAnsi="Times New Roman" w:cs="Times New Roman"/>
          <w:sz w:val="24"/>
          <w:szCs w:val="24"/>
        </w:rPr>
      </w:pPr>
      <w:r w:rsidRPr="00A55200">
        <w:rPr>
          <w:rFonts w:ascii="Times New Roman" w:eastAsia="Times New Roman" w:hAnsi="Times New Roman" w:cs="Times New Roman"/>
          <w:sz w:val="24"/>
          <w:szCs w:val="24"/>
        </w:rPr>
        <w:t>Las e</w:t>
      </w:r>
      <w:r w:rsidR="00A360B4" w:rsidRPr="00A55200">
        <w:rPr>
          <w:rFonts w:ascii="Times New Roman" w:eastAsia="Times New Roman" w:hAnsi="Times New Roman" w:cs="Times New Roman"/>
          <w:sz w:val="24"/>
          <w:szCs w:val="24"/>
        </w:rPr>
        <w:t xml:space="preserve">scuelas de música, sobre todo en el modelo nórdico y centroeuropeo, sirven asimismo como escuelas de danza, teatro y la digitalización musical. Ello explicaría la diversidad de prácticas artísticas del </w:t>
      </w:r>
      <w:r w:rsidR="002D7060" w:rsidRPr="00A55200">
        <w:rPr>
          <w:rFonts w:ascii="Times New Roman" w:eastAsia="Times New Roman" w:hAnsi="Times New Roman" w:cs="Times New Roman"/>
          <w:sz w:val="24"/>
          <w:szCs w:val="24"/>
        </w:rPr>
        <w:t>E</w:t>
      </w:r>
      <w:r w:rsidR="00A360B4" w:rsidRPr="00A55200">
        <w:rPr>
          <w:rFonts w:ascii="Times New Roman" w:eastAsia="Times New Roman" w:hAnsi="Times New Roman" w:cs="Times New Roman"/>
          <w:sz w:val="24"/>
          <w:szCs w:val="24"/>
        </w:rPr>
        <w:t xml:space="preserve">urobarómetro sobre todo en los países nórdicos, frente un modelo </w:t>
      </w:r>
      <w:r w:rsidR="000849EF" w:rsidRPr="00A55200">
        <w:rPr>
          <w:rFonts w:ascii="Times New Roman" w:eastAsia="Times New Roman" w:hAnsi="Times New Roman" w:cs="Times New Roman"/>
          <w:sz w:val="24"/>
          <w:szCs w:val="24"/>
        </w:rPr>
        <w:t xml:space="preserve">artístico </w:t>
      </w:r>
      <w:r w:rsidR="00A360B4" w:rsidRPr="00A55200">
        <w:rPr>
          <w:rFonts w:ascii="Times New Roman" w:eastAsia="Times New Roman" w:hAnsi="Times New Roman" w:cs="Times New Roman"/>
          <w:sz w:val="24"/>
          <w:szCs w:val="24"/>
        </w:rPr>
        <w:t>menos diversificado</w:t>
      </w:r>
      <w:r w:rsidR="000849EF" w:rsidRPr="00A55200">
        <w:rPr>
          <w:rFonts w:ascii="Times New Roman" w:eastAsia="Times New Roman" w:hAnsi="Times New Roman" w:cs="Times New Roman"/>
          <w:sz w:val="24"/>
          <w:szCs w:val="24"/>
        </w:rPr>
        <w:t xml:space="preserve"> y menos evolucionado</w:t>
      </w:r>
      <w:r w:rsidR="00A360B4" w:rsidRPr="00A55200">
        <w:rPr>
          <w:rFonts w:ascii="Times New Roman" w:eastAsia="Times New Roman" w:hAnsi="Times New Roman" w:cs="Times New Roman"/>
          <w:sz w:val="24"/>
          <w:szCs w:val="24"/>
        </w:rPr>
        <w:t xml:space="preserve"> en los países del sur. </w:t>
      </w:r>
    </w:p>
    <w:p w14:paraId="0A54038A" w14:textId="77777777" w:rsidR="00A360B4" w:rsidRPr="00A55200" w:rsidRDefault="00A360B4" w:rsidP="007829E5">
      <w:pPr>
        <w:pStyle w:val="Prrafodelista"/>
        <w:numPr>
          <w:ilvl w:val="0"/>
          <w:numId w:val="3"/>
        </w:numPr>
        <w:spacing w:after="0" w:line="480" w:lineRule="auto"/>
        <w:ind w:firstLine="0"/>
        <w:rPr>
          <w:rFonts w:ascii="Times New Roman" w:eastAsia="Times New Roman" w:hAnsi="Times New Roman" w:cs="Times New Roman"/>
          <w:sz w:val="24"/>
          <w:szCs w:val="24"/>
        </w:rPr>
      </w:pPr>
      <w:r w:rsidRPr="00A55200">
        <w:rPr>
          <w:rFonts w:ascii="Times New Roman" w:eastAsia="Times New Roman" w:hAnsi="Times New Roman" w:cs="Times New Roman"/>
          <w:sz w:val="24"/>
          <w:szCs w:val="24"/>
        </w:rPr>
        <w:t xml:space="preserve">Se constata una sensibilidad hacia los alumnos desaventajados social o económicamente </w:t>
      </w:r>
      <w:r w:rsidR="002D7060" w:rsidRPr="00A55200">
        <w:rPr>
          <w:rFonts w:ascii="Times New Roman" w:eastAsia="Times New Roman" w:hAnsi="Times New Roman" w:cs="Times New Roman"/>
          <w:sz w:val="24"/>
          <w:szCs w:val="24"/>
        </w:rPr>
        <w:t>o con</w:t>
      </w:r>
      <w:r w:rsidRPr="00A55200">
        <w:rPr>
          <w:rFonts w:ascii="Times New Roman" w:eastAsia="Times New Roman" w:hAnsi="Times New Roman" w:cs="Times New Roman"/>
          <w:sz w:val="24"/>
          <w:szCs w:val="24"/>
        </w:rPr>
        <w:t xml:space="preserve"> diversidad funcional.</w:t>
      </w:r>
    </w:p>
    <w:p w14:paraId="54187F6D" w14:textId="77777777" w:rsidR="00A360B4" w:rsidRPr="00A55200" w:rsidRDefault="00A360B4" w:rsidP="007829E5">
      <w:pPr>
        <w:pStyle w:val="Prrafodelista"/>
        <w:numPr>
          <w:ilvl w:val="0"/>
          <w:numId w:val="3"/>
        </w:numPr>
        <w:spacing w:after="0" w:line="480" w:lineRule="auto"/>
        <w:ind w:firstLine="0"/>
        <w:rPr>
          <w:rFonts w:ascii="Times New Roman" w:eastAsia="Times New Roman" w:hAnsi="Times New Roman" w:cs="Times New Roman"/>
          <w:sz w:val="24"/>
          <w:szCs w:val="24"/>
        </w:rPr>
      </w:pPr>
      <w:r w:rsidRPr="00A55200">
        <w:rPr>
          <w:rFonts w:ascii="Times New Roman" w:eastAsia="Times New Roman" w:hAnsi="Times New Roman" w:cs="Times New Roman"/>
          <w:sz w:val="24"/>
          <w:szCs w:val="24"/>
        </w:rPr>
        <w:t xml:space="preserve">El porcentaje de </w:t>
      </w:r>
      <w:r w:rsidR="002D7060" w:rsidRPr="00A55200">
        <w:rPr>
          <w:rFonts w:ascii="Times New Roman" w:eastAsia="Times New Roman" w:hAnsi="Times New Roman" w:cs="Times New Roman"/>
          <w:sz w:val="24"/>
          <w:szCs w:val="24"/>
        </w:rPr>
        <w:t>la financiación</w:t>
      </w:r>
      <w:r w:rsidRPr="00A55200">
        <w:rPr>
          <w:rFonts w:ascii="Times New Roman" w:eastAsia="Times New Roman" w:hAnsi="Times New Roman" w:cs="Times New Roman"/>
          <w:sz w:val="24"/>
          <w:szCs w:val="24"/>
        </w:rPr>
        <w:t xml:space="preserve"> de las escuelas por parte de las entidades locales es mayor en los casos de Dinamarca y Alemania que en los casos de Italia y España; no hay datos sobre Reino Unido. El resto de la financiación recae en la mayoría de los casos en la financiación por las tasas de matrícula de los padres. El </w:t>
      </w:r>
      <w:r w:rsidRPr="00A55200">
        <w:rPr>
          <w:rFonts w:ascii="Times New Roman" w:eastAsia="Times New Roman" w:hAnsi="Times New Roman" w:cs="Times New Roman"/>
          <w:sz w:val="24"/>
          <w:szCs w:val="24"/>
        </w:rPr>
        <w:lastRenderedPageBreak/>
        <w:t xml:space="preserve">papel de la Administración General del Estado en la financiación es muy débil o subsidiario en casi todos los países, salvo en algunos países </w:t>
      </w:r>
      <w:r w:rsidR="002D7060" w:rsidRPr="00A55200">
        <w:rPr>
          <w:rFonts w:ascii="Times New Roman" w:eastAsia="Times New Roman" w:hAnsi="Times New Roman" w:cs="Times New Roman"/>
          <w:sz w:val="24"/>
          <w:szCs w:val="24"/>
        </w:rPr>
        <w:t>excomunistas</w:t>
      </w:r>
      <w:r w:rsidRPr="00A55200">
        <w:rPr>
          <w:rFonts w:ascii="Times New Roman" w:eastAsia="Times New Roman" w:hAnsi="Times New Roman" w:cs="Times New Roman"/>
          <w:sz w:val="24"/>
          <w:szCs w:val="24"/>
        </w:rPr>
        <w:t xml:space="preserve">. </w:t>
      </w:r>
    </w:p>
    <w:p w14:paraId="4ADD5E93" w14:textId="77777777" w:rsidR="0046488B" w:rsidRPr="00A55200" w:rsidRDefault="0046488B" w:rsidP="007829E5">
      <w:pPr>
        <w:pStyle w:val="Prrafodelista"/>
        <w:numPr>
          <w:ilvl w:val="0"/>
          <w:numId w:val="3"/>
        </w:numPr>
        <w:spacing w:after="0" w:line="480" w:lineRule="auto"/>
        <w:ind w:firstLine="0"/>
        <w:rPr>
          <w:rFonts w:ascii="Times New Roman" w:eastAsia="Times New Roman" w:hAnsi="Times New Roman" w:cs="Times New Roman"/>
          <w:sz w:val="24"/>
          <w:szCs w:val="24"/>
        </w:rPr>
      </w:pPr>
      <w:r w:rsidRPr="00A55200">
        <w:rPr>
          <w:rFonts w:ascii="Times New Roman" w:eastAsia="Times New Roman" w:hAnsi="Times New Roman" w:cs="Times New Roman"/>
          <w:sz w:val="24"/>
          <w:szCs w:val="24"/>
        </w:rPr>
        <w:t xml:space="preserve">En algunos países nórdicos como el caso de Dinamarca la </w:t>
      </w:r>
      <w:r w:rsidR="002D7060" w:rsidRPr="00A55200">
        <w:rPr>
          <w:rFonts w:ascii="Times New Roman" w:eastAsia="Times New Roman" w:hAnsi="Times New Roman" w:cs="Times New Roman"/>
          <w:sz w:val="24"/>
          <w:szCs w:val="24"/>
        </w:rPr>
        <w:t>educación y</w:t>
      </w:r>
      <w:r w:rsidRPr="00A55200">
        <w:rPr>
          <w:rFonts w:ascii="Times New Roman" w:eastAsia="Times New Roman" w:hAnsi="Times New Roman" w:cs="Times New Roman"/>
          <w:sz w:val="24"/>
          <w:szCs w:val="24"/>
        </w:rPr>
        <w:t xml:space="preserve"> la práctica musical</w:t>
      </w:r>
      <w:r w:rsidR="00217132" w:rsidRPr="00A55200">
        <w:rPr>
          <w:rFonts w:ascii="Times New Roman" w:eastAsia="Times New Roman" w:hAnsi="Times New Roman" w:cs="Times New Roman"/>
          <w:sz w:val="24"/>
          <w:szCs w:val="24"/>
        </w:rPr>
        <w:t>es</w:t>
      </w:r>
      <w:r w:rsidRPr="00A55200">
        <w:rPr>
          <w:rFonts w:ascii="Times New Roman" w:eastAsia="Times New Roman" w:hAnsi="Times New Roman" w:cs="Times New Roman"/>
          <w:sz w:val="24"/>
          <w:szCs w:val="24"/>
        </w:rPr>
        <w:t xml:space="preserve"> están protegidas por una ley educativa. </w:t>
      </w:r>
    </w:p>
    <w:p w14:paraId="29820F69" w14:textId="77777777" w:rsidR="00A360B4" w:rsidRPr="00A55200" w:rsidRDefault="00A360B4" w:rsidP="007829E5">
      <w:pPr>
        <w:pStyle w:val="Prrafodelista"/>
        <w:numPr>
          <w:ilvl w:val="0"/>
          <w:numId w:val="3"/>
        </w:numPr>
        <w:spacing w:after="0" w:line="480" w:lineRule="auto"/>
        <w:ind w:firstLine="0"/>
        <w:rPr>
          <w:rFonts w:ascii="Times New Roman" w:eastAsia="Times New Roman" w:hAnsi="Times New Roman" w:cs="Times New Roman"/>
          <w:sz w:val="24"/>
          <w:szCs w:val="24"/>
        </w:rPr>
      </w:pPr>
      <w:r w:rsidRPr="00A55200">
        <w:rPr>
          <w:rFonts w:ascii="Times New Roman" w:eastAsia="Times New Roman" w:hAnsi="Times New Roman" w:cs="Times New Roman"/>
          <w:sz w:val="24"/>
          <w:szCs w:val="24"/>
        </w:rPr>
        <w:t>Las páginas web están actualizadas con actividad continua y presencia en las redes sociales en los países del norte de Europa.</w:t>
      </w:r>
      <w:r w:rsidR="00A55200">
        <w:rPr>
          <w:rFonts w:ascii="Times New Roman" w:eastAsia="Times New Roman" w:hAnsi="Times New Roman" w:cs="Times New Roman"/>
          <w:sz w:val="24"/>
          <w:szCs w:val="24"/>
        </w:rPr>
        <w:t xml:space="preserve"> </w:t>
      </w:r>
      <w:r w:rsidRPr="00A55200">
        <w:rPr>
          <w:rFonts w:ascii="Times New Roman" w:eastAsia="Times New Roman" w:hAnsi="Times New Roman" w:cs="Times New Roman"/>
          <w:sz w:val="24"/>
          <w:szCs w:val="24"/>
        </w:rPr>
        <w:t>En el caso de la italiana y la española son menos dinámicas y no</w:t>
      </w:r>
      <w:r w:rsidR="00E17578" w:rsidRPr="00A55200">
        <w:rPr>
          <w:rFonts w:ascii="Times New Roman" w:eastAsia="Times New Roman" w:hAnsi="Times New Roman" w:cs="Times New Roman"/>
          <w:sz w:val="24"/>
          <w:szCs w:val="24"/>
        </w:rPr>
        <w:t xml:space="preserve"> están</w:t>
      </w:r>
      <w:r w:rsidRPr="00A55200">
        <w:rPr>
          <w:rFonts w:ascii="Times New Roman" w:eastAsia="Times New Roman" w:hAnsi="Times New Roman" w:cs="Times New Roman"/>
          <w:sz w:val="24"/>
          <w:szCs w:val="24"/>
        </w:rPr>
        <w:t xml:space="preserve"> actualizadas. Las últimas noticias de la asociación española son del año 2014. </w:t>
      </w:r>
    </w:p>
    <w:p w14:paraId="7D95F918" w14:textId="266BED06" w:rsidR="00A360B4" w:rsidRPr="00A55200" w:rsidRDefault="00BC54CE" w:rsidP="007829E5">
      <w:pPr>
        <w:spacing w:after="0" w:line="480" w:lineRule="auto"/>
        <w:rPr>
          <w:rFonts w:ascii="Times New Roman" w:eastAsia="Times New Roman" w:hAnsi="Times New Roman" w:cs="Times New Roman"/>
          <w:sz w:val="24"/>
          <w:szCs w:val="24"/>
        </w:rPr>
      </w:pPr>
      <w:r w:rsidRPr="00A55200">
        <w:rPr>
          <w:rFonts w:ascii="Times New Roman" w:eastAsia="Times New Roman" w:hAnsi="Times New Roman" w:cs="Times New Roman"/>
          <w:sz w:val="24"/>
          <w:szCs w:val="24"/>
        </w:rPr>
        <w:t>Asimismo, cabe reseñar el caso</w:t>
      </w:r>
      <w:r w:rsidR="00804A25" w:rsidRPr="00A55200">
        <w:rPr>
          <w:rFonts w:ascii="Times New Roman" w:eastAsia="Times New Roman" w:hAnsi="Times New Roman" w:cs="Times New Roman"/>
          <w:sz w:val="24"/>
          <w:szCs w:val="24"/>
        </w:rPr>
        <w:t xml:space="preserve"> de las escuelas de arte en el </w:t>
      </w:r>
      <w:r w:rsidRPr="00A55200">
        <w:rPr>
          <w:rFonts w:ascii="Times New Roman" w:eastAsia="Times New Roman" w:hAnsi="Times New Roman" w:cs="Times New Roman"/>
          <w:sz w:val="24"/>
          <w:szCs w:val="24"/>
        </w:rPr>
        <w:t>Reino Unido</w:t>
      </w:r>
      <w:r w:rsidR="00217132" w:rsidRPr="00A55200">
        <w:rPr>
          <w:rFonts w:ascii="Times New Roman" w:eastAsia="Times New Roman" w:hAnsi="Times New Roman" w:cs="Times New Roman"/>
          <w:sz w:val="24"/>
          <w:szCs w:val="24"/>
        </w:rPr>
        <w:t xml:space="preserve">, que si bien forman parte del sistema forma educativo (educación formal), las mencionamos en este epígrafe por su papel </w:t>
      </w:r>
      <w:r w:rsidR="00805DBE" w:rsidRPr="00A55200">
        <w:rPr>
          <w:rFonts w:ascii="Times New Roman" w:eastAsia="Times New Roman" w:hAnsi="Times New Roman" w:cs="Times New Roman"/>
          <w:sz w:val="24"/>
          <w:szCs w:val="24"/>
        </w:rPr>
        <w:t xml:space="preserve">decisivo en el ámbito informal. </w:t>
      </w:r>
      <w:r w:rsidRPr="00A55200">
        <w:rPr>
          <w:rFonts w:ascii="Times New Roman" w:eastAsia="Times New Roman" w:hAnsi="Times New Roman" w:cs="Times New Roman"/>
          <w:sz w:val="24"/>
          <w:szCs w:val="24"/>
        </w:rPr>
        <w:t>Frith y Howard</w:t>
      </w:r>
      <w:r w:rsidR="008041C7" w:rsidRPr="00A55200">
        <w:rPr>
          <w:rFonts w:ascii="Times New Roman" w:eastAsia="Times New Roman" w:hAnsi="Times New Roman" w:cs="Times New Roman"/>
          <w:sz w:val="24"/>
          <w:szCs w:val="24"/>
        </w:rPr>
        <w:t xml:space="preserve"> (1987)</w:t>
      </w:r>
      <w:r w:rsidRPr="00A55200">
        <w:rPr>
          <w:rFonts w:ascii="Times New Roman" w:eastAsia="Times New Roman" w:hAnsi="Times New Roman" w:cs="Times New Roman"/>
          <w:sz w:val="24"/>
          <w:szCs w:val="24"/>
        </w:rPr>
        <w:t xml:space="preserve"> analiza</w:t>
      </w:r>
      <w:r w:rsidR="00805DBE" w:rsidRPr="00A55200">
        <w:rPr>
          <w:rFonts w:ascii="Times New Roman" w:eastAsia="Times New Roman" w:hAnsi="Times New Roman" w:cs="Times New Roman"/>
          <w:sz w:val="24"/>
          <w:szCs w:val="24"/>
        </w:rPr>
        <w:t xml:space="preserve">ron cómo las escuelas de arte –que forman parte del </w:t>
      </w:r>
      <w:r w:rsidR="002D7060" w:rsidRPr="00A55200">
        <w:rPr>
          <w:rFonts w:ascii="Times New Roman" w:eastAsia="Times New Roman" w:hAnsi="Times New Roman" w:cs="Times New Roman"/>
          <w:sz w:val="24"/>
          <w:szCs w:val="24"/>
        </w:rPr>
        <w:t>nivel de</w:t>
      </w:r>
      <w:r w:rsidR="00974439">
        <w:rPr>
          <w:rFonts w:ascii="Times New Roman" w:eastAsia="Times New Roman" w:hAnsi="Times New Roman" w:cs="Times New Roman"/>
          <w:sz w:val="24"/>
          <w:szCs w:val="24"/>
        </w:rPr>
        <w:t xml:space="preserve"> la Educación Superior</w:t>
      </w:r>
      <w:r w:rsidR="00974439" w:rsidRPr="00A55200">
        <w:rPr>
          <w:rFonts w:ascii="Times New Roman" w:eastAsia="Times New Roman" w:hAnsi="Times New Roman" w:cs="Times New Roman"/>
          <w:sz w:val="24"/>
          <w:szCs w:val="24"/>
        </w:rPr>
        <w:t>–</w:t>
      </w:r>
      <w:r w:rsidRPr="00A55200">
        <w:rPr>
          <w:rFonts w:ascii="Times New Roman" w:eastAsia="Times New Roman" w:hAnsi="Times New Roman" w:cs="Times New Roman"/>
          <w:sz w:val="24"/>
          <w:szCs w:val="24"/>
        </w:rPr>
        <w:t xml:space="preserve"> tuvieron un papel destacado en la formación artística y cultural de los británicos desde la segunda</w:t>
      </w:r>
      <w:r w:rsidR="00805DBE" w:rsidRPr="00A55200">
        <w:rPr>
          <w:rFonts w:ascii="Times New Roman" w:eastAsia="Times New Roman" w:hAnsi="Times New Roman" w:cs="Times New Roman"/>
          <w:sz w:val="24"/>
          <w:szCs w:val="24"/>
        </w:rPr>
        <w:t xml:space="preserve"> mitad del siglo XX. Estas escuelas </w:t>
      </w:r>
      <w:r w:rsidRPr="00A55200">
        <w:rPr>
          <w:rFonts w:ascii="Times New Roman" w:eastAsia="Times New Roman" w:hAnsi="Times New Roman" w:cs="Times New Roman"/>
          <w:sz w:val="24"/>
          <w:szCs w:val="24"/>
        </w:rPr>
        <w:t>acogía</w:t>
      </w:r>
      <w:r w:rsidR="00805DBE" w:rsidRPr="00A55200">
        <w:rPr>
          <w:rFonts w:ascii="Times New Roman" w:eastAsia="Times New Roman" w:hAnsi="Times New Roman" w:cs="Times New Roman"/>
          <w:sz w:val="24"/>
          <w:szCs w:val="24"/>
        </w:rPr>
        <w:t>n a aquellos</w:t>
      </w:r>
      <w:r w:rsidRPr="00A55200">
        <w:rPr>
          <w:rFonts w:ascii="Times New Roman" w:eastAsia="Times New Roman" w:hAnsi="Times New Roman" w:cs="Times New Roman"/>
          <w:sz w:val="24"/>
          <w:szCs w:val="24"/>
        </w:rPr>
        <w:t xml:space="preserve"> hijos de la clase obrera</w:t>
      </w:r>
      <w:r w:rsidR="008041C7" w:rsidRPr="00A55200">
        <w:rPr>
          <w:rFonts w:ascii="Times New Roman" w:eastAsia="Times New Roman" w:hAnsi="Times New Roman" w:cs="Times New Roman"/>
          <w:sz w:val="24"/>
          <w:szCs w:val="24"/>
        </w:rPr>
        <w:t xml:space="preserve"> con t</w:t>
      </w:r>
      <w:r w:rsidR="00087B32" w:rsidRPr="00A55200">
        <w:rPr>
          <w:rFonts w:ascii="Times New Roman" w:eastAsia="Times New Roman" w:hAnsi="Times New Roman" w:cs="Times New Roman"/>
          <w:sz w:val="24"/>
          <w:szCs w:val="24"/>
        </w:rPr>
        <w:t>alento,</w:t>
      </w:r>
      <w:r w:rsidR="008041C7" w:rsidRPr="00A55200">
        <w:rPr>
          <w:rFonts w:ascii="Times New Roman" w:eastAsia="Times New Roman" w:hAnsi="Times New Roman" w:cs="Times New Roman"/>
          <w:sz w:val="24"/>
          <w:szCs w:val="24"/>
        </w:rPr>
        <w:t xml:space="preserve"> que fracasaban en la cultura escolar de la educación formal</w:t>
      </w:r>
      <w:r w:rsidR="00087B32" w:rsidRPr="00A55200">
        <w:rPr>
          <w:rFonts w:ascii="Times New Roman" w:eastAsia="Times New Roman" w:hAnsi="Times New Roman" w:cs="Times New Roman"/>
          <w:sz w:val="24"/>
          <w:szCs w:val="24"/>
        </w:rPr>
        <w:t xml:space="preserve"> y encontraban en las escuelas de arte un entorno propicio para el desarrollo de su personalidad artística. </w:t>
      </w:r>
      <w:r w:rsidR="00805DBE" w:rsidRPr="00A55200">
        <w:rPr>
          <w:rFonts w:ascii="Times New Roman" w:eastAsia="Times New Roman" w:hAnsi="Times New Roman" w:cs="Times New Roman"/>
          <w:sz w:val="24"/>
          <w:szCs w:val="24"/>
        </w:rPr>
        <w:t>Además de desempeñar</w:t>
      </w:r>
      <w:r w:rsidR="00804A25" w:rsidRPr="00A55200">
        <w:rPr>
          <w:rFonts w:ascii="Times New Roman" w:eastAsia="Times New Roman" w:hAnsi="Times New Roman" w:cs="Times New Roman"/>
          <w:sz w:val="24"/>
          <w:szCs w:val="24"/>
        </w:rPr>
        <w:t xml:space="preserve"> un papel democratizador en prácticamente toda la segunda mitad del siglo XX, las escuelas </w:t>
      </w:r>
      <w:r w:rsidR="00805DBE" w:rsidRPr="00A55200">
        <w:rPr>
          <w:rFonts w:ascii="Times New Roman" w:eastAsia="Times New Roman" w:hAnsi="Times New Roman" w:cs="Times New Roman"/>
          <w:sz w:val="24"/>
          <w:szCs w:val="24"/>
        </w:rPr>
        <w:t xml:space="preserve">de arte formaron el sustrato del </w:t>
      </w:r>
      <w:r w:rsidR="00804A25" w:rsidRPr="00A55200">
        <w:rPr>
          <w:rFonts w:ascii="Times New Roman" w:eastAsia="Times New Roman" w:hAnsi="Times New Roman" w:cs="Times New Roman"/>
          <w:sz w:val="24"/>
          <w:szCs w:val="24"/>
        </w:rPr>
        <w:t>desarrollo de la industria musical</w:t>
      </w:r>
      <w:r w:rsidR="00805DBE" w:rsidRPr="00A55200">
        <w:rPr>
          <w:rFonts w:ascii="Times New Roman" w:eastAsia="Times New Roman" w:hAnsi="Times New Roman" w:cs="Times New Roman"/>
          <w:sz w:val="24"/>
          <w:szCs w:val="24"/>
        </w:rPr>
        <w:t xml:space="preserve"> británica,</w:t>
      </w:r>
      <w:r w:rsidR="00804A25" w:rsidRPr="00A55200">
        <w:rPr>
          <w:rFonts w:ascii="Times New Roman" w:eastAsia="Times New Roman" w:hAnsi="Times New Roman" w:cs="Times New Roman"/>
          <w:sz w:val="24"/>
          <w:szCs w:val="24"/>
        </w:rPr>
        <w:t xml:space="preserve"> ya que en ellas se gestaron buena parte de los grandes grupos </w:t>
      </w:r>
      <w:r w:rsidR="005B3233" w:rsidRPr="00A55200">
        <w:rPr>
          <w:rFonts w:ascii="Times New Roman" w:eastAsia="Times New Roman" w:hAnsi="Times New Roman" w:cs="Times New Roman"/>
          <w:sz w:val="24"/>
          <w:szCs w:val="24"/>
        </w:rPr>
        <w:t xml:space="preserve">pop </w:t>
      </w:r>
      <w:r w:rsidR="00217132" w:rsidRPr="00A55200">
        <w:rPr>
          <w:rFonts w:ascii="Times New Roman" w:eastAsia="Times New Roman" w:hAnsi="Times New Roman" w:cs="Times New Roman"/>
          <w:sz w:val="24"/>
          <w:szCs w:val="24"/>
        </w:rPr>
        <w:t xml:space="preserve">de los años sesenta </w:t>
      </w:r>
      <w:r w:rsidR="00804A25" w:rsidRPr="00A55200">
        <w:rPr>
          <w:rFonts w:ascii="Times New Roman" w:eastAsia="Times New Roman" w:hAnsi="Times New Roman" w:cs="Times New Roman"/>
          <w:sz w:val="24"/>
          <w:szCs w:val="24"/>
        </w:rPr>
        <w:t>(The Beatles</w:t>
      </w:r>
      <w:r w:rsidR="008F1843" w:rsidRPr="00A55200">
        <w:rPr>
          <w:rFonts w:ascii="Times New Roman" w:eastAsia="Times New Roman" w:hAnsi="Times New Roman" w:cs="Times New Roman"/>
          <w:sz w:val="24"/>
          <w:szCs w:val="24"/>
        </w:rPr>
        <w:t>, entre otros</w:t>
      </w:r>
      <w:r w:rsidR="00804A25" w:rsidRPr="00A55200">
        <w:rPr>
          <w:rFonts w:ascii="Times New Roman" w:eastAsia="Times New Roman" w:hAnsi="Times New Roman" w:cs="Times New Roman"/>
          <w:sz w:val="24"/>
          <w:szCs w:val="24"/>
        </w:rPr>
        <w:t>) y de las vanguardias posteriores del pop (glam, punk, indie</w:t>
      </w:r>
      <w:r w:rsidR="002D7060" w:rsidRPr="00A55200">
        <w:rPr>
          <w:rFonts w:ascii="Times New Roman" w:eastAsia="Times New Roman" w:hAnsi="Times New Roman" w:cs="Times New Roman"/>
          <w:sz w:val="24"/>
          <w:szCs w:val="24"/>
        </w:rPr>
        <w:t>,</w:t>
      </w:r>
      <w:r w:rsidR="00804A25" w:rsidRPr="00A55200">
        <w:rPr>
          <w:rFonts w:ascii="Times New Roman" w:eastAsia="Times New Roman" w:hAnsi="Times New Roman" w:cs="Times New Roman"/>
          <w:sz w:val="24"/>
          <w:szCs w:val="24"/>
        </w:rPr>
        <w:t xml:space="preserve"> </w:t>
      </w:r>
      <w:r w:rsidR="002D7060" w:rsidRPr="00A55200">
        <w:rPr>
          <w:rFonts w:ascii="Times New Roman" w:eastAsia="Times New Roman" w:hAnsi="Times New Roman" w:cs="Times New Roman"/>
          <w:sz w:val="24"/>
          <w:szCs w:val="24"/>
        </w:rPr>
        <w:t>etc.</w:t>
      </w:r>
      <w:r w:rsidR="00804A25" w:rsidRPr="00A55200">
        <w:rPr>
          <w:rFonts w:ascii="Times New Roman" w:eastAsia="Times New Roman" w:hAnsi="Times New Roman" w:cs="Times New Roman"/>
          <w:sz w:val="24"/>
          <w:szCs w:val="24"/>
        </w:rPr>
        <w:t>).</w:t>
      </w:r>
      <w:r w:rsidR="00A55200">
        <w:rPr>
          <w:rFonts w:ascii="Times New Roman" w:eastAsia="Times New Roman" w:hAnsi="Times New Roman" w:cs="Times New Roman"/>
          <w:sz w:val="24"/>
          <w:szCs w:val="24"/>
        </w:rPr>
        <w:t xml:space="preserve"> </w:t>
      </w:r>
      <w:r w:rsidR="00804A25" w:rsidRPr="00A55200">
        <w:rPr>
          <w:rFonts w:ascii="Times New Roman" w:eastAsia="Times New Roman" w:hAnsi="Times New Roman" w:cs="Times New Roman"/>
          <w:sz w:val="24"/>
          <w:szCs w:val="24"/>
        </w:rPr>
        <w:t>Sin embargo, Banks y Oakle</w:t>
      </w:r>
      <w:r w:rsidR="00314B78" w:rsidRPr="00A55200">
        <w:rPr>
          <w:rFonts w:ascii="Times New Roman" w:eastAsia="Times New Roman" w:hAnsi="Times New Roman" w:cs="Times New Roman"/>
          <w:sz w:val="24"/>
          <w:szCs w:val="24"/>
        </w:rPr>
        <w:t xml:space="preserve"> </w:t>
      </w:r>
      <w:r w:rsidR="00314B78" w:rsidRPr="00A55200">
        <w:rPr>
          <w:rFonts w:ascii="Times New Roman" w:eastAsia="Times New Roman" w:hAnsi="Times New Roman" w:cs="Times New Roman"/>
          <w:sz w:val="24"/>
          <w:szCs w:val="24"/>
        </w:rPr>
        <w:fldChar w:fldCharType="begin"/>
      </w:r>
      <w:r w:rsidR="00314B78" w:rsidRPr="00A55200">
        <w:rPr>
          <w:rFonts w:ascii="Times New Roman" w:eastAsia="Times New Roman" w:hAnsi="Times New Roman" w:cs="Times New Roman"/>
          <w:sz w:val="24"/>
          <w:szCs w:val="24"/>
        </w:rPr>
        <w:instrText>ADDIN RW.CITE{{2489 Banks,Mark 2016}}</w:instrText>
      </w:r>
      <w:r w:rsidR="00314B78" w:rsidRPr="00A55200">
        <w:rPr>
          <w:rFonts w:ascii="Times New Roman" w:eastAsia="Times New Roman" w:hAnsi="Times New Roman" w:cs="Times New Roman"/>
          <w:sz w:val="24"/>
          <w:szCs w:val="24"/>
        </w:rPr>
        <w:fldChar w:fldCharType="separate"/>
      </w:r>
      <w:r w:rsidR="00642426" w:rsidRPr="00A55200">
        <w:rPr>
          <w:rFonts w:ascii="Times New Roman" w:eastAsia="Times New Roman" w:hAnsi="Times New Roman" w:cs="Times New Roman"/>
          <w:sz w:val="24"/>
          <w:szCs w:val="24"/>
        </w:rPr>
        <w:t>(Banks y Oakley, 2016)</w:t>
      </w:r>
      <w:r w:rsidR="00314B78" w:rsidRPr="00A55200">
        <w:rPr>
          <w:rFonts w:ascii="Times New Roman" w:eastAsia="Times New Roman" w:hAnsi="Times New Roman" w:cs="Times New Roman"/>
          <w:sz w:val="24"/>
          <w:szCs w:val="24"/>
        </w:rPr>
        <w:fldChar w:fldCharType="end"/>
      </w:r>
      <w:r w:rsidR="00804A25" w:rsidRPr="00A55200">
        <w:rPr>
          <w:rFonts w:ascii="Times New Roman" w:eastAsia="Times New Roman" w:hAnsi="Times New Roman" w:cs="Times New Roman"/>
          <w:sz w:val="24"/>
          <w:szCs w:val="24"/>
        </w:rPr>
        <w:t xml:space="preserve"> subrayan que </w:t>
      </w:r>
      <w:r w:rsidRPr="00A55200">
        <w:rPr>
          <w:rFonts w:ascii="Times New Roman" w:eastAsia="Times New Roman" w:hAnsi="Times New Roman" w:cs="Times New Roman"/>
          <w:sz w:val="24"/>
          <w:szCs w:val="24"/>
        </w:rPr>
        <w:t>tras la absorción</w:t>
      </w:r>
      <w:r w:rsidR="000F281E" w:rsidRPr="00A55200">
        <w:rPr>
          <w:rFonts w:ascii="Times New Roman" w:eastAsia="Times New Roman" w:hAnsi="Times New Roman" w:cs="Times New Roman"/>
          <w:sz w:val="24"/>
          <w:szCs w:val="24"/>
        </w:rPr>
        <w:t xml:space="preserve"> por parte de las universidades</w:t>
      </w:r>
      <w:r w:rsidR="00804A25" w:rsidRPr="00A55200">
        <w:rPr>
          <w:rFonts w:ascii="Times New Roman" w:eastAsia="Times New Roman" w:hAnsi="Times New Roman" w:cs="Times New Roman"/>
          <w:sz w:val="24"/>
          <w:szCs w:val="24"/>
        </w:rPr>
        <w:t xml:space="preserve"> de muchas de las escuelas </w:t>
      </w:r>
      <w:r w:rsidR="00722C36" w:rsidRPr="00A55200">
        <w:rPr>
          <w:rFonts w:ascii="Times New Roman" w:eastAsia="Times New Roman" w:hAnsi="Times New Roman" w:cs="Times New Roman"/>
          <w:sz w:val="24"/>
          <w:szCs w:val="24"/>
        </w:rPr>
        <w:t>de arte</w:t>
      </w:r>
      <w:r w:rsidR="00805DBE" w:rsidRPr="00A55200">
        <w:rPr>
          <w:rFonts w:ascii="Times New Roman" w:eastAsia="Times New Roman" w:hAnsi="Times New Roman" w:cs="Times New Roman"/>
          <w:sz w:val="24"/>
          <w:szCs w:val="24"/>
        </w:rPr>
        <w:t xml:space="preserve"> </w:t>
      </w:r>
      <w:r w:rsidR="000F281E" w:rsidRPr="00A55200">
        <w:rPr>
          <w:rFonts w:ascii="Times New Roman" w:eastAsia="Times New Roman" w:hAnsi="Times New Roman" w:cs="Times New Roman"/>
          <w:sz w:val="24"/>
          <w:szCs w:val="24"/>
        </w:rPr>
        <w:t>en el marco de la</w:t>
      </w:r>
      <w:r w:rsidR="002D7060" w:rsidRPr="00A55200">
        <w:rPr>
          <w:rFonts w:ascii="Times New Roman" w:eastAsia="Times New Roman" w:hAnsi="Times New Roman" w:cs="Times New Roman"/>
          <w:sz w:val="24"/>
          <w:szCs w:val="24"/>
        </w:rPr>
        <w:t xml:space="preserve">s reformas de corte neoliberal </w:t>
      </w:r>
      <w:r w:rsidR="000F281E" w:rsidRPr="00A55200">
        <w:rPr>
          <w:rFonts w:ascii="Times New Roman" w:eastAsia="Times New Roman" w:hAnsi="Times New Roman" w:cs="Times New Roman"/>
          <w:sz w:val="24"/>
          <w:szCs w:val="24"/>
        </w:rPr>
        <w:t xml:space="preserve">de la educación en el Reino Unido, </w:t>
      </w:r>
      <w:r w:rsidR="00805DBE" w:rsidRPr="00A55200">
        <w:rPr>
          <w:rFonts w:ascii="Times New Roman" w:eastAsia="Times New Roman" w:hAnsi="Times New Roman" w:cs="Times New Roman"/>
          <w:sz w:val="24"/>
          <w:szCs w:val="24"/>
        </w:rPr>
        <w:t>en el siglo XXI prevalece</w:t>
      </w:r>
      <w:r w:rsidR="00722C36" w:rsidRPr="00A55200">
        <w:rPr>
          <w:rFonts w:ascii="Times New Roman" w:eastAsia="Times New Roman" w:hAnsi="Times New Roman" w:cs="Times New Roman"/>
          <w:sz w:val="24"/>
          <w:szCs w:val="24"/>
        </w:rPr>
        <w:t xml:space="preserve"> </w:t>
      </w:r>
      <w:r w:rsidR="000F281E" w:rsidRPr="00A55200">
        <w:rPr>
          <w:rFonts w:ascii="Times New Roman" w:eastAsia="Times New Roman" w:hAnsi="Times New Roman" w:cs="Times New Roman"/>
          <w:sz w:val="24"/>
          <w:szCs w:val="24"/>
        </w:rPr>
        <w:t>una lógica más el</w:t>
      </w:r>
      <w:r w:rsidR="00722C36" w:rsidRPr="00A55200">
        <w:rPr>
          <w:rFonts w:ascii="Times New Roman" w:eastAsia="Times New Roman" w:hAnsi="Times New Roman" w:cs="Times New Roman"/>
          <w:sz w:val="24"/>
          <w:szCs w:val="24"/>
        </w:rPr>
        <w:t xml:space="preserve">itista y menos democratizadora en el acceso. </w:t>
      </w:r>
    </w:p>
    <w:p w14:paraId="7D8218A2" w14:textId="77777777" w:rsidR="00B6296D" w:rsidRPr="00A55200" w:rsidRDefault="00B6296D" w:rsidP="007829E5">
      <w:pPr>
        <w:spacing w:after="0" w:line="480" w:lineRule="auto"/>
        <w:rPr>
          <w:rFonts w:ascii="Times New Roman" w:eastAsia="Times New Roman" w:hAnsi="Times New Roman" w:cs="Times New Roman"/>
          <w:b/>
          <w:color w:val="365F91" w:themeColor="accent1" w:themeShade="BF"/>
          <w:sz w:val="24"/>
          <w:szCs w:val="24"/>
        </w:rPr>
      </w:pPr>
    </w:p>
    <w:p w14:paraId="02F7F611" w14:textId="77777777" w:rsidR="001C1633" w:rsidRPr="00A55200" w:rsidRDefault="00A360B4" w:rsidP="007829E5">
      <w:pPr>
        <w:spacing w:after="0" w:line="480" w:lineRule="auto"/>
        <w:rPr>
          <w:rFonts w:ascii="Times New Roman" w:eastAsia="Times New Roman" w:hAnsi="Times New Roman" w:cs="Times New Roman"/>
          <w:b/>
          <w:sz w:val="24"/>
          <w:szCs w:val="24"/>
        </w:rPr>
      </w:pPr>
      <w:r w:rsidRPr="00A55200">
        <w:rPr>
          <w:rFonts w:ascii="Times New Roman" w:eastAsia="Times New Roman" w:hAnsi="Times New Roman" w:cs="Times New Roman"/>
          <w:b/>
          <w:sz w:val="24"/>
          <w:szCs w:val="24"/>
        </w:rPr>
        <w:lastRenderedPageBreak/>
        <w:t xml:space="preserve">El sistema educativo: </w:t>
      </w:r>
      <w:r w:rsidR="0095046E" w:rsidRPr="00A55200">
        <w:rPr>
          <w:rFonts w:ascii="Times New Roman" w:eastAsia="Times New Roman" w:hAnsi="Times New Roman" w:cs="Times New Roman"/>
          <w:b/>
          <w:sz w:val="24"/>
          <w:szCs w:val="24"/>
        </w:rPr>
        <w:t>indicios negativos del papel de las artes en el curriculum</w:t>
      </w:r>
      <w:r w:rsidR="004F47EA" w:rsidRPr="00A55200">
        <w:rPr>
          <w:rFonts w:ascii="Times New Roman" w:eastAsia="Times New Roman" w:hAnsi="Times New Roman" w:cs="Times New Roman"/>
          <w:b/>
          <w:sz w:val="24"/>
          <w:szCs w:val="24"/>
        </w:rPr>
        <w:t xml:space="preserve"> e</w:t>
      </w:r>
      <w:r w:rsidR="00EB1229" w:rsidRPr="00A55200">
        <w:rPr>
          <w:rFonts w:ascii="Times New Roman" w:eastAsia="Times New Roman" w:hAnsi="Times New Roman" w:cs="Times New Roman"/>
          <w:b/>
          <w:sz w:val="24"/>
          <w:szCs w:val="24"/>
        </w:rPr>
        <w:t xml:space="preserve"> desigualdad </w:t>
      </w:r>
      <w:r w:rsidR="000D416B" w:rsidRPr="00A55200">
        <w:rPr>
          <w:rFonts w:ascii="Times New Roman" w:eastAsia="Times New Roman" w:hAnsi="Times New Roman" w:cs="Times New Roman"/>
          <w:b/>
          <w:sz w:val="24"/>
          <w:szCs w:val="24"/>
        </w:rPr>
        <w:t>social persistente que afecta a las prácticas culturales.</w:t>
      </w:r>
      <w:r w:rsidR="00A55200">
        <w:rPr>
          <w:rFonts w:ascii="Times New Roman" w:eastAsia="Times New Roman" w:hAnsi="Times New Roman" w:cs="Times New Roman"/>
          <w:b/>
          <w:sz w:val="24"/>
          <w:szCs w:val="24"/>
        </w:rPr>
        <w:t xml:space="preserve"> </w:t>
      </w:r>
      <w:r w:rsidR="0095046E" w:rsidRPr="00A55200">
        <w:rPr>
          <w:rFonts w:ascii="Times New Roman" w:eastAsia="Times New Roman" w:hAnsi="Times New Roman" w:cs="Times New Roman"/>
          <w:b/>
          <w:sz w:val="24"/>
          <w:szCs w:val="24"/>
        </w:rPr>
        <w:t xml:space="preserve"> </w:t>
      </w:r>
    </w:p>
    <w:p w14:paraId="7DA79D59" w14:textId="77777777" w:rsidR="004F47EA" w:rsidRPr="00A55200" w:rsidRDefault="00AB2CDA" w:rsidP="007829E5">
      <w:pPr>
        <w:spacing w:after="0" w:line="480" w:lineRule="auto"/>
        <w:rPr>
          <w:rFonts w:ascii="Times New Roman" w:eastAsia="Times New Roman" w:hAnsi="Times New Roman" w:cs="Times New Roman"/>
          <w:sz w:val="24"/>
          <w:szCs w:val="24"/>
        </w:rPr>
      </w:pPr>
      <w:r w:rsidRPr="00A55200">
        <w:rPr>
          <w:rFonts w:ascii="Times New Roman" w:eastAsia="Times New Roman" w:hAnsi="Times New Roman" w:cs="Times New Roman"/>
          <w:sz w:val="24"/>
          <w:szCs w:val="24"/>
        </w:rPr>
        <w:t xml:space="preserve">Hemos referido que la literatura científica sobre el consumo cultural constata que el nivel de los estudios es el predictor de un mayor índice de las prácticas culturales. El objetivo en este epígrafe es el de ofrecer muy limitadamente algunas evidencias de que la ineficaz democratización cultural, orientación básica de la política cultural, que lleva implícita el valor de equidad social, se </w:t>
      </w:r>
      <w:r w:rsidR="002D7060" w:rsidRPr="00A55200">
        <w:rPr>
          <w:rFonts w:ascii="Times New Roman" w:eastAsia="Times New Roman" w:hAnsi="Times New Roman" w:cs="Times New Roman"/>
          <w:sz w:val="24"/>
          <w:szCs w:val="24"/>
        </w:rPr>
        <w:t>relaciona con</w:t>
      </w:r>
      <w:r w:rsidRPr="00A55200">
        <w:rPr>
          <w:rFonts w:ascii="Times New Roman" w:eastAsia="Times New Roman" w:hAnsi="Times New Roman" w:cs="Times New Roman"/>
          <w:sz w:val="24"/>
          <w:szCs w:val="24"/>
        </w:rPr>
        <w:t xml:space="preserve"> algunos rasgos o indicios de los sistemas educativos</w:t>
      </w:r>
      <w:r w:rsidR="0095046E" w:rsidRPr="00A55200">
        <w:rPr>
          <w:rFonts w:ascii="Times New Roman" w:eastAsia="Times New Roman" w:hAnsi="Times New Roman" w:cs="Times New Roman"/>
          <w:sz w:val="24"/>
          <w:szCs w:val="24"/>
        </w:rPr>
        <w:t xml:space="preserve"> nacionales, que constreñirían la igual de oportunidades en materia de participación cultural. </w:t>
      </w:r>
      <w:r w:rsidR="00314B78" w:rsidRPr="00A55200">
        <w:rPr>
          <w:rFonts w:ascii="Times New Roman" w:eastAsia="Times New Roman" w:hAnsi="Times New Roman" w:cs="Times New Roman"/>
          <w:sz w:val="24"/>
          <w:szCs w:val="24"/>
        </w:rPr>
        <w:t xml:space="preserve">Así, </w:t>
      </w:r>
      <w:r w:rsidR="00783D42" w:rsidRPr="00A55200">
        <w:rPr>
          <w:rFonts w:ascii="Times New Roman" w:eastAsia="Times New Roman" w:hAnsi="Times New Roman" w:cs="Times New Roman"/>
          <w:sz w:val="24"/>
          <w:szCs w:val="24"/>
        </w:rPr>
        <w:t>Fernandez Enguita</w:t>
      </w:r>
      <w:r w:rsidR="00314B78" w:rsidRPr="00A55200">
        <w:rPr>
          <w:rFonts w:ascii="Times New Roman" w:eastAsia="Times New Roman" w:hAnsi="Times New Roman" w:cs="Times New Roman"/>
          <w:sz w:val="24"/>
          <w:szCs w:val="24"/>
        </w:rPr>
        <w:t xml:space="preserve"> </w:t>
      </w:r>
      <w:r w:rsidR="00314B78" w:rsidRPr="00A55200">
        <w:rPr>
          <w:rFonts w:ascii="Times New Roman" w:eastAsia="Times New Roman" w:hAnsi="Times New Roman" w:cs="Times New Roman"/>
          <w:sz w:val="24"/>
          <w:szCs w:val="24"/>
        </w:rPr>
        <w:fldChar w:fldCharType="begin"/>
      </w:r>
      <w:r w:rsidR="00314B78" w:rsidRPr="00A55200">
        <w:rPr>
          <w:rFonts w:ascii="Times New Roman" w:eastAsia="Times New Roman" w:hAnsi="Times New Roman" w:cs="Times New Roman"/>
          <w:sz w:val="24"/>
          <w:szCs w:val="24"/>
        </w:rPr>
        <w:instrText>ADDIN RW.CITE{{2497 Fernandez Enguita, Mariano 2016/a;}}</w:instrText>
      </w:r>
      <w:r w:rsidR="00314B78" w:rsidRPr="00A55200">
        <w:rPr>
          <w:rFonts w:ascii="Times New Roman" w:eastAsia="Times New Roman" w:hAnsi="Times New Roman" w:cs="Times New Roman"/>
          <w:sz w:val="24"/>
          <w:szCs w:val="24"/>
        </w:rPr>
        <w:fldChar w:fldCharType="separate"/>
      </w:r>
      <w:r w:rsidR="00642426" w:rsidRPr="00A55200">
        <w:rPr>
          <w:rFonts w:ascii="Times New Roman" w:eastAsia="Times New Roman" w:hAnsi="Times New Roman" w:cs="Times New Roman"/>
          <w:sz w:val="24"/>
          <w:szCs w:val="24"/>
        </w:rPr>
        <w:t>(2016)</w:t>
      </w:r>
      <w:r w:rsidR="00314B78" w:rsidRPr="00A55200">
        <w:rPr>
          <w:rFonts w:ascii="Times New Roman" w:eastAsia="Times New Roman" w:hAnsi="Times New Roman" w:cs="Times New Roman"/>
          <w:sz w:val="24"/>
          <w:szCs w:val="24"/>
        </w:rPr>
        <w:fldChar w:fldCharType="end"/>
      </w:r>
      <w:r w:rsidR="00783D42" w:rsidRPr="00A55200">
        <w:rPr>
          <w:rFonts w:ascii="Times New Roman" w:eastAsia="Times New Roman" w:hAnsi="Times New Roman" w:cs="Times New Roman"/>
          <w:sz w:val="24"/>
          <w:szCs w:val="24"/>
        </w:rPr>
        <w:t xml:space="preserve"> reitera que la influencia de la clase social en el logro académico es otra de las constantes empíricas en la literatura de la sociología de la educación y es un indicador clave que determina la permanencia en el sistema educativo. </w:t>
      </w:r>
      <w:r w:rsidR="00DE4643" w:rsidRPr="00A55200">
        <w:rPr>
          <w:rFonts w:ascii="Times New Roman" w:eastAsia="Times New Roman" w:hAnsi="Times New Roman" w:cs="Times New Roman"/>
          <w:sz w:val="24"/>
          <w:szCs w:val="24"/>
        </w:rPr>
        <w:t>El corolario, según el autor, es que</w:t>
      </w:r>
      <w:r w:rsidR="008F1843" w:rsidRPr="00A55200">
        <w:rPr>
          <w:rFonts w:ascii="Times New Roman" w:eastAsia="Times New Roman" w:hAnsi="Times New Roman" w:cs="Times New Roman"/>
          <w:sz w:val="24"/>
          <w:szCs w:val="24"/>
        </w:rPr>
        <w:t xml:space="preserve"> hoy en día </w:t>
      </w:r>
      <w:r w:rsidR="002D7060" w:rsidRPr="00A55200">
        <w:rPr>
          <w:rFonts w:ascii="Times New Roman" w:eastAsia="Times New Roman" w:hAnsi="Times New Roman" w:cs="Times New Roman"/>
          <w:sz w:val="24"/>
          <w:szCs w:val="24"/>
        </w:rPr>
        <w:t>el sistema</w:t>
      </w:r>
      <w:r w:rsidR="00DE4643" w:rsidRPr="00A55200">
        <w:rPr>
          <w:rFonts w:ascii="Times New Roman" w:eastAsia="Times New Roman" w:hAnsi="Times New Roman" w:cs="Times New Roman"/>
          <w:sz w:val="24"/>
          <w:szCs w:val="24"/>
        </w:rPr>
        <w:t xml:space="preserve"> educativo no </w:t>
      </w:r>
      <w:r w:rsidR="002D7060" w:rsidRPr="00A55200">
        <w:rPr>
          <w:rFonts w:ascii="Times New Roman" w:eastAsia="Times New Roman" w:hAnsi="Times New Roman" w:cs="Times New Roman"/>
          <w:sz w:val="24"/>
          <w:szCs w:val="24"/>
        </w:rPr>
        <w:t>satisface las</w:t>
      </w:r>
      <w:r w:rsidR="00DE4643" w:rsidRPr="00A55200">
        <w:rPr>
          <w:rFonts w:ascii="Times New Roman" w:eastAsia="Times New Roman" w:hAnsi="Times New Roman" w:cs="Times New Roman"/>
          <w:sz w:val="24"/>
          <w:szCs w:val="24"/>
        </w:rPr>
        <w:t xml:space="preserve"> expectativas de movilidad social. </w:t>
      </w:r>
      <w:r w:rsidR="00783D42" w:rsidRPr="00A55200">
        <w:rPr>
          <w:rFonts w:ascii="Times New Roman" w:eastAsia="Times New Roman" w:hAnsi="Times New Roman" w:cs="Times New Roman"/>
          <w:sz w:val="24"/>
          <w:szCs w:val="24"/>
        </w:rPr>
        <w:t xml:space="preserve">Ello parece cerrar esta lógica tautológica, es decir, </w:t>
      </w:r>
      <w:r w:rsidR="00DE4643" w:rsidRPr="00A55200">
        <w:rPr>
          <w:rFonts w:ascii="Times New Roman" w:eastAsia="Times New Roman" w:hAnsi="Times New Roman" w:cs="Times New Roman"/>
          <w:sz w:val="24"/>
          <w:szCs w:val="24"/>
        </w:rPr>
        <w:t xml:space="preserve">el </w:t>
      </w:r>
      <w:r w:rsidR="00783D42" w:rsidRPr="00A55200">
        <w:rPr>
          <w:rFonts w:ascii="Times New Roman" w:eastAsia="Times New Roman" w:hAnsi="Times New Roman" w:cs="Times New Roman"/>
          <w:sz w:val="24"/>
          <w:szCs w:val="24"/>
        </w:rPr>
        <w:t xml:space="preserve">sistema educativo no cumple la promesa social de igualdad </w:t>
      </w:r>
      <w:r w:rsidR="00DE4643" w:rsidRPr="00A55200">
        <w:rPr>
          <w:rFonts w:ascii="Times New Roman" w:eastAsia="Times New Roman" w:hAnsi="Times New Roman" w:cs="Times New Roman"/>
          <w:sz w:val="24"/>
          <w:szCs w:val="24"/>
        </w:rPr>
        <w:t xml:space="preserve">social, </w:t>
      </w:r>
      <w:r w:rsidR="00783D42" w:rsidRPr="00A55200">
        <w:rPr>
          <w:rFonts w:ascii="Times New Roman" w:eastAsia="Times New Roman" w:hAnsi="Times New Roman" w:cs="Times New Roman"/>
          <w:sz w:val="24"/>
          <w:szCs w:val="24"/>
        </w:rPr>
        <w:t xml:space="preserve">pese a la escolarización prácticamente universal en los estados europeos, </w:t>
      </w:r>
      <w:r w:rsidR="00915885" w:rsidRPr="00A55200">
        <w:rPr>
          <w:rFonts w:ascii="Times New Roman" w:eastAsia="Times New Roman" w:hAnsi="Times New Roman" w:cs="Times New Roman"/>
          <w:sz w:val="24"/>
          <w:szCs w:val="24"/>
        </w:rPr>
        <w:t xml:space="preserve">y tiene, por tanto, </w:t>
      </w:r>
      <w:r w:rsidR="00B6646F" w:rsidRPr="00A55200">
        <w:rPr>
          <w:rFonts w:ascii="Times New Roman" w:eastAsia="Times New Roman" w:hAnsi="Times New Roman" w:cs="Times New Roman"/>
          <w:sz w:val="24"/>
          <w:szCs w:val="24"/>
        </w:rPr>
        <w:t>un consecuente efecto al no revertirse la desigualdad</w:t>
      </w:r>
      <w:r w:rsidR="00915885" w:rsidRPr="00A55200">
        <w:rPr>
          <w:rFonts w:ascii="Times New Roman" w:eastAsia="Times New Roman" w:hAnsi="Times New Roman" w:cs="Times New Roman"/>
          <w:sz w:val="24"/>
          <w:szCs w:val="24"/>
        </w:rPr>
        <w:t xml:space="preserve"> histórica</w:t>
      </w:r>
      <w:r w:rsidR="00B6646F" w:rsidRPr="00A55200">
        <w:rPr>
          <w:rFonts w:ascii="Times New Roman" w:eastAsia="Times New Roman" w:hAnsi="Times New Roman" w:cs="Times New Roman"/>
          <w:sz w:val="24"/>
          <w:szCs w:val="24"/>
        </w:rPr>
        <w:t xml:space="preserve"> en la participación cultural. </w:t>
      </w:r>
    </w:p>
    <w:p w14:paraId="224C61DD" w14:textId="77777777" w:rsidR="00A07407" w:rsidRPr="00A55200" w:rsidRDefault="009D72E1" w:rsidP="007829E5">
      <w:pPr>
        <w:spacing w:after="0" w:line="480" w:lineRule="auto"/>
        <w:rPr>
          <w:rFonts w:ascii="Times New Roman" w:eastAsia="Times New Roman" w:hAnsi="Times New Roman" w:cs="Times New Roman"/>
          <w:sz w:val="24"/>
          <w:szCs w:val="24"/>
        </w:rPr>
      </w:pPr>
      <w:r w:rsidRPr="00A55200">
        <w:rPr>
          <w:rFonts w:ascii="Times New Roman" w:eastAsia="Times New Roman" w:hAnsi="Times New Roman" w:cs="Times New Roman"/>
          <w:sz w:val="24"/>
          <w:szCs w:val="24"/>
        </w:rPr>
        <w:t>Esta polarización entre las clases sociales más y menos favorecidas y la influencia en la clase social de procedencia</w:t>
      </w:r>
      <w:r w:rsidR="00CC046B" w:rsidRPr="00A55200">
        <w:rPr>
          <w:rFonts w:ascii="Times New Roman" w:eastAsia="Times New Roman" w:hAnsi="Times New Roman" w:cs="Times New Roman"/>
          <w:sz w:val="24"/>
          <w:szCs w:val="24"/>
        </w:rPr>
        <w:t xml:space="preserve"> que tiene en el rendimiento escolar</w:t>
      </w:r>
      <w:r w:rsidRPr="00A55200">
        <w:rPr>
          <w:rFonts w:ascii="Times New Roman" w:eastAsia="Times New Roman" w:hAnsi="Times New Roman" w:cs="Times New Roman"/>
          <w:sz w:val="24"/>
          <w:szCs w:val="24"/>
        </w:rPr>
        <w:t xml:space="preserve"> se observa también en</w:t>
      </w:r>
      <w:r w:rsidR="00A07407" w:rsidRPr="00A55200">
        <w:rPr>
          <w:rFonts w:ascii="Times New Roman" w:eastAsia="Times New Roman" w:hAnsi="Times New Roman" w:cs="Times New Roman"/>
          <w:sz w:val="24"/>
          <w:szCs w:val="24"/>
        </w:rPr>
        <w:t xml:space="preserve"> las </w:t>
      </w:r>
      <w:r w:rsidR="00875880" w:rsidRPr="00A55200">
        <w:rPr>
          <w:rFonts w:ascii="Times New Roman" w:eastAsia="Times New Roman" w:hAnsi="Times New Roman" w:cs="Times New Roman"/>
          <w:sz w:val="24"/>
          <w:szCs w:val="24"/>
        </w:rPr>
        <w:t xml:space="preserve">expectativas de logro </w:t>
      </w:r>
      <w:r w:rsidRPr="00A55200">
        <w:rPr>
          <w:rFonts w:ascii="Times New Roman" w:eastAsia="Times New Roman" w:hAnsi="Times New Roman" w:cs="Times New Roman"/>
          <w:sz w:val="24"/>
          <w:szCs w:val="24"/>
        </w:rPr>
        <w:t xml:space="preserve">de los estudiantes, pues sabemos que las expectativas son socializadas en la familia y además la literatura </w:t>
      </w:r>
      <w:r w:rsidR="008F1843" w:rsidRPr="00A55200">
        <w:rPr>
          <w:rFonts w:ascii="Times New Roman" w:eastAsia="Times New Roman" w:hAnsi="Times New Roman" w:cs="Times New Roman"/>
          <w:sz w:val="24"/>
          <w:szCs w:val="24"/>
        </w:rPr>
        <w:t>de la sociología de la educación</w:t>
      </w:r>
      <w:r w:rsidRPr="00A55200">
        <w:rPr>
          <w:rFonts w:ascii="Times New Roman" w:eastAsia="Times New Roman" w:hAnsi="Times New Roman" w:cs="Times New Roman"/>
          <w:sz w:val="24"/>
          <w:szCs w:val="24"/>
        </w:rPr>
        <w:t xml:space="preserve"> pone de manifiesto que las expectativas de los padres en el logro académico de los hijos es el indicador preponderante en los resultados académicos. Si acudimos a las expectativas de los alumnos de acuerdo a las categorías de modelos de política cultural, el </w:t>
      </w:r>
      <w:r w:rsidR="00A07407" w:rsidRPr="00A55200">
        <w:rPr>
          <w:rFonts w:ascii="Times New Roman" w:eastAsia="Times New Roman" w:hAnsi="Times New Roman" w:cs="Times New Roman"/>
          <w:sz w:val="24"/>
          <w:szCs w:val="24"/>
        </w:rPr>
        <w:t xml:space="preserve">gráfico muestra cómo entre aquellos estudiantes que quieren obtener un título universitario hay una mayor diferencia </w:t>
      </w:r>
      <w:r w:rsidR="00A07407" w:rsidRPr="00A55200">
        <w:rPr>
          <w:rFonts w:ascii="Times New Roman" w:eastAsia="Times New Roman" w:hAnsi="Times New Roman" w:cs="Times New Roman"/>
          <w:sz w:val="24"/>
          <w:szCs w:val="24"/>
        </w:rPr>
        <w:lastRenderedPageBreak/>
        <w:t>entre los procedentes de padres cuyos empleos son más cualificados (</w:t>
      </w:r>
      <w:r w:rsidR="00A07407" w:rsidRPr="00A55200">
        <w:rPr>
          <w:rFonts w:ascii="Times New Roman" w:eastAsia="Times New Roman" w:hAnsi="Times New Roman" w:cs="Times New Roman"/>
          <w:i/>
          <w:sz w:val="24"/>
          <w:szCs w:val="24"/>
        </w:rPr>
        <w:t>white collar</w:t>
      </w:r>
      <w:r w:rsidR="00A07407" w:rsidRPr="00A55200">
        <w:rPr>
          <w:rFonts w:ascii="Times New Roman" w:eastAsia="Times New Roman" w:hAnsi="Times New Roman" w:cs="Times New Roman"/>
          <w:sz w:val="24"/>
          <w:szCs w:val="24"/>
        </w:rPr>
        <w:t>) de aquellos padres menos cualificados (</w:t>
      </w:r>
      <w:r w:rsidR="00A07407" w:rsidRPr="00A55200">
        <w:rPr>
          <w:rFonts w:ascii="Times New Roman" w:eastAsia="Times New Roman" w:hAnsi="Times New Roman" w:cs="Times New Roman"/>
          <w:i/>
          <w:sz w:val="24"/>
          <w:szCs w:val="24"/>
        </w:rPr>
        <w:t>blue collar</w:t>
      </w:r>
      <w:r w:rsidR="00A07407" w:rsidRPr="00A55200">
        <w:rPr>
          <w:rFonts w:ascii="Times New Roman" w:eastAsia="Times New Roman" w:hAnsi="Times New Roman" w:cs="Times New Roman"/>
          <w:sz w:val="24"/>
          <w:szCs w:val="24"/>
        </w:rPr>
        <w:t xml:space="preserve">). </w:t>
      </w:r>
    </w:p>
    <w:p w14:paraId="67530F82" w14:textId="77777777" w:rsidR="009D72E1" w:rsidRPr="00A55200" w:rsidRDefault="009D72E1" w:rsidP="007829E5">
      <w:pPr>
        <w:spacing w:after="0" w:line="480" w:lineRule="auto"/>
        <w:rPr>
          <w:rFonts w:ascii="Times New Roman" w:eastAsia="Times New Roman" w:hAnsi="Times New Roman" w:cs="Times New Roman"/>
          <w:color w:val="365F91" w:themeColor="accent1" w:themeShade="BF"/>
          <w:sz w:val="24"/>
          <w:szCs w:val="24"/>
        </w:rPr>
      </w:pPr>
    </w:p>
    <w:p w14:paraId="7886DF37" w14:textId="11170682" w:rsidR="00A07407" w:rsidRPr="00E65068" w:rsidRDefault="00E65068" w:rsidP="007829E5">
      <w:pPr>
        <w:spacing w:after="0" w:line="480" w:lineRule="auto"/>
        <w:rPr>
          <w:rFonts w:ascii="Times New Roman" w:eastAsia="Times New Roman" w:hAnsi="Times New Roman" w:cs="Times New Roman"/>
        </w:rPr>
      </w:pPr>
      <w:r w:rsidRPr="00E65068">
        <w:rPr>
          <w:rFonts w:ascii="Times New Roman" w:eastAsia="Times New Roman" w:hAnsi="Times New Roman" w:cs="Times New Roman"/>
          <w:b/>
        </w:rPr>
        <w:t>Figura</w:t>
      </w:r>
      <w:r w:rsidR="009D72E1" w:rsidRPr="00E65068">
        <w:rPr>
          <w:rFonts w:ascii="Times New Roman" w:eastAsia="Times New Roman" w:hAnsi="Times New Roman" w:cs="Times New Roman"/>
          <w:b/>
        </w:rPr>
        <w:t xml:space="preserve"> 7.</w:t>
      </w:r>
      <w:r w:rsidR="009D72E1" w:rsidRPr="00E65068">
        <w:rPr>
          <w:rFonts w:ascii="Times New Roman" w:eastAsia="Times New Roman" w:hAnsi="Times New Roman" w:cs="Times New Roman"/>
        </w:rPr>
        <w:t xml:space="preserve"> Diferencias porcentuales entre hijos de trabajos cualificados y no cualificados que esperan obtener un título universitario</w:t>
      </w:r>
    </w:p>
    <w:p w14:paraId="692E3DE2" w14:textId="77777777" w:rsidR="00A07407" w:rsidRPr="00A55200" w:rsidRDefault="00A07407" w:rsidP="007829E5">
      <w:pPr>
        <w:spacing w:after="0" w:line="480" w:lineRule="auto"/>
        <w:rPr>
          <w:rFonts w:ascii="Times New Roman" w:eastAsia="Times New Roman" w:hAnsi="Times New Roman" w:cs="Times New Roman"/>
          <w:color w:val="365F91" w:themeColor="accent1" w:themeShade="BF"/>
          <w:sz w:val="24"/>
          <w:szCs w:val="24"/>
        </w:rPr>
      </w:pPr>
      <w:r w:rsidRPr="00A55200">
        <w:rPr>
          <w:rFonts w:ascii="Times New Roman" w:hAnsi="Times New Roman" w:cs="Times New Roman"/>
          <w:noProof/>
          <w:lang w:eastAsia="es-ES"/>
        </w:rPr>
        <w:drawing>
          <wp:inline distT="0" distB="0" distL="0" distR="0" wp14:anchorId="4D6B60A4" wp14:editId="2B6742C7">
            <wp:extent cx="4581525" cy="3038475"/>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E08FF83" w14:textId="77777777" w:rsidR="00A07407" w:rsidRPr="00E65068" w:rsidRDefault="00A07407" w:rsidP="007829E5">
      <w:pPr>
        <w:spacing w:after="0" w:line="480" w:lineRule="auto"/>
        <w:rPr>
          <w:rFonts w:ascii="Times New Roman" w:eastAsia="Times New Roman" w:hAnsi="Times New Roman" w:cs="Times New Roman"/>
        </w:rPr>
      </w:pPr>
      <w:r w:rsidRPr="00E65068">
        <w:rPr>
          <w:rFonts w:ascii="Times New Roman" w:eastAsia="Times New Roman" w:hAnsi="Times New Roman" w:cs="Times New Roman"/>
        </w:rPr>
        <w:t>Elaboración propia. Fuente: PISA 2015 Results (Volume III) Students' Well-Being. OECD 2017</w:t>
      </w:r>
    </w:p>
    <w:p w14:paraId="2A3F1A76" w14:textId="77777777" w:rsidR="00A07407" w:rsidRPr="00A55200" w:rsidRDefault="00A07407" w:rsidP="007829E5">
      <w:pPr>
        <w:spacing w:after="0" w:line="480" w:lineRule="auto"/>
        <w:rPr>
          <w:rFonts w:ascii="Times New Roman" w:eastAsia="Times New Roman" w:hAnsi="Times New Roman" w:cs="Times New Roman"/>
          <w:sz w:val="24"/>
          <w:szCs w:val="24"/>
        </w:rPr>
      </w:pPr>
      <w:r w:rsidRPr="00A55200">
        <w:rPr>
          <w:rFonts w:ascii="Times New Roman" w:eastAsia="Times New Roman" w:hAnsi="Times New Roman" w:cs="Times New Roman"/>
          <w:sz w:val="24"/>
          <w:szCs w:val="24"/>
        </w:rPr>
        <w:t xml:space="preserve">Tal como muestra el gráfico, hay una mayor polarización de las expectativas de los estudiantes de la educación obligatoria </w:t>
      </w:r>
      <w:r w:rsidR="002D7060" w:rsidRPr="00A55200">
        <w:rPr>
          <w:rFonts w:ascii="Times New Roman" w:eastAsia="Times New Roman" w:hAnsi="Times New Roman" w:cs="Times New Roman"/>
          <w:sz w:val="24"/>
          <w:szCs w:val="24"/>
        </w:rPr>
        <w:t>acerca de</w:t>
      </w:r>
      <w:r w:rsidRPr="00A55200">
        <w:rPr>
          <w:rFonts w:ascii="Times New Roman" w:eastAsia="Times New Roman" w:hAnsi="Times New Roman" w:cs="Times New Roman"/>
          <w:sz w:val="24"/>
          <w:szCs w:val="24"/>
        </w:rPr>
        <w:t xml:space="preserve"> alcanzar un título superior en un futuro</w:t>
      </w:r>
      <w:r w:rsidR="006D5E6E" w:rsidRPr="00A55200">
        <w:rPr>
          <w:rFonts w:ascii="Times New Roman" w:eastAsia="Times New Roman" w:hAnsi="Times New Roman" w:cs="Times New Roman"/>
          <w:sz w:val="24"/>
          <w:szCs w:val="24"/>
        </w:rPr>
        <w:t>, siendo</w:t>
      </w:r>
      <w:r w:rsidRPr="00A55200">
        <w:rPr>
          <w:rFonts w:ascii="Times New Roman" w:eastAsia="Times New Roman" w:hAnsi="Times New Roman" w:cs="Times New Roman"/>
          <w:sz w:val="24"/>
          <w:szCs w:val="24"/>
        </w:rPr>
        <w:t xml:space="preserve"> mayor en los países del sur que en la media de la OCDE y los países del sur de Europa. </w:t>
      </w:r>
      <w:r w:rsidR="002D7060" w:rsidRPr="00A55200">
        <w:rPr>
          <w:rFonts w:ascii="Times New Roman" w:eastAsia="Times New Roman" w:hAnsi="Times New Roman" w:cs="Times New Roman"/>
          <w:sz w:val="24"/>
          <w:szCs w:val="24"/>
        </w:rPr>
        <w:t>Las diferencias de las expectativas universitarias entre los hijos de los trabajadores cualificados con respecto a los menos cualificados tienden</w:t>
      </w:r>
      <w:r w:rsidRPr="00A55200">
        <w:rPr>
          <w:rFonts w:ascii="Times New Roman" w:eastAsia="Times New Roman" w:hAnsi="Times New Roman" w:cs="Times New Roman"/>
          <w:sz w:val="24"/>
          <w:szCs w:val="24"/>
        </w:rPr>
        <w:t xml:space="preserve"> a ser menor e</w:t>
      </w:r>
      <w:r w:rsidR="001B4BB6" w:rsidRPr="00A55200">
        <w:rPr>
          <w:rFonts w:ascii="Times New Roman" w:eastAsia="Times New Roman" w:hAnsi="Times New Roman" w:cs="Times New Roman"/>
          <w:sz w:val="24"/>
          <w:szCs w:val="24"/>
        </w:rPr>
        <w:t xml:space="preserve">n el norte de Europa que en el sur, lo que da una muestra de una mayor desigualdad de clases en los países del sur, pues las expectativas de obtener un título universitario son menores en las clases sociales más desfavorecidas. Ello, consecuentemente, tiene un efecto en las prácticas culturales de la vida adulta. </w:t>
      </w:r>
    </w:p>
    <w:p w14:paraId="51E6DA7C" w14:textId="1E1EB34E" w:rsidR="00F47E62" w:rsidRPr="00A55200" w:rsidRDefault="001B4BB6" w:rsidP="007829E5">
      <w:pPr>
        <w:spacing w:after="0" w:line="480" w:lineRule="auto"/>
        <w:rPr>
          <w:rFonts w:ascii="Times New Roman" w:eastAsia="Times New Roman" w:hAnsi="Times New Roman" w:cs="Times New Roman"/>
          <w:sz w:val="24"/>
          <w:szCs w:val="24"/>
        </w:rPr>
      </w:pPr>
      <w:r w:rsidRPr="00A55200">
        <w:rPr>
          <w:rFonts w:ascii="Times New Roman" w:eastAsia="Times New Roman" w:hAnsi="Times New Roman" w:cs="Times New Roman"/>
          <w:sz w:val="24"/>
          <w:szCs w:val="24"/>
        </w:rPr>
        <w:lastRenderedPageBreak/>
        <w:t>Por otro lado, h</w:t>
      </w:r>
      <w:r w:rsidR="0095046E" w:rsidRPr="00A55200">
        <w:rPr>
          <w:rFonts w:ascii="Times New Roman" w:eastAsia="Times New Roman" w:hAnsi="Times New Roman" w:cs="Times New Roman"/>
          <w:sz w:val="24"/>
          <w:szCs w:val="24"/>
        </w:rPr>
        <w:t xml:space="preserve">emos observado a través del Eurobarómetro de 2013, cómo el modelo liberal de política cultural (UK) es el que menos se ha resentido en un contexto de crisis </w:t>
      </w:r>
      <w:r w:rsidR="002D7060" w:rsidRPr="00A55200">
        <w:rPr>
          <w:rFonts w:ascii="Times New Roman" w:eastAsia="Times New Roman" w:hAnsi="Times New Roman" w:cs="Times New Roman"/>
          <w:sz w:val="24"/>
          <w:szCs w:val="24"/>
        </w:rPr>
        <w:t>global tanto</w:t>
      </w:r>
      <w:r w:rsidR="0095046E" w:rsidRPr="00A55200">
        <w:rPr>
          <w:rFonts w:ascii="Times New Roman" w:eastAsia="Times New Roman" w:hAnsi="Times New Roman" w:cs="Times New Roman"/>
          <w:sz w:val="24"/>
          <w:szCs w:val="24"/>
        </w:rPr>
        <w:t xml:space="preserve"> en el consumo como en la práctica artística. Sin embargo, podemos </w:t>
      </w:r>
      <w:r w:rsidR="00B6646F" w:rsidRPr="00A55200">
        <w:rPr>
          <w:rFonts w:ascii="Times New Roman" w:eastAsia="Times New Roman" w:hAnsi="Times New Roman" w:cs="Times New Roman"/>
          <w:sz w:val="24"/>
          <w:szCs w:val="24"/>
        </w:rPr>
        <w:t xml:space="preserve">encontrar ciertos indicios negativos de la presencia de las artes en el sistema educativo británico que se distingue de otros modelos europeos sobre todo del sur de Europa por su presencia y valor en el curriculum. </w:t>
      </w:r>
      <w:r w:rsidR="00B6646F" w:rsidRPr="00E65068">
        <w:rPr>
          <w:rFonts w:ascii="Times New Roman" w:eastAsia="Times New Roman" w:hAnsi="Times New Roman" w:cs="Times New Roman"/>
          <w:sz w:val="24"/>
          <w:szCs w:val="24"/>
        </w:rPr>
        <w:t>Así,</w:t>
      </w:r>
      <w:r w:rsidR="00B6646F" w:rsidRPr="00A55200">
        <w:rPr>
          <w:rFonts w:ascii="Times New Roman" w:eastAsia="Times New Roman" w:hAnsi="Times New Roman" w:cs="Times New Roman"/>
          <w:sz w:val="24"/>
          <w:szCs w:val="24"/>
        </w:rPr>
        <w:t xml:space="preserve"> </w:t>
      </w:r>
      <w:r w:rsidR="005235D7" w:rsidRPr="00A55200">
        <w:rPr>
          <w:rFonts w:ascii="Times New Roman" w:eastAsia="Times New Roman" w:hAnsi="Times New Roman" w:cs="Times New Roman"/>
          <w:sz w:val="24"/>
          <w:szCs w:val="24"/>
        </w:rPr>
        <w:t xml:space="preserve">en un informe de 2017 de la entidad no lucrativa </w:t>
      </w:r>
      <w:r w:rsidR="005235D7" w:rsidRPr="00A55200">
        <w:rPr>
          <w:rFonts w:ascii="Times New Roman" w:eastAsia="Times New Roman" w:hAnsi="Times New Roman" w:cs="Times New Roman"/>
          <w:i/>
          <w:sz w:val="24"/>
          <w:szCs w:val="24"/>
        </w:rPr>
        <w:t>Cultural Learning Alliance</w:t>
      </w:r>
      <w:r w:rsidR="005235D7" w:rsidRPr="00A55200">
        <w:rPr>
          <w:rFonts w:ascii="Times New Roman" w:eastAsia="Times New Roman" w:hAnsi="Times New Roman" w:cs="Times New Roman"/>
          <w:sz w:val="24"/>
          <w:szCs w:val="24"/>
        </w:rPr>
        <w:t xml:space="preserve"> (CLA) muestra que la demanda de los alumnos de secundaria en Inglaterra está cayendo a los niveles más bajos en la última década. </w:t>
      </w:r>
      <w:r w:rsidR="004E2B4C">
        <w:rPr>
          <w:rFonts w:ascii="Times New Roman" w:eastAsia="Times New Roman" w:hAnsi="Times New Roman" w:cs="Times New Roman"/>
          <w:sz w:val="24"/>
          <w:szCs w:val="24"/>
        </w:rPr>
        <w:t>E</w:t>
      </w:r>
      <w:r w:rsidR="005235D7" w:rsidRPr="00A55200">
        <w:rPr>
          <w:rFonts w:ascii="Times New Roman" w:eastAsia="Times New Roman" w:hAnsi="Times New Roman" w:cs="Times New Roman"/>
          <w:sz w:val="24"/>
          <w:szCs w:val="24"/>
        </w:rPr>
        <w:t xml:space="preserve">ntre 2010 y 2017 el descenso en las distintas promociones es de una media del </w:t>
      </w:r>
      <w:r w:rsidR="00DE4643" w:rsidRPr="00A55200">
        <w:rPr>
          <w:rFonts w:ascii="Times New Roman" w:eastAsia="Times New Roman" w:hAnsi="Times New Roman" w:cs="Times New Roman"/>
          <w:sz w:val="24"/>
          <w:szCs w:val="24"/>
        </w:rPr>
        <w:t>-</w:t>
      </w:r>
      <w:r w:rsidR="005235D7" w:rsidRPr="00A55200">
        <w:rPr>
          <w:rFonts w:ascii="Times New Roman" w:eastAsia="Times New Roman" w:hAnsi="Times New Roman" w:cs="Times New Roman"/>
          <w:sz w:val="24"/>
          <w:szCs w:val="24"/>
        </w:rPr>
        <w:t>28%, que se distribuye en: Arte y Diseño, (-6 %), Danza, (-41 %</w:t>
      </w:r>
      <w:r w:rsidR="002D7060" w:rsidRPr="00A55200">
        <w:rPr>
          <w:rFonts w:ascii="Times New Roman" w:eastAsia="Times New Roman" w:hAnsi="Times New Roman" w:cs="Times New Roman"/>
          <w:sz w:val="24"/>
          <w:szCs w:val="24"/>
        </w:rPr>
        <w:t>), Diseño</w:t>
      </w:r>
      <w:r w:rsidR="005235D7" w:rsidRPr="00A55200">
        <w:rPr>
          <w:rFonts w:ascii="Times New Roman" w:eastAsia="Times New Roman" w:hAnsi="Times New Roman" w:cs="Times New Roman"/>
          <w:sz w:val="24"/>
          <w:szCs w:val="24"/>
        </w:rPr>
        <w:t xml:space="preserve"> y Tecnología (-43 %), Teatro (-24</w:t>
      </w:r>
      <w:r w:rsidR="002D7060" w:rsidRPr="00A55200">
        <w:rPr>
          <w:rFonts w:ascii="Times New Roman" w:eastAsia="Times New Roman" w:hAnsi="Times New Roman" w:cs="Times New Roman"/>
          <w:sz w:val="24"/>
          <w:szCs w:val="24"/>
        </w:rPr>
        <w:t>%) Medios</w:t>
      </w:r>
      <w:r w:rsidR="005235D7" w:rsidRPr="00A55200">
        <w:rPr>
          <w:rFonts w:ascii="Times New Roman" w:eastAsia="Times New Roman" w:hAnsi="Times New Roman" w:cs="Times New Roman"/>
          <w:sz w:val="24"/>
          <w:szCs w:val="24"/>
        </w:rPr>
        <w:t xml:space="preserve"> / Cine / TV (-30%), </w:t>
      </w:r>
      <w:r w:rsidR="002D7060" w:rsidRPr="00A55200">
        <w:rPr>
          <w:rFonts w:ascii="Times New Roman" w:eastAsia="Times New Roman" w:hAnsi="Times New Roman" w:cs="Times New Roman"/>
          <w:sz w:val="24"/>
          <w:szCs w:val="24"/>
        </w:rPr>
        <w:t>Música (</w:t>
      </w:r>
      <w:r w:rsidR="005235D7" w:rsidRPr="00A55200">
        <w:rPr>
          <w:rFonts w:ascii="Times New Roman" w:eastAsia="Times New Roman" w:hAnsi="Times New Roman" w:cs="Times New Roman"/>
          <w:sz w:val="24"/>
          <w:szCs w:val="24"/>
        </w:rPr>
        <w:t>-17</w:t>
      </w:r>
      <w:r w:rsidR="00F47E62" w:rsidRPr="00A55200">
        <w:rPr>
          <w:rFonts w:ascii="Times New Roman" w:eastAsia="Times New Roman" w:hAnsi="Times New Roman" w:cs="Times New Roman"/>
          <w:sz w:val="24"/>
          <w:szCs w:val="24"/>
        </w:rPr>
        <w:t>%</w:t>
      </w:r>
      <w:r w:rsidR="005235D7" w:rsidRPr="00A55200">
        <w:rPr>
          <w:rFonts w:ascii="Times New Roman" w:eastAsia="Times New Roman" w:hAnsi="Times New Roman" w:cs="Times New Roman"/>
          <w:sz w:val="24"/>
          <w:szCs w:val="24"/>
        </w:rPr>
        <w:t>)</w:t>
      </w:r>
      <w:r w:rsidR="00F47E62" w:rsidRPr="00A55200">
        <w:rPr>
          <w:rFonts w:ascii="Times New Roman" w:eastAsia="Times New Roman" w:hAnsi="Times New Roman" w:cs="Times New Roman"/>
          <w:sz w:val="24"/>
          <w:szCs w:val="24"/>
        </w:rPr>
        <w:t xml:space="preserve"> </w:t>
      </w:r>
      <w:r w:rsidR="00DE4643" w:rsidRPr="00A55200">
        <w:rPr>
          <w:rFonts w:ascii="Times New Roman" w:eastAsia="Times New Roman" w:hAnsi="Times New Roman" w:cs="Times New Roman"/>
          <w:sz w:val="24"/>
          <w:szCs w:val="24"/>
        </w:rPr>
        <w:t>y Artes E</w:t>
      </w:r>
      <w:r w:rsidR="00F47E62" w:rsidRPr="00A55200">
        <w:rPr>
          <w:rFonts w:ascii="Times New Roman" w:eastAsia="Times New Roman" w:hAnsi="Times New Roman" w:cs="Times New Roman"/>
          <w:sz w:val="24"/>
          <w:szCs w:val="24"/>
        </w:rPr>
        <w:t xml:space="preserve">scénicas </w:t>
      </w:r>
      <w:r w:rsidR="005235D7" w:rsidRPr="00A55200">
        <w:rPr>
          <w:rFonts w:ascii="Times New Roman" w:eastAsia="Times New Roman" w:hAnsi="Times New Roman" w:cs="Times New Roman"/>
          <w:sz w:val="24"/>
          <w:szCs w:val="24"/>
        </w:rPr>
        <w:t>(</w:t>
      </w:r>
      <w:r w:rsidR="00F47E62" w:rsidRPr="00A55200">
        <w:rPr>
          <w:rFonts w:ascii="Times New Roman" w:eastAsia="Times New Roman" w:hAnsi="Times New Roman" w:cs="Times New Roman"/>
          <w:sz w:val="24"/>
          <w:szCs w:val="24"/>
        </w:rPr>
        <w:t>-</w:t>
      </w:r>
      <w:r w:rsidR="005235D7" w:rsidRPr="00A55200">
        <w:rPr>
          <w:rFonts w:ascii="Times New Roman" w:eastAsia="Times New Roman" w:hAnsi="Times New Roman" w:cs="Times New Roman"/>
          <w:sz w:val="24"/>
          <w:szCs w:val="24"/>
        </w:rPr>
        <w:t>37</w:t>
      </w:r>
      <w:r w:rsidR="00F47E62" w:rsidRPr="00A55200">
        <w:rPr>
          <w:rFonts w:ascii="Times New Roman" w:eastAsia="Times New Roman" w:hAnsi="Times New Roman" w:cs="Times New Roman"/>
          <w:sz w:val="24"/>
          <w:szCs w:val="24"/>
        </w:rPr>
        <w:t xml:space="preserve"> %</w:t>
      </w:r>
      <w:r w:rsidR="005235D7" w:rsidRPr="00A55200">
        <w:rPr>
          <w:rFonts w:ascii="Times New Roman" w:eastAsia="Times New Roman" w:hAnsi="Times New Roman" w:cs="Times New Roman"/>
          <w:sz w:val="24"/>
          <w:szCs w:val="24"/>
        </w:rPr>
        <w:t>)</w:t>
      </w:r>
      <w:r w:rsidR="00974439" w:rsidRPr="00A55200">
        <w:rPr>
          <w:rStyle w:val="Refdenotaalfinal"/>
          <w:rFonts w:ascii="Times New Roman" w:eastAsia="Times New Roman" w:hAnsi="Times New Roman" w:cs="Times New Roman"/>
          <w:sz w:val="24"/>
          <w:szCs w:val="24"/>
        </w:rPr>
        <w:endnoteReference w:id="4"/>
      </w:r>
      <w:r w:rsidR="00F47E62" w:rsidRPr="00A55200">
        <w:rPr>
          <w:rFonts w:ascii="Times New Roman" w:eastAsia="Times New Roman" w:hAnsi="Times New Roman" w:cs="Times New Roman"/>
          <w:sz w:val="24"/>
          <w:szCs w:val="24"/>
        </w:rPr>
        <w:t>.</w:t>
      </w:r>
    </w:p>
    <w:p w14:paraId="2058BB0A" w14:textId="0E7B7561" w:rsidR="007E42B2" w:rsidRPr="00A55200" w:rsidRDefault="007874AA" w:rsidP="007829E5">
      <w:pPr>
        <w:spacing w:after="0" w:line="480" w:lineRule="auto"/>
        <w:rPr>
          <w:rFonts w:ascii="Times New Roman" w:eastAsia="Times New Roman" w:hAnsi="Times New Roman" w:cs="Times New Roman"/>
          <w:sz w:val="24"/>
          <w:szCs w:val="24"/>
        </w:rPr>
      </w:pPr>
      <w:r w:rsidRPr="00A55200">
        <w:rPr>
          <w:rFonts w:ascii="Times New Roman" w:eastAsia="Times New Roman" w:hAnsi="Times New Roman" w:cs="Times New Roman"/>
          <w:sz w:val="24"/>
          <w:szCs w:val="24"/>
        </w:rPr>
        <w:t>Desde hace más de veinte años se han sucedido diversos estudios comparados sobre el papel y el peso de la educación artística (Robinson, 1996, Eurydice</w:t>
      </w:r>
      <w:r w:rsidR="007E42B2" w:rsidRPr="00A55200">
        <w:rPr>
          <w:rFonts w:ascii="Times New Roman" w:eastAsia="Times New Roman" w:hAnsi="Times New Roman" w:cs="Times New Roman"/>
          <w:sz w:val="24"/>
          <w:szCs w:val="24"/>
        </w:rPr>
        <w:t xml:space="preserve">, 2009) que muestran en Europa el estatus relativamente menor en el </w:t>
      </w:r>
      <w:r w:rsidR="007E42B2" w:rsidRPr="00CD2C4A">
        <w:rPr>
          <w:rFonts w:ascii="Times New Roman" w:eastAsia="Times New Roman" w:hAnsi="Times New Roman" w:cs="Times New Roman"/>
          <w:i/>
          <w:sz w:val="24"/>
          <w:szCs w:val="24"/>
        </w:rPr>
        <w:t>curriculum</w:t>
      </w:r>
      <w:r w:rsidR="007E42B2" w:rsidRPr="00A55200">
        <w:rPr>
          <w:rFonts w:ascii="Times New Roman" w:eastAsia="Times New Roman" w:hAnsi="Times New Roman" w:cs="Times New Roman"/>
          <w:sz w:val="24"/>
          <w:szCs w:val="24"/>
        </w:rPr>
        <w:t xml:space="preserve">. Los últimos datos comparados son los que aporta Eurydice (2009) en los que el peso de las artes en los contenidos curriculares, la mitad de los países </w:t>
      </w:r>
      <w:r w:rsidR="002D7060" w:rsidRPr="00A55200">
        <w:rPr>
          <w:rFonts w:ascii="Times New Roman" w:eastAsia="Times New Roman" w:hAnsi="Times New Roman" w:cs="Times New Roman"/>
          <w:sz w:val="24"/>
          <w:szCs w:val="24"/>
        </w:rPr>
        <w:t>europeos dedican</w:t>
      </w:r>
      <w:r w:rsidR="007E42B2" w:rsidRPr="00A55200">
        <w:rPr>
          <w:rFonts w:ascii="Times New Roman" w:eastAsia="Times New Roman" w:hAnsi="Times New Roman" w:cs="Times New Roman"/>
          <w:sz w:val="24"/>
          <w:szCs w:val="24"/>
        </w:rPr>
        <w:t xml:space="preserve"> entre 50 y 100 horas por curso en el nivel de primaria y entre 25 y 75 horas por año en el nivel de la secundaria inferior. </w:t>
      </w:r>
      <w:r w:rsidR="00FC5ED2" w:rsidRPr="00A55200">
        <w:rPr>
          <w:rFonts w:ascii="Times New Roman" w:eastAsia="Times New Roman" w:hAnsi="Times New Roman" w:cs="Times New Roman"/>
          <w:sz w:val="24"/>
          <w:szCs w:val="24"/>
        </w:rPr>
        <w:t>Además de las horas dedicadas en el curso, otro eje de análisis del estudio es la vinculación de la escuela con los agentes de las artes (equ</w:t>
      </w:r>
      <w:r w:rsidR="00514146" w:rsidRPr="00A55200">
        <w:rPr>
          <w:rFonts w:ascii="Times New Roman" w:eastAsia="Times New Roman" w:hAnsi="Times New Roman" w:cs="Times New Roman"/>
          <w:sz w:val="24"/>
          <w:szCs w:val="24"/>
        </w:rPr>
        <w:t>ipamientos culturales, artistas, grandes proyectos educativos en las artes)</w:t>
      </w:r>
      <w:r w:rsidR="00FC5ED2" w:rsidRPr="00A55200">
        <w:rPr>
          <w:rFonts w:ascii="Times New Roman" w:eastAsia="Times New Roman" w:hAnsi="Times New Roman" w:cs="Times New Roman"/>
          <w:sz w:val="24"/>
          <w:szCs w:val="24"/>
        </w:rPr>
        <w:t xml:space="preserve"> aspecto clave a la hora de tener experiencias socializadoras de primera mano, algo </w:t>
      </w:r>
      <w:r w:rsidR="002D7060" w:rsidRPr="00A55200">
        <w:rPr>
          <w:rFonts w:ascii="Times New Roman" w:eastAsia="Times New Roman" w:hAnsi="Times New Roman" w:cs="Times New Roman"/>
          <w:sz w:val="24"/>
          <w:szCs w:val="24"/>
        </w:rPr>
        <w:t>crucial de</w:t>
      </w:r>
      <w:r w:rsidR="00FC5ED2" w:rsidRPr="00A55200">
        <w:rPr>
          <w:rFonts w:ascii="Times New Roman" w:eastAsia="Times New Roman" w:hAnsi="Times New Roman" w:cs="Times New Roman"/>
          <w:sz w:val="24"/>
          <w:szCs w:val="24"/>
        </w:rPr>
        <w:t xml:space="preserve"> cara a la socialización del arte en los niños. </w:t>
      </w:r>
      <w:r w:rsidR="00FC5ED2" w:rsidRPr="004E2B4C">
        <w:rPr>
          <w:rFonts w:ascii="Times New Roman" w:eastAsia="Times New Roman" w:hAnsi="Times New Roman" w:cs="Times New Roman"/>
          <w:sz w:val="24"/>
          <w:szCs w:val="24"/>
        </w:rPr>
        <w:t xml:space="preserve">Habiendo diferencias entre </w:t>
      </w:r>
      <w:r w:rsidR="004E2B4C" w:rsidRPr="004E2B4C">
        <w:rPr>
          <w:rFonts w:ascii="Times New Roman" w:eastAsia="Times New Roman" w:hAnsi="Times New Roman" w:cs="Times New Roman"/>
          <w:sz w:val="24"/>
          <w:szCs w:val="24"/>
        </w:rPr>
        <w:t>los países del norte y del sur, d</w:t>
      </w:r>
      <w:r w:rsidR="00FC5ED2" w:rsidRPr="004E2B4C">
        <w:rPr>
          <w:rFonts w:ascii="Times New Roman" w:eastAsia="Times New Roman" w:hAnsi="Times New Roman" w:cs="Times New Roman"/>
          <w:sz w:val="24"/>
          <w:szCs w:val="24"/>
        </w:rPr>
        <w:t>estacan</w:t>
      </w:r>
      <w:r w:rsidR="00FC5ED2" w:rsidRPr="00A55200">
        <w:rPr>
          <w:rFonts w:ascii="Times New Roman" w:eastAsia="Times New Roman" w:hAnsi="Times New Roman" w:cs="Times New Roman"/>
          <w:sz w:val="24"/>
          <w:szCs w:val="24"/>
        </w:rPr>
        <w:t xml:space="preserve"> </w:t>
      </w:r>
      <w:r w:rsidR="00DE4643" w:rsidRPr="00A55200">
        <w:rPr>
          <w:rFonts w:ascii="Times New Roman" w:eastAsia="Times New Roman" w:hAnsi="Times New Roman" w:cs="Times New Roman"/>
          <w:sz w:val="24"/>
          <w:szCs w:val="24"/>
        </w:rPr>
        <w:t xml:space="preserve">aquellos países </w:t>
      </w:r>
      <w:r w:rsidR="007C2B35" w:rsidRPr="00A55200">
        <w:rPr>
          <w:rFonts w:ascii="Times New Roman" w:eastAsia="Times New Roman" w:hAnsi="Times New Roman" w:cs="Times New Roman"/>
          <w:sz w:val="24"/>
          <w:szCs w:val="24"/>
        </w:rPr>
        <w:t>con un ecosistema cultural coordinad</w:t>
      </w:r>
      <w:r w:rsidR="005E3D1D" w:rsidRPr="00A55200">
        <w:rPr>
          <w:rFonts w:ascii="Times New Roman" w:eastAsia="Times New Roman" w:hAnsi="Times New Roman" w:cs="Times New Roman"/>
          <w:sz w:val="24"/>
          <w:szCs w:val="24"/>
        </w:rPr>
        <w:t>o, fluido</w:t>
      </w:r>
      <w:r w:rsidR="006B64FF" w:rsidRPr="00A55200">
        <w:rPr>
          <w:rFonts w:ascii="Times New Roman" w:eastAsia="Times New Roman" w:hAnsi="Times New Roman" w:cs="Times New Roman"/>
          <w:sz w:val="24"/>
          <w:szCs w:val="24"/>
        </w:rPr>
        <w:t xml:space="preserve"> con el sistema educativo de la educación obligatoria,</w:t>
      </w:r>
      <w:r w:rsidR="005E3D1D" w:rsidRPr="00A55200">
        <w:rPr>
          <w:rFonts w:ascii="Times New Roman" w:eastAsia="Times New Roman" w:hAnsi="Times New Roman" w:cs="Times New Roman"/>
          <w:sz w:val="24"/>
          <w:szCs w:val="24"/>
        </w:rPr>
        <w:t xml:space="preserve"> en donde confluyen proyectos educativos promovidos por las instituciones culturales principales y por el conjunto más o menos extenso de la educación no formal en el campo de las artes y la cultura. Así, </w:t>
      </w:r>
      <w:r w:rsidR="00AD75D3" w:rsidRPr="00A55200">
        <w:rPr>
          <w:rFonts w:ascii="Times New Roman" w:eastAsia="Times New Roman" w:hAnsi="Times New Roman" w:cs="Times New Roman"/>
          <w:sz w:val="24"/>
          <w:szCs w:val="24"/>
        </w:rPr>
        <w:t xml:space="preserve">en el Reino Unido podemos </w:t>
      </w:r>
      <w:r w:rsidR="00AD75D3" w:rsidRPr="00A55200">
        <w:rPr>
          <w:rFonts w:ascii="Times New Roman" w:eastAsia="Times New Roman" w:hAnsi="Times New Roman" w:cs="Times New Roman"/>
          <w:sz w:val="24"/>
          <w:szCs w:val="24"/>
        </w:rPr>
        <w:lastRenderedPageBreak/>
        <w:t>encont</w:t>
      </w:r>
      <w:r w:rsidR="00A07407" w:rsidRPr="00A55200">
        <w:rPr>
          <w:rFonts w:ascii="Times New Roman" w:eastAsia="Times New Roman" w:hAnsi="Times New Roman" w:cs="Times New Roman"/>
          <w:sz w:val="24"/>
          <w:szCs w:val="24"/>
        </w:rPr>
        <w:t>rar e</w:t>
      </w:r>
      <w:r w:rsidR="00AD75D3" w:rsidRPr="00A55200">
        <w:rPr>
          <w:rFonts w:ascii="Times New Roman" w:eastAsia="Times New Roman" w:hAnsi="Times New Roman" w:cs="Times New Roman"/>
          <w:sz w:val="24"/>
          <w:szCs w:val="24"/>
        </w:rPr>
        <w:t>videncias de un conjunto de proyectos nacionales de educación artística en los últim</w:t>
      </w:r>
      <w:r w:rsidR="00A07407" w:rsidRPr="00A55200">
        <w:rPr>
          <w:rFonts w:ascii="Times New Roman" w:eastAsia="Times New Roman" w:hAnsi="Times New Roman" w:cs="Times New Roman"/>
          <w:sz w:val="24"/>
          <w:szCs w:val="24"/>
        </w:rPr>
        <w:t>os años</w:t>
      </w:r>
      <w:r w:rsidR="00514146" w:rsidRPr="00A55200">
        <w:rPr>
          <w:rFonts w:ascii="Times New Roman" w:eastAsia="Times New Roman" w:hAnsi="Times New Roman" w:cs="Times New Roman"/>
          <w:sz w:val="24"/>
          <w:szCs w:val="24"/>
        </w:rPr>
        <w:t xml:space="preserve"> con un impacto mediático en internet</w:t>
      </w:r>
      <w:r w:rsidR="00CD2C4A" w:rsidRPr="00A55200">
        <w:rPr>
          <w:rStyle w:val="Refdenotaalfinal"/>
          <w:rFonts w:ascii="Times New Roman" w:eastAsia="Times New Roman" w:hAnsi="Times New Roman" w:cs="Times New Roman"/>
          <w:sz w:val="24"/>
          <w:szCs w:val="24"/>
        </w:rPr>
        <w:endnoteReference w:id="5"/>
      </w:r>
      <w:r w:rsidR="001C1B61" w:rsidRPr="00A55200">
        <w:rPr>
          <w:rFonts w:ascii="Times New Roman" w:eastAsia="Times New Roman" w:hAnsi="Times New Roman" w:cs="Times New Roman"/>
          <w:sz w:val="24"/>
          <w:szCs w:val="24"/>
        </w:rPr>
        <w:t>.</w:t>
      </w:r>
      <w:r w:rsidR="00AD75D3" w:rsidRPr="00A55200">
        <w:rPr>
          <w:rFonts w:ascii="Times New Roman" w:eastAsia="Times New Roman" w:hAnsi="Times New Roman" w:cs="Times New Roman"/>
          <w:sz w:val="24"/>
          <w:szCs w:val="24"/>
        </w:rPr>
        <w:t xml:space="preserve"> </w:t>
      </w:r>
    </w:p>
    <w:p w14:paraId="070C2901" w14:textId="77777777" w:rsidR="003C4548" w:rsidRPr="00A55200" w:rsidRDefault="008050DA" w:rsidP="007829E5">
      <w:pPr>
        <w:spacing w:after="0" w:line="480" w:lineRule="auto"/>
        <w:rPr>
          <w:rFonts w:ascii="Times New Roman" w:eastAsia="Times New Roman" w:hAnsi="Times New Roman" w:cs="Times New Roman"/>
          <w:sz w:val="24"/>
          <w:szCs w:val="24"/>
        </w:rPr>
      </w:pPr>
      <w:r w:rsidRPr="00A55200">
        <w:rPr>
          <w:rFonts w:ascii="Times New Roman" w:eastAsia="Times New Roman" w:hAnsi="Times New Roman" w:cs="Times New Roman"/>
          <w:sz w:val="24"/>
          <w:szCs w:val="24"/>
        </w:rPr>
        <w:t xml:space="preserve">Otro indicador de la relevancia de la educación artística es su impacto e interés en el ámbito académico. En este sentido hay que destacar la numerosa producción en el Reino Unido a través de los Consejos de las Artes y en el conjunto de entidades no lucrativas cuyos fines son los de la educación artística. </w:t>
      </w:r>
      <w:r w:rsidR="00A07407" w:rsidRPr="00A55200">
        <w:rPr>
          <w:rFonts w:ascii="Times New Roman" w:eastAsia="Times New Roman" w:hAnsi="Times New Roman" w:cs="Times New Roman"/>
          <w:sz w:val="24"/>
          <w:szCs w:val="24"/>
        </w:rPr>
        <w:t>Asimismo</w:t>
      </w:r>
      <w:r w:rsidR="006C7B80" w:rsidRPr="00A55200">
        <w:rPr>
          <w:rFonts w:ascii="Times New Roman" w:eastAsia="Times New Roman" w:hAnsi="Times New Roman" w:cs="Times New Roman"/>
          <w:sz w:val="24"/>
          <w:szCs w:val="24"/>
        </w:rPr>
        <w:t>,</w:t>
      </w:r>
      <w:r w:rsidR="00A07407" w:rsidRPr="00A55200">
        <w:rPr>
          <w:rFonts w:ascii="Times New Roman" w:eastAsia="Times New Roman" w:hAnsi="Times New Roman" w:cs="Times New Roman"/>
          <w:sz w:val="24"/>
          <w:szCs w:val="24"/>
        </w:rPr>
        <w:t xml:space="preserve"> el fuerte desarrollo de los </w:t>
      </w:r>
      <w:r w:rsidR="00A07407" w:rsidRPr="00A55200">
        <w:rPr>
          <w:rFonts w:ascii="Times New Roman" w:eastAsia="Times New Roman" w:hAnsi="Times New Roman" w:cs="Times New Roman"/>
          <w:i/>
          <w:sz w:val="24"/>
          <w:szCs w:val="24"/>
        </w:rPr>
        <w:t>cultural studies</w:t>
      </w:r>
      <w:r w:rsidR="00A07407" w:rsidRPr="00A55200">
        <w:rPr>
          <w:rFonts w:ascii="Times New Roman" w:eastAsia="Times New Roman" w:hAnsi="Times New Roman" w:cs="Times New Roman"/>
          <w:sz w:val="24"/>
          <w:szCs w:val="24"/>
        </w:rPr>
        <w:t xml:space="preserve"> en Gran Bretaña, </w:t>
      </w:r>
      <w:r w:rsidR="00345D6B" w:rsidRPr="00A55200">
        <w:rPr>
          <w:rFonts w:ascii="Times New Roman" w:eastAsia="Times New Roman" w:hAnsi="Times New Roman" w:cs="Times New Roman"/>
          <w:sz w:val="24"/>
          <w:szCs w:val="24"/>
        </w:rPr>
        <w:t xml:space="preserve">ha tenido como consecuencia un incremento de la producción académica acerca </w:t>
      </w:r>
      <w:r w:rsidR="002D7060" w:rsidRPr="00A55200">
        <w:rPr>
          <w:rFonts w:ascii="Times New Roman" w:eastAsia="Times New Roman" w:hAnsi="Times New Roman" w:cs="Times New Roman"/>
          <w:sz w:val="24"/>
          <w:szCs w:val="24"/>
        </w:rPr>
        <w:t>de</w:t>
      </w:r>
      <w:r w:rsidR="00A07407" w:rsidRPr="00A55200">
        <w:rPr>
          <w:rFonts w:ascii="Times New Roman" w:eastAsia="Times New Roman" w:hAnsi="Times New Roman" w:cs="Times New Roman"/>
          <w:sz w:val="24"/>
          <w:szCs w:val="24"/>
        </w:rPr>
        <w:t xml:space="preserve"> la</w:t>
      </w:r>
      <w:r w:rsidR="00345D6B" w:rsidRPr="00A55200">
        <w:rPr>
          <w:rFonts w:ascii="Times New Roman" w:eastAsia="Times New Roman" w:hAnsi="Times New Roman" w:cs="Times New Roman"/>
          <w:sz w:val="24"/>
          <w:szCs w:val="24"/>
        </w:rPr>
        <w:t>s</w:t>
      </w:r>
      <w:r w:rsidR="00A07407" w:rsidRPr="00A55200">
        <w:rPr>
          <w:rFonts w:ascii="Times New Roman" w:eastAsia="Times New Roman" w:hAnsi="Times New Roman" w:cs="Times New Roman"/>
          <w:sz w:val="24"/>
          <w:szCs w:val="24"/>
        </w:rPr>
        <w:t xml:space="preserve"> artes</w:t>
      </w:r>
      <w:r w:rsidR="00345D6B" w:rsidRPr="00A55200">
        <w:rPr>
          <w:rFonts w:ascii="Times New Roman" w:eastAsia="Times New Roman" w:hAnsi="Times New Roman" w:cs="Times New Roman"/>
          <w:sz w:val="24"/>
          <w:szCs w:val="24"/>
        </w:rPr>
        <w:t>, la cultura</w:t>
      </w:r>
      <w:r w:rsidR="00A07407" w:rsidRPr="00A55200">
        <w:rPr>
          <w:rFonts w:ascii="Times New Roman" w:eastAsia="Times New Roman" w:hAnsi="Times New Roman" w:cs="Times New Roman"/>
          <w:sz w:val="24"/>
          <w:szCs w:val="24"/>
        </w:rPr>
        <w:t xml:space="preserve"> y la educación. También, e</w:t>
      </w:r>
      <w:r w:rsidR="003C44B7" w:rsidRPr="00A55200">
        <w:rPr>
          <w:rFonts w:ascii="Times New Roman" w:eastAsia="Times New Roman" w:hAnsi="Times New Roman" w:cs="Times New Roman"/>
          <w:sz w:val="24"/>
          <w:szCs w:val="24"/>
        </w:rPr>
        <w:t>n los países</w:t>
      </w:r>
      <w:r w:rsidR="00345D6B" w:rsidRPr="00A55200">
        <w:rPr>
          <w:rFonts w:ascii="Times New Roman" w:eastAsia="Times New Roman" w:hAnsi="Times New Roman" w:cs="Times New Roman"/>
          <w:sz w:val="24"/>
          <w:szCs w:val="24"/>
        </w:rPr>
        <w:t xml:space="preserve"> nórdicos hay una notoria </w:t>
      </w:r>
      <w:r w:rsidR="003C44B7" w:rsidRPr="00A55200">
        <w:rPr>
          <w:rFonts w:ascii="Times New Roman" w:eastAsia="Times New Roman" w:hAnsi="Times New Roman" w:cs="Times New Roman"/>
          <w:sz w:val="24"/>
          <w:szCs w:val="24"/>
        </w:rPr>
        <w:t xml:space="preserve">investigación sobre la pedagogía de la creatividad, la investigación en la estética y su vinculación con la </w:t>
      </w:r>
      <w:r w:rsidR="002D7060" w:rsidRPr="00A55200">
        <w:rPr>
          <w:rFonts w:ascii="Times New Roman" w:eastAsia="Times New Roman" w:hAnsi="Times New Roman" w:cs="Times New Roman"/>
          <w:sz w:val="24"/>
          <w:szCs w:val="24"/>
        </w:rPr>
        <w:t>escuela si</w:t>
      </w:r>
      <w:r w:rsidR="003C44B7" w:rsidRPr="00A55200">
        <w:rPr>
          <w:rFonts w:ascii="Times New Roman" w:eastAsia="Times New Roman" w:hAnsi="Times New Roman" w:cs="Times New Roman"/>
          <w:sz w:val="24"/>
          <w:szCs w:val="24"/>
        </w:rPr>
        <w:t xml:space="preserve"> la comparamos con la escasez de referencias académicas en los países del sur tal como refiere un informe de </w:t>
      </w:r>
      <w:r w:rsidR="00EE7C61" w:rsidRPr="00A55200">
        <w:rPr>
          <w:rFonts w:ascii="Times New Roman" w:eastAsia="Times New Roman" w:hAnsi="Times New Roman" w:cs="Times New Roman"/>
          <w:sz w:val="24"/>
          <w:szCs w:val="24"/>
        </w:rPr>
        <w:t>la Agencia de la Cultura Danesa (2014</w:t>
      </w:r>
      <w:r w:rsidR="00A07407" w:rsidRPr="00A55200">
        <w:rPr>
          <w:rFonts w:ascii="Times New Roman" w:eastAsia="Times New Roman" w:hAnsi="Times New Roman" w:cs="Times New Roman"/>
          <w:sz w:val="24"/>
          <w:szCs w:val="24"/>
        </w:rPr>
        <w:t>)</w:t>
      </w:r>
      <w:r w:rsidR="00EE7C61" w:rsidRPr="00A55200">
        <w:rPr>
          <w:rStyle w:val="Refdenotaalfinal"/>
          <w:rFonts w:ascii="Times New Roman" w:eastAsia="Times New Roman" w:hAnsi="Times New Roman" w:cs="Times New Roman"/>
          <w:sz w:val="24"/>
          <w:szCs w:val="24"/>
        </w:rPr>
        <w:endnoteReference w:id="6"/>
      </w:r>
      <w:r w:rsidR="00EE7C61" w:rsidRPr="00A55200">
        <w:rPr>
          <w:rFonts w:ascii="Times New Roman" w:eastAsia="Times New Roman" w:hAnsi="Times New Roman" w:cs="Times New Roman"/>
          <w:sz w:val="24"/>
          <w:szCs w:val="24"/>
        </w:rPr>
        <w:t>.</w:t>
      </w:r>
    </w:p>
    <w:p w14:paraId="788DD1F1" w14:textId="77777777" w:rsidR="003B478E" w:rsidRPr="00A55200" w:rsidRDefault="003B478E" w:rsidP="007829E5">
      <w:pPr>
        <w:spacing w:after="0" w:line="480" w:lineRule="auto"/>
        <w:rPr>
          <w:rFonts w:ascii="Times New Roman" w:eastAsia="Times New Roman" w:hAnsi="Times New Roman" w:cs="Times New Roman"/>
          <w:sz w:val="24"/>
          <w:szCs w:val="24"/>
        </w:rPr>
      </w:pPr>
    </w:p>
    <w:p w14:paraId="73BC0ECC" w14:textId="77777777" w:rsidR="00A360B4" w:rsidRPr="00A55200" w:rsidRDefault="00A360B4" w:rsidP="007829E5">
      <w:pPr>
        <w:spacing w:after="0" w:line="480" w:lineRule="auto"/>
        <w:rPr>
          <w:rFonts w:ascii="Times New Roman" w:eastAsia="Times New Roman" w:hAnsi="Times New Roman" w:cs="Times New Roman"/>
          <w:b/>
          <w:sz w:val="24"/>
          <w:szCs w:val="24"/>
        </w:rPr>
      </w:pPr>
      <w:r w:rsidRPr="00A55200">
        <w:rPr>
          <w:rFonts w:ascii="Times New Roman" w:eastAsia="Times New Roman" w:hAnsi="Times New Roman" w:cs="Times New Roman"/>
          <w:b/>
          <w:sz w:val="24"/>
          <w:szCs w:val="24"/>
        </w:rPr>
        <w:t>Gobernanza de los equipamientos culturales seg</w:t>
      </w:r>
      <w:r w:rsidR="001F2435" w:rsidRPr="00A55200">
        <w:rPr>
          <w:rFonts w:ascii="Times New Roman" w:eastAsia="Times New Roman" w:hAnsi="Times New Roman" w:cs="Times New Roman"/>
          <w:b/>
          <w:sz w:val="24"/>
          <w:szCs w:val="24"/>
        </w:rPr>
        <w:t>ún modelos de política cultural: eficiencia y modernizaci</w:t>
      </w:r>
      <w:r w:rsidR="007A00DB" w:rsidRPr="00A55200">
        <w:rPr>
          <w:rFonts w:ascii="Times New Roman" w:eastAsia="Times New Roman" w:hAnsi="Times New Roman" w:cs="Times New Roman"/>
          <w:b/>
          <w:sz w:val="24"/>
          <w:szCs w:val="24"/>
        </w:rPr>
        <w:t xml:space="preserve">ón versus inmovilismo. </w:t>
      </w:r>
    </w:p>
    <w:p w14:paraId="1645B174" w14:textId="77777777" w:rsidR="008B683A" w:rsidRPr="00A55200" w:rsidRDefault="00EC7657" w:rsidP="007829E5">
      <w:pPr>
        <w:spacing w:after="0" w:line="480" w:lineRule="auto"/>
        <w:rPr>
          <w:rFonts w:ascii="Times New Roman" w:eastAsia="Times New Roman" w:hAnsi="Times New Roman" w:cs="Times New Roman"/>
          <w:sz w:val="24"/>
          <w:szCs w:val="24"/>
        </w:rPr>
      </w:pPr>
      <w:r w:rsidRPr="00A55200">
        <w:rPr>
          <w:rFonts w:ascii="Times New Roman" w:eastAsia="Times New Roman" w:hAnsi="Times New Roman" w:cs="Times New Roman"/>
          <w:sz w:val="24"/>
          <w:szCs w:val="24"/>
        </w:rPr>
        <w:t>Uno de los grandes instrumentos de la política cultural son los equipam</w:t>
      </w:r>
      <w:r w:rsidR="009249DA" w:rsidRPr="00A55200">
        <w:rPr>
          <w:rFonts w:ascii="Times New Roman" w:eastAsia="Times New Roman" w:hAnsi="Times New Roman" w:cs="Times New Roman"/>
          <w:sz w:val="24"/>
          <w:szCs w:val="24"/>
        </w:rPr>
        <w:t>i</w:t>
      </w:r>
      <w:r w:rsidRPr="00A55200">
        <w:rPr>
          <w:rFonts w:ascii="Times New Roman" w:eastAsia="Times New Roman" w:hAnsi="Times New Roman" w:cs="Times New Roman"/>
          <w:sz w:val="24"/>
          <w:szCs w:val="24"/>
        </w:rPr>
        <w:t xml:space="preserve">entos culturales, en los que se condensan en gran medida los retos, logros y déficits de los modelos de políticas culturales. </w:t>
      </w:r>
      <w:r w:rsidR="009249DA" w:rsidRPr="00A55200">
        <w:rPr>
          <w:rFonts w:ascii="Times New Roman" w:eastAsia="Times New Roman" w:hAnsi="Times New Roman" w:cs="Times New Roman"/>
          <w:sz w:val="24"/>
          <w:szCs w:val="24"/>
        </w:rPr>
        <w:t xml:space="preserve">Sin embargo, estos han pasado de ser concebidos como un espacio de contacto entre el gran arte y la ciudadanía y, por lo tanto, un instrumento de democratización cultural a ser también una bandera de la regeneración urbana, la modernización y la </w:t>
      </w:r>
      <w:r w:rsidR="006E280F" w:rsidRPr="00A55200">
        <w:rPr>
          <w:rFonts w:ascii="Times New Roman" w:eastAsia="Times New Roman" w:hAnsi="Times New Roman" w:cs="Times New Roman"/>
          <w:sz w:val="24"/>
          <w:szCs w:val="24"/>
        </w:rPr>
        <w:t>creación</w:t>
      </w:r>
      <w:r w:rsidR="009249DA" w:rsidRPr="00A55200">
        <w:rPr>
          <w:rFonts w:ascii="Times New Roman" w:eastAsia="Times New Roman" w:hAnsi="Times New Roman" w:cs="Times New Roman"/>
          <w:sz w:val="24"/>
          <w:szCs w:val="24"/>
        </w:rPr>
        <w:t xml:space="preserve"> de marca territorial o la atracción turística global </w:t>
      </w:r>
      <w:r w:rsidR="009249DA" w:rsidRPr="00A55200">
        <w:rPr>
          <w:rFonts w:ascii="Times New Roman" w:eastAsia="Times New Roman" w:hAnsi="Times New Roman" w:cs="Times New Roman"/>
          <w:sz w:val="24"/>
          <w:szCs w:val="24"/>
        </w:rPr>
        <w:fldChar w:fldCharType="begin"/>
      </w:r>
      <w:r w:rsidR="008B683A" w:rsidRPr="00A55200">
        <w:rPr>
          <w:rFonts w:ascii="Times New Roman" w:eastAsia="Times New Roman" w:hAnsi="Times New Roman" w:cs="Times New Roman"/>
          <w:sz w:val="24"/>
          <w:szCs w:val="24"/>
        </w:rPr>
        <w:instrText>ADDIN RW.CITE{{968 Evans,Graeme 2003;}}</w:instrText>
      </w:r>
      <w:r w:rsidR="009249DA" w:rsidRPr="00A55200">
        <w:rPr>
          <w:rFonts w:ascii="Times New Roman" w:eastAsia="Times New Roman" w:hAnsi="Times New Roman" w:cs="Times New Roman"/>
          <w:sz w:val="24"/>
          <w:szCs w:val="24"/>
        </w:rPr>
        <w:fldChar w:fldCharType="separate"/>
      </w:r>
      <w:r w:rsidR="00642426" w:rsidRPr="00A55200">
        <w:rPr>
          <w:rFonts w:ascii="Times New Roman" w:eastAsia="Times New Roman" w:hAnsi="Times New Roman" w:cs="Times New Roman"/>
          <w:sz w:val="24"/>
          <w:szCs w:val="24"/>
        </w:rPr>
        <w:t>(Evans, 2003)</w:t>
      </w:r>
      <w:r w:rsidR="009249DA" w:rsidRPr="00A55200">
        <w:rPr>
          <w:rFonts w:ascii="Times New Roman" w:eastAsia="Times New Roman" w:hAnsi="Times New Roman" w:cs="Times New Roman"/>
          <w:sz w:val="24"/>
          <w:szCs w:val="24"/>
        </w:rPr>
        <w:fldChar w:fldCharType="end"/>
      </w:r>
      <w:r w:rsidR="009249DA" w:rsidRPr="00A55200">
        <w:rPr>
          <w:rFonts w:ascii="Times New Roman" w:eastAsia="Times New Roman" w:hAnsi="Times New Roman" w:cs="Times New Roman"/>
          <w:sz w:val="24"/>
          <w:szCs w:val="24"/>
        </w:rPr>
        <w:t xml:space="preserve">. </w:t>
      </w:r>
      <w:r w:rsidR="008B683A" w:rsidRPr="00A55200">
        <w:rPr>
          <w:rFonts w:ascii="Times New Roman" w:eastAsia="Times New Roman" w:hAnsi="Times New Roman" w:cs="Times New Roman"/>
          <w:sz w:val="24"/>
          <w:szCs w:val="24"/>
        </w:rPr>
        <w:t xml:space="preserve">Por lo tanto, este elemento que ha sido común en todos los países avanzados se ha expresado de forma especial en los países del Sur y, en especial en el Estado español, en los que los equipamientos culturales han sido a veces más pensados para el turista </w:t>
      </w:r>
      <w:r w:rsidR="008B683A" w:rsidRPr="004E2B4C">
        <w:rPr>
          <w:rFonts w:ascii="Times New Roman" w:eastAsia="Times New Roman" w:hAnsi="Times New Roman" w:cs="Times New Roman"/>
          <w:sz w:val="24"/>
          <w:szCs w:val="24"/>
        </w:rPr>
        <w:t xml:space="preserve">internacional </w:t>
      </w:r>
      <w:r w:rsidR="008B683A" w:rsidRPr="00A55200">
        <w:rPr>
          <w:rFonts w:ascii="Times New Roman" w:eastAsia="Times New Roman" w:hAnsi="Times New Roman" w:cs="Times New Roman"/>
          <w:sz w:val="24"/>
          <w:szCs w:val="24"/>
        </w:rPr>
        <w:t xml:space="preserve">que para los consumidores internos y la satisfacción de sus derechos de acceso y participación cultural </w:t>
      </w:r>
      <w:r w:rsidR="008B683A" w:rsidRPr="00A55200">
        <w:rPr>
          <w:rFonts w:ascii="Times New Roman" w:eastAsia="Times New Roman" w:hAnsi="Times New Roman" w:cs="Times New Roman"/>
          <w:sz w:val="24"/>
          <w:szCs w:val="24"/>
        </w:rPr>
        <w:fldChar w:fldCharType="begin"/>
      </w:r>
      <w:r w:rsidR="008B683A" w:rsidRPr="00A55200">
        <w:rPr>
          <w:rFonts w:ascii="Times New Roman" w:eastAsia="Times New Roman" w:hAnsi="Times New Roman" w:cs="Times New Roman"/>
          <w:sz w:val="24"/>
          <w:szCs w:val="24"/>
        </w:rPr>
        <w:instrText>ADDIN RW.CITE{{1912 Rius-Ulldemolins, Joaquim 2016}}</w:instrText>
      </w:r>
      <w:r w:rsidR="008B683A" w:rsidRPr="00A55200">
        <w:rPr>
          <w:rFonts w:ascii="Times New Roman" w:eastAsia="Times New Roman" w:hAnsi="Times New Roman" w:cs="Times New Roman"/>
          <w:sz w:val="24"/>
          <w:szCs w:val="24"/>
        </w:rPr>
        <w:fldChar w:fldCharType="separate"/>
      </w:r>
      <w:r w:rsidR="00642426" w:rsidRPr="00A55200">
        <w:rPr>
          <w:rFonts w:ascii="Times New Roman" w:eastAsia="Times New Roman" w:hAnsi="Times New Roman" w:cs="Times New Roman"/>
          <w:sz w:val="24"/>
          <w:szCs w:val="24"/>
        </w:rPr>
        <w:t>(Rius-Ulldemolins et al., 2016)</w:t>
      </w:r>
      <w:r w:rsidR="008B683A" w:rsidRPr="00A55200">
        <w:rPr>
          <w:rFonts w:ascii="Times New Roman" w:eastAsia="Times New Roman" w:hAnsi="Times New Roman" w:cs="Times New Roman"/>
          <w:sz w:val="24"/>
          <w:szCs w:val="24"/>
        </w:rPr>
        <w:fldChar w:fldCharType="end"/>
      </w:r>
      <w:r w:rsidR="008B683A" w:rsidRPr="00A55200">
        <w:rPr>
          <w:rFonts w:ascii="Times New Roman" w:eastAsia="Times New Roman" w:hAnsi="Times New Roman" w:cs="Times New Roman"/>
          <w:sz w:val="24"/>
          <w:szCs w:val="24"/>
        </w:rPr>
        <w:t xml:space="preserve">. </w:t>
      </w:r>
    </w:p>
    <w:p w14:paraId="0AB56E15" w14:textId="3811A262" w:rsidR="009249DA" w:rsidRPr="00A55200" w:rsidRDefault="008B683A" w:rsidP="007829E5">
      <w:pPr>
        <w:spacing w:after="0" w:line="480" w:lineRule="auto"/>
        <w:rPr>
          <w:rFonts w:ascii="Times New Roman" w:eastAsia="Times New Roman" w:hAnsi="Times New Roman" w:cs="Times New Roman"/>
          <w:sz w:val="24"/>
          <w:szCs w:val="24"/>
        </w:rPr>
      </w:pPr>
      <w:r w:rsidRPr="00A55200">
        <w:rPr>
          <w:rFonts w:ascii="Times New Roman" w:eastAsia="Times New Roman" w:hAnsi="Times New Roman" w:cs="Times New Roman"/>
          <w:sz w:val="24"/>
          <w:szCs w:val="24"/>
        </w:rPr>
        <w:lastRenderedPageBreak/>
        <w:t>Sin embargo, a nivel europeo podemos observar diferencias de partida y evoluciones muy diferenciadas que facilitan o bien dificultan la participación cultural. Así, en l</w:t>
      </w:r>
      <w:r w:rsidR="00C8109F">
        <w:rPr>
          <w:rFonts w:ascii="Times New Roman" w:eastAsia="Times New Roman" w:hAnsi="Times New Roman" w:cs="Times New Roman"/>
          <w:sz w:val="24"/>
          <w:szCs w:val="24"/>
        </w:rPr>
        <w:t>os países anglosajones y centro</w:t>
      </w:r>
      <w:r w:rsidRPr="00A55200">
        <w:rPr>
          <w:rFonts w:ascii="Times New Roman" w:eastAsia="Times New Roman" w:hAnsi="Times New Roman" w:cs="Times New Roman"/>
          <w:sz w:val="24"/>
          <w:szCs w:val="24"/>
        </w:rPr>
        <w:t xml:space="preserve">europeos los equipamientos culturales, a pesar de estar considerablemente centralizados en grandes ciudades, estos se han renovado en su gestión y se orientan a desarrollar espacios abiertos a la ciudadanía en términos arquitectónicos (grandes </w:t>
      </w:r>
      <w:r w:rsidRPr="00CD2C4A">
        <w:rPr>
          <w:rFonts w:ascii="Times New Roman" w:eastAsia="Times New Roman" w:hAnsi="Times New Roman" w:cs="Times New Roman"/>
          <w:i/>
          <w:sz w:val="24"/>
          <w:szCs w:val="24"/>
        </w:rPr>
        <w:t>halls</w:t>
      </w:r>
      <w:r w:rsidRPr="00A55200">
        <w:rPr>
          <w:rFonts w:ascii="Times New Roman" w:eastAsia="Times New Roman" w:hAnsi="Times New Roman" w:cs="Times New Roman"/>
          <w:sz w:val="24"/>
          <w:szCs w:val="24"/>
        </w:rPr>
        <w:t xml:space="preserve">) dando cabida a la alta cultura, a las expresiones más subculturales o bien a programas orientados a la participación, bajo el impulso y la evaluación de la administración titular </w:t>
      </w:r>
      <w:r w:rsidRPr="00A55200">
        <w:rPr>
          <w:rFonts w:ascii="Times New Roman" w:eastAsia="Times New Roman" w:hAnsi="Times New Roman" w:cs="Times New Roman"/>
          <w:sz w:val="24"/>
          <w:szCs w:val="24"/>
        </w:rPr>
        <w:fldChar w:fldCharType="begin"/>
      </w:r>
      <w:r w:rsidRPr="00A55200">
        <w:rPr>
          <w:rFonts w:ascii="Times New Roman" w:eastAsia="Times New Roman" w:hAnsi="Times New Roman" w:cs="Times New Roman"/>
          <w:sz w:val="24"/>
          <w:szCs w:val="24"/>
        </w:rPr>
        <w:instrText>ADDIN RW.CITE{{695 Rius-Ulldemolins, Joaquim 2013}}</w:instrText>
      </w:r>
      <w:r w:rsidRPr="00A55200">
        <w:rPr>
          <w:rFonts w:ascii="Times New Roman" w:eastAsia="Times New Roman" w:hAnsi="Times New Roman" w:cs="Times New Roman"/>
          <w:sz w:val="24"/>
          <w:szCs w:val="24"/>
        </w:rPr>
        <w:fldChar w:fldCharType="separate"/>
      </w:r>
      <w:r w:rsidR="00642426" w:rsidRPr="00A55200">
        <w:rPr>
          <w:rFonts w:ascii="Times New Roman" w:eastAsia="Times New Roman" w:hAnsi="Times New Roman" w:cs="Times New Roman"/>
          <w:sz w:val="24"/>
          <w:szCs w:val="24"/>
        </w:rPr>
        <w:t>(Rius-Ulldemolins y Rubio</w:t>
      </w:r>
      <w:r w:rsidR="00F764AA" w:rsidRPr="00A55200">
        <w:rPr>
          <w:rFonts w:ascii="Times New Roman" w:eastAsia="Times New Roman" w:hAnsi="Times New Roman" w:cs="Times New Roman"/>
          <w:sz w:val="24"/>
          <w:szCs w:val="24"/>
        </w:rPr>
        <w:t>-Arostegui</w:t>
      </w:r>
      <w:r w:rsidR="00642426" w:rsidRPr="00A55200">
        <w:rPr>
          <w:rFonts w:ascii="Times New Roman" w:eastAsia="Times New Roman" w:hAnsi="Times New Roman" w:cs="Times New Roman"/>
          <w:sz w:val="24"/>
          <w:szCs w:val="24"/>
        </w:rPr>
        <w:t>, 2013)</w:t>
      </w:r>
      <w:r w:rsidRPr="00A55200">
        <w:rPr>
          <w:rFonts w:ascii="Times New Roman" w:eastAsia="Times New Roman" w:hAnsi="Times New Roman" w:cs="Times New Roman"/>
          <w:sz w:val="24"/>
          <w:szCs w:val="24"/>
        </w:rPr>
        <w:fldChar w:fldCharType="end"/>
      </w:r>
      <w:r w:rsidRPr="00A55200">
        <w:rPr>
          <w:rFonts w:ascii="Times New Roman" w:eastAsia="Times New Roman" w:hAnsi="Times New Roman" w:cs="Times New Roman"/>
          <w:sz w:val="24"/>
          <w:szCs w:val="24"/>
        </w:rPr>
        <w:t xml:space="preserve">. </w:t>
      </w:r>
      <w:r w:rsidR="0038021E" w:rsidRPr="00A55200">
        <w:rPr>
          <w:rFonts w:ascii="Times New Roman" w:eastAsia="Times New Roman" w:hAnsi="Times New Roman" w:cs="Times New Roman"/>
          <w:sz w:val="24"/>
          <w:szCs w:val="24"/>
        </w:rPr>
        <w:t xml:space="preserve">Por otra parte, en el modelo francés el Estado sigue </w:t>
      </w:r>
      <w:r w:rsidR="006E280F" w:rsidRPr="00A55200">
        <w:rPr>
          <w:rFonts w:ascii="Times New Roman" w:eastAsia="Times New Roman" w:hAnsi="Times New Roman" w:cs="Times New Roman"/>
          <w:sz w:val="24"/>
          <w:szCs w:val="24"/>
        </w:rPr>
        <w:t>desarrollando</w:t>
      </w:r>
      <w:r w:rsidR="0038021E" w:rsidRPr="00A55200">
        <w:rPr>
          <w:rFonts w:ascii="Times New Roman" w:eastAsia="Times New Roman" w:hAnsi="Times New Roman" w:cs="Times New Roman"/>
          <w:sz w:val="24"/>
          <w:szCs w:val="24"/>
        </w:rPr>
        <w:t xml:space="preserve"> potentes redes de equipamientos, especialmente las </w:t>
      </w:r>
      <w:r w:rsidR="0038021E" w:rsidRPr="00A55200">
        <w:rPr>
          <w:rFonts w:ascii="Times New Roman" w:eastAsia="Times New Roman" w:hAnsi="Times New Roman" w:cs="Times New Roman"/>
          <w:i/>
          <w:sz w:val="24"/>
          <w:szCs w:val="24"/>
        </w:rPr>
        <w:t>scénes nationales</w:t>
      </w:r>
      <w:r w:rsidR="0038021E" w:rsidRPr="00A55200">
        <w:rPr>
          <w:rFonts w:ascii="Times New Roman" w:eastAsia="Times New Roman" w:hAnsi="Times New Roman" w:cs="Times New Roman"/>
          <w:sz w:val="24"/>
          <w:szCs w:val="24"/>
        </w:rPr>
        <w:t xml:space="preserve"> y ofrecen una oferta variada y rica cultural en todo el territorio estatal. P</w:t>
      </w:r>
      <w:r w:rsidRPr="00A55200">
        <w:rPr>
          <w:rFonts w:ascii="Times New Roman" w:eastAsia="Times New Roman" w:hAnsi="Times New Roman" w:cs="Times New Roman"/>
          <w:sz w:val="24"/>
          <w:szCs w:val="24"/>
        </w:rPr>
        <w:t>or el contrario, en el Estado</w:t>
      </w:r>
      <w:r w:rsidR="00CD2C4A">
        <w:rPr>
          <w:rFonts w:ascii="Times New Roman" w:eastAsia="Times New Roman" w:hAnsi="Times New Roman" w:cs="Times New Roman"/>
          <w:sz w:val="24"/>
          <w:szCs w:val="24"/>
        </w:rPr>
        <w:t xml:space="preserve"> español y en otros países del s</w:t>
      </w:r>
      <w:r w:rsidRPr="00A55200">
        <w:rPr>
          <w:rFonts w:ascii="Times New Roman" w:eastAsia="Times New Roman" w:hAnsi="Times New Roman" w:cs="Times New Roman"/>
          <w:sz w:val="24"/>
          <w:szCs w:val="24"/>
        </w:rPr>
        <w:t xml:space="preserve">ur hay una gran dificultad para reorientar los grandes equipamientos que siguen bajo una gestión burocrática, en gran medida indiferente a las necesidades del público y sin una </w:t>
      </w:r>
      <w:r w:rsidR="006E280F" w:rsidRPr="00A55200">
        <w:rPr>
          <w:rFonts w:ascii="Times New Roman" w:eastAsia="Times New Roman" w:hAnsi="Times New Roman" w:cs="Times New Roman"/>
          <w:sz w:val="24"/>
          <w:szCs w:val="24"/>
        </w:rPr>
        <w:t>orientación</w:t>
      </w:r>
      <w:r w:rsidRPr="00A55200">
        <w:rPr>
          <w:rFonts w:ascii="Times New Roman" w:eastAsia="Times New Roman" w:hAnsi="Times New Roman" w:cs="Times New Roman"/>
          <w:sz w:val="24"/>
          <w:szCs w:val="24"/>
        </w:rPr>
        <w:t xml:space="preserve"> por parte de los gobiernos más allá de la reducción de gastos </w:t>
      </w:r>
      <w:r w:rsidRPr="00A55200">
        <w:rPr>
          <w:rFonts w:ascii="Times New Roman" w:eastAsia="Times New Roman" w:hAnsi="Times New Roman" w:cs="Times New Roman"/>
          <w:sz w:val="24"/>
          <w:szCs w:val="24"/>
        </w:rPr>
        <w:fldChar w:fldCharType="begin"/>
      </w:r>
      <w:r w:rsidRPr="00A55200">
        <w:rPr>
          <w:rFonts w:ascii="Times New Roman" w:eastAsia="Times New Roman" w:hAnsi="Times New Roman" w:cs="Times New Roman"/>
          <w:sz w:val="24"/>
          <w:szCs w:val="24"/>
        </w:rPr>
        <w:instrText>ADDIN RW.CITE{{2041 Rius-Ulldemolins, Joaquim 2016}}</w:instrText>
      </w:r>
      <w:r w:rsidRPr="00A55200">
        <w:rPr>
          <w:rFonts w:ascii="Times New Roman" w:eastAsia="Times New Roman" w:hAnsi="Times New Roman" w:cs="Times New Roman"/>
          <w:sz w:val="24"/>
          <w:szCs w:val="24"/>
        </w:rPr>
        <w:fldChar w:fldCharType="separate"/>
      </w:r>
      <w:r w:rsidR="00642426" w:rsidRPr="00A55200">
        <w:rPr>
          <w:rFonts w:ascii="Times New Roman" w:eastAsia="Times New Roman" w:hAnsi="Times New Roman" w:cs="Times New Roman"/>
          <w:sz w:val="24"/>
          <w:szCs w:val="24"/>
        </w:rPr>
        <w:t>(Rius-Ulldemolins y Rubio Arostegui, 2016)</w:t>
      </w:r>
      <w:r w:rsidRPr="00A55200">
        <w:rPr>
          <w:rFonts w:ascii="Times New Roman" w:eastAsia="Times New Roman" w:hAnsi="Times New Roman" w:cs="Times New Roman"/>
          <w:sz w:val="24"/>
          <w:szCs w:val="24"/>
        </w:rPr>
        <w:fldChar w:fldCharType="end"/>
      </w:r>
      <w:r w:rsidR="00375510" w:rsidRPr="00A55200">
        <w:rPr>
          <w:rFonts w:ascii="Times New Roman" w:eastAsia="Times New Roman" w:hAnsi="Times New Roman" w:cs="Times New Roman"/>
          <w:sz w:val="24"/>
          <w:szCs w:val="24"/>
        </w:rPr>
        <w:t>. Así, en el s</w:t>
      </w:r>
      <w:r w:rsidRPr="00A55200">
        <w:rPr>
          <w:rFonts w:ascii="Times New Roman" w:eastAsia="Times New Roman" w:hAnsi="Times New Roman" w:cs="Times New Roman"/>
          <w:sz w:val="24"/>
          <w:szCs w:val="24"/>
        </w:rPr>
        <w:t>ur muchos de los equipamientos más dinám</w:t>
      </w:r>
      <w:r w:rsidR="006C7B80" w:rsidRPr="00A55200">
        <w:rPr>
          <w:rFonts w:ascii="Times New Roman" w:eastAsia="Times New Roman" w:hAnsi="Times New Roman" w:cs="Times New Roman"/>
          <w:sz w:val="24"/>
          <w:szCs w:val="24"/>
        </w:rPr>
        <w:t>ico</w:t>
      </w:r>
      <w:r w:rsidR="00CD2C4A">
        <w:rPr>
          <w:rFonts w:ascii="Times New Roman" w:eastAsia="Times New Roman" w:hAnsi="Times New Roman" w:cs="Times New Roman"/>
          <w:sz w:val="24"/>
          <w:szCs w:val="24"/>
        </w:rPr>
        <w:t>s (L</w:t>
      </w:r>
      <w:r w:rsidR="006C7B80" w:rsidRPr="00A55200">
        <w:rPr>
          <w:rFonts w:ascii="Times New Roman" w:eastAsia="Times New Roman" w:hAnsi="Times New Roman" w:cs="Times New Roman"/>
          <w:sz w:val="24"/>
          <w:szCs w:val="24"/>
        </w:rPr>
        <w:t>a Caixa en España, Gulben</w:t>
      </w:r>
      <w:r w:rsidRPr="00A55200">
        <w:rPr>
          <w:rFonts w:ascii="Times New Roman" w:eastAsia="Times New Roman" w:hAnsi="Times New Roman" w:cs="Times New Roman"/>
          <w:sz w:val="24"/>
          <w:szCs w:val="24"/>
        </w:rPr>
        <w:t xml:space="preserve">kian en Portugal por </w:t>
      </w:r>
      <w:r w:rsidR="006C7B80" w:rsidRPr="00A55200">
        <w:rPr>
          <w:rFonts w:ascii="Times New Roman" w:eastAsia="Times New Roman" w:hAnsi="Times New Roman" w:cs="Times New Roman"/>
          <w:sz w:val="24"/>
          <w:szCs w:val="24"/>
        </w:rPr>
        <w:t>ejemplo)</w:t>
      </w:r>
      <w:r w:rsidRPr="00A55200">
        <w:rPr>
          <w:rFonts w:ascii="Times New Roman" w:eastAsia="Times New Roman" w:hAnsi="Times New Roman" w:cs="Times New Roman"/>
          <w:sz w:val="24"/>
          <w:szCs w:val="24"/>
        </w:rPr>
        <w:t xml:space="preserve"> son impulsados por fundaciones privadas, aunque también </w:t>
      </w:r>
      <w:r w:rsidR="006E280F" w:rsidRPr="00A55200">
        <w:rPr>
          <w:rFonts w:ascii="Times New Roman" w:eastAsia="Times New Roman" w:hAnsi="Times New Roman" w:cs="Times New Roman"/>
          <w:sz w:val="24"/>
          <w:szCs w:val="24"/>
        </w:rPr>
        <w:t>suponen</w:t>
      </w:r>
      <w:r w:rsidRPr="00A55200">
        <w:rPr>
          <w:rFonts w:ascii="Times New Roman" w:eastAsia="Times New Roman" w:hAnsi="Times New Roman" w:cs="Times New Roman"/>
          <w:sz w:val="24"/>
          <w:szCs w:val="24"/>
        </w:rPr>
        <w:t xml:space="preserve"> un reconocimiento de la debilidad del Estado y una omisión en responder a los derechos sociales y culturales cada vez más limitados por la crisis y los recortes </w:t>
      </w:r>
      <w:r w:rsidRPr="00A55200">
        <w:rPr>
          <w:rFonts w:ascii="Times New Roman" w:eastAsia="Times New Roman" w:hAnsi="Times New Roman" w:cs="Times New Roman"/>
          <w:sz w:val="24"/>
          <w:szCs w:val="24"/>
        </w:rPr>
        <w:fldChar w:fldCharType="begin"/>
      </w:r>
      <w:r w:rsidRPr="00A55200">
        <w:rPr>
          <w:rFonts w:ascii="Times New Roman" w:eastAsia="Times New Roman" w:hAnsi="Times New Roman" w:cs="Times New Roman"/>
          <w:sz w:val="24"/>
          <w:szCs w:val="24"/>
        </w:rPr>
        <w:instrText>ADDIN RW.CITE{{2381 Rubio Arostegui, Juan Arturo 2018}}</w:instrText>
      </w:r>
      <w:r w:rsidRPr="00A55200">
        <w:rPr>
          <w:rFonts w:ascii="Times New Roman" w:eastAsia="Times New Roman" w:hAnsi="Times New Roman" w:cs="Times New Roman"/>
          <w:sz w:val="24"/>
          <w:szCs w:val="24"/>
        </w:rPr>
        <w:fldChar w:fldCharType="separate"/>
      </w:r>
      <w:r w:rsidR="00642426" w:rsidRPr="00A55200">
        <w:rPr>
          <w:rFonts w:ascii="Times New Roman" w:eastAsia="Times New Roman" w:hAnsi="Times New Roman" w:cs="Times New Roman"/>
          <w:sz w:val="24"/>
          <w:szCs w:val="24"/>
        </w:rPr>
        <w:t>(Rubio Arostegui y Rius-Ulldemolins, 2018)</w:t>
      </w:r>
      <w:r w:rsidRPr="00A55200">
        <w:rPr>
          <w:rFonts w:ascii="Times New Roman" w:eastAsia="Times New Roman" w:hAnsi="Times New Roman" w:cs="Times New Roman"/>
          <w:sz w:val="24"/>
          <w:szCs w:val="24"/>
        </w:rPr>
        <w:fldChar w:fldCharType="end"/>
      </w:r>
      <w:r w:rsidRPr="00A55200">
        <w:rPr>
          <w:rFonts w:ascii="Times New Roman" w:eastAsia="Times New Roman" w:hAnsi="Times New Roman" w:cs="Times New Roman"/>
          <w:sz w:val="24"/>
          <w:szCs w:val="24"/>
        </w:rPr>
        <w:t xml:space="preserve">. </w:t>
      </w:r>
      <w:r w:rsidR="00D94159" w:rsidRPr="00A55200">
        <w:rPr>
          <w:rFonts w:ascii="Times New Roman" w:eastAsia="Times New Roman" w:hAnsi="Times New Roman" w:cs="Times New Roman"/>
          <w:sz w:val="24"/>
          <w:szCs w:val="24"/>
        </w:rPr>
        <w:t xml:space="preserve">En todo caso, </w:t>
      </w:r>
      <w:r w:rsidR="006E280F" w:rsidRPr="00A55200">
        <w:rPr>
          <w:rFonts w:ascii="Times New Roman" w:eastAsia="Times New Roman" w:hAnsi="Times New Roman" w:cs="Times New Roman"/>
          <w:sz w:val="24"/>
          <w:szCs w:val="24"/>
        </w:rPr>
        <w:t xml:space="preserve">la realidad de los equipamientos </w:t>
      </w:r>
      <w:r w:rsidR="00CD2C4A">
        <w:rPr>
          <w:rFonts w:ascii="Times New Roman" w:eastAsia="Times New Roman" w:hAnsi="Times New Roman" w:cs="Times New Roman"/>
          <w:sz w:val="24"/>
          <w:szCs w:val="24"/>
        </w:rPr>
        <w:t>culturales del s</w:t>
      </w:r>
      <w:r w:rsidR="006C7B80" w:rsidRPr="00A55200">
        <w:rPr>
          <w:rFonts w:ascii="Times New Roman" w:eastAsia="Times New Roman" w:hAnsi="Times New Roman" w:cs="Times New Roman"/>
          <w:sz w:val="24"/>
          <w:szCs w:val="24"/>
        </w:rPr>
        <w:t xml:space="preserve">ur de Europa contrasta </w:t>
      </w:r>
      <w:r w:rsidR="00D94159" w:rsidRPr="00A55200">
        <w:rPr>
          <w:rFonts w:ascii="Times New Roman" w:eastAsia="Times New Roman" w:hAnsi="Times New Roman" w:cs="Times New Roman"/>
          <w:sz w:val="24"/>
          <w:szCs w:val="24"/>
        </w:rPr>
        <w:t>con el modelo nórdico en el que prima la participación en la cultura en un sentido especialmente integrador</w:t>
      </w:r>
      <w:r w:rsidR="009148F2" w:rsidRPr="00A55200">
        <w:rPr>
          <w:rFonts w:ascii="Times New Roman" w:eastAsia="Times New Roman" w:hAnsi="Times New Roman" w:cs="Times New Roman"/>
          <w:sz w:val="24"/>
          <w:szCs w:val="24"/>
        </w:rPr>
        <w:t>, tolerante</w:t>
      </w:r>
      <w:r w:rsidR="00D94159" w:rsidRPr="00A55200">
        <w:rPr>
          <w:rFonts w:ascii="Times New Roman" w:eastAsia="Times New Roman" w:hAnsi="Times New Roman" w:cs="Times New Roman"/>
          <w:sz w:val="24"/>
          <w:szCs w:val="24"/>
        </w:rPr>
        <w:t xml:space="preserve"> e igualitario </w:t>
      </w:r>
      <w:r w:rsidR="00D94159" w:rsidRPr="00A55200">
        <w:rPr>
          <w:rFonts w:ascii="Times New Roman" w:eastAsia="Times New Roman" w:hAnsi="Times New Roman" w:cs="Times New Roman"/>
          <w:sz w:val="24"/>
          <w:szCs w:val="24"/>
        </w:rPr>
        <w:fldChar w:fldCharType="begin"/>
      </w:r>
      <w:r w:rsidR="00D94159" w:rsidRPr="00A55200">
        <w:rPr>
          <w:rFonts w:ascii="Times New Roman" w:eastAsia="Times New Roman" w:hAnsi="Times New Roman" w:cs="Times New Roman"/>
          <w:sz w:val="24"/>
          <w:szCs w:val="24"/>
        </w:rPr>
        <w:instrText>ADDIN RW.CITE{{2056 Duelund,Peter 2008}}</w:instrText>
      </w:r>
      <w:r w:rsidR="00D94159" w:rsidRPr="00A55200">
        <w:rPr>
          <w:rFonts w:ascii="Times New Roman" w:eastAsia="Times New Roman" w:hAnsi="Times New Roman" w:cs="Times New Roman"/>
          <w:sz w:val="24"/>
          <w:szCs w:val="24"/>
        </w:rPr>
        <w:fldChar w:fldCharType="separate"/>
      </w:r>
      <w:r w:rsidR="00642426" w:rsidRPr="00A55200">
        <w:rPr>
          <w:rFonts w:ascii="Times New Roman" w:eastAsia="Times New Roman" w:hAnsi="Times New Roman" w:cs="Times New Roman"/>
          <w:sz w:val="24"/>
          <w:szCs w:val="24"/>
        </w:rPr>
        <w:t>(Duelund, 2008)</w:t>
      </w:r>
      <w:r w:rsidR="00D94159" w:rsidRPr="00A55200">
        <w:rPr>
          <w:rFonts w:ascii="Times New Roman" w:eastAsia="Times New Roman" w:hAnsi="Times New Roman" w:cs="Times New Roman"/>
          <w:sz w:val="24"/>
          <w:szCs w:val="24"/>
        </w:rPr>
        <w:fldChar w:fldCharType="end"/>
      </w:r>
      <w:r w:rsidR="00D94159" w:rsidRPr="00A55200">
        <w:rPr>
          <w:rFonts w:ascii="Times New Roman" w:eastAsia="Times New Roman" w:hAnsi="Times New Roman" w:cs="Times New Roman"/>
          <w:sz w:val="24"/>
          <w:szCs w:val="24"/>
        </w:rPr>
        <w:t>.</w:t>
      </w:r>
      <w:r w:rsidR="009148F2" w:rsidRPr="00A55200">
        <w:rPr>
          <w:rFonts w:ascii="Times New Roman" w:eastAsia="Times New Roman" w:hAnsi="Times New Roman" w:cs="Times New Roman"/>
          <w:sz w:val="24"/>
          <w:szCs w:val="24"/>
        </w:rPr>
        <w:t xml:space="preserve"> En este caso la institución cultural central de este modelo es la biblioteca pública como expresión del modelo de democracia cultural que, a pesar de que también ha asumido el rol de elemento bandera para la regeneración y el </w:t>
      </w:r>
      <w:r w:rsidR="009148F2" w:rsidRPr="00A55200">
        <w:rPr>
          <w:rFonts w:ascii="Times New Roman" w:eastAsia="Times New Roman" w:hAnsi="Times New Roman" w:cs="Times New Roman"/>
          <w:i/>
          <w:sz w:val="24"/>
          <w:szCs w:val="24"/>
        </w:rPr>
        <w:t>branding</w:t>
      </w:r>
      <w:r w:rsidR="009148F2" w:rsidRPr="00A55200">
        <w:rPr>
          <w:rFonts w:ascii="Times New Roman" w:eastAsia="Times New Roman" w:hAnsi="Times New Roman" w:cs="Times New Roman"/>
          <w:sz w:val="24"/>
          <w:szCs w:val="24"/>
        </w:rPr>
        <w:t xml:space="preserve"> urbano, ha sabido combinarlo con una propuesta abierta al servicio la ciudadanía </w:t>
      </w:r>
      <w:r w:rsidR="009148F2" w:rsidRPr="00A55200">
        <w:rPr>
          <w:rFonts w:ascii="Times New Roman" w:eastAsia="Times New Roman" w:hAnsi="Times New Roman" w:cs="Times New Roman"/>
          <w:sz w:val="24"/>
          <w:szCs w:val="24"/>
        </w:rPr>
        <w:fldChar w:fldCharType="begin"/>
      </w:r>
      <w:r w:rsidR="009148F2" w:rsidRPr="00A55200">
        <w:rPr>
          <w:rFonts w:ascii="Times New Roman" w:eastAsia="Times New Roman" w:hAnsi="Times New Roman" w:cs="Times New Roman"/>
          <w:sz w:val="24"/>
          <w:szCs w:val="24"/>
        </w:rPr>
        <w:instrText>ADDIN RW.CITE{{2484 Kangas,Anita 2010}}</w:instrText>
      </w:r>
      <w:r w:rsidR="009148F2" w:rsidRPr="00A55200">
        <w:rPr>
          <w:rFonts w:ascii="Times New Roman" w:eastAsia="Times New Roman" w:hAnsi="Times New Roman" w:cs="Times New Roman"/>
          <w:sz w:val="24"/>
          <w:szCs w:val="24"/>
        </w:rPr>
        <w:fldChar w:fldCharType="separate"/>
      </w:r>
      <w:r w:rsidR="00642426" w:rsidRPr="00A55200">
        <w:rPr>
          <w:rFonts w:ascii="Times New Roman" w:eastAsia="Times New Roman" w:hAnsi="Times New Roman" w:cs="Times New Roman"/>
          <w:sz w:val="24"/>
          <w:szCs w:val="24"/>
        </w:rPr>
        <w:t>(Kangas y Vestheim, 2010)</w:t>
      </w:r>
      <w:r w:rsidR="009148F2" w:rsidRPr="00A55200">
        <w:rPr>
          <w:rFonts w:ascii="Times New Roman" w:eastAsia="Times New Roman" w:hAnsi="Times New Roman" w:cs="Times New Roman"/>
          <w:sz w:val="24"/>
          <w:szCs w:val="24"/>
        </w:rPr>
        <w:fldChar w:fldCharType="end"/>
      </w:r>
      <w:r w:rsidR="009148F2" w:rsidRPr="00A55200">
        <w:rPr>
          <w:rFonts w:ascii="Times New Roman" w:eastAsia="Times New Roman" w:hAnsi="Times New Roman" w:cs="Times New Roman"/>
          <w:sz w:val="24"/>
          <w:szCs w:val="24"/>
        </w:rPr>
        <w:t>. Es</w:t>
      </w:r>
      <w:r w:rsidR="006E280F" w:rsidRPr="00A55200">
        <w:rPr>
          <w:rFonts w:ascii="Times New Roman" w:eastAsia="Times New Roman" w:hAnsi="Times New Roman" w:cs="Times New Roman"/>
          <w:sz w:val="24"/>
          <w:szCs w:val="24"/>
        </w:rPr>
        <w:t>tos</w:t>
      </w:r>
      <w:r w:rsidR="009148F2" w:rsidRPr="00A55200">
        <w:rPr>
          <w:rFonts w:ascii="Times New Roman" w:eastAsia="Times New Roman" w:hAnsi="Times New Roman" w:cs="Times New Roman"/>
          <w:sz w:val="24"/>
          <w:szCs w:val="24"/>
        </w:rPr>
        <w:t xml:space="preserve"> </w:t>
      </w:r>
      <w:r w:rsidR="006E280F" w:rsidRPr="00A55200">
        <w:rPr>
          <w:rFonts w:ascii="Times New Roman" w:eastAsia="Times New Roman" w:hAnsi="Times New Roman" w:cs="Times New Roman"/>
          <w:sz w:val="24"/>
          <w:szCs w:val="24"/>
        </w:rPr>
        <w:t>equipamientos</w:t>
      </w:r>
      <w:r w:rsidR="009148F2" w:rsidRPr="00A55200">
        <w:rPr>
          <w:rFonts w:ascii="Times New Roman" w:eastAsia="Times New Roman" w:hAnsi="Times New Roman" w:cs="Times New Roman"/>
          <w:sz w:val="24"/>
          <w:szCs w:val="24"/>
        </w:rPr>
        <w:t xml:space="preserve"> de gran éxito tienen </w:t>
      </w:r>
      <w:r w:rsidR="009148F2" w:rsidRPr="00A55200">
        <w:rPr>
          <w:rFonts w:ascii="Times New Roman" w:eastAsia="Times New Roman" w:hAnsi="Times New Roman" w:cs="Times New Roman"/>
          <w:sz w:val="24"/>
          <w:szCs w:val="24"/>
        </w:rPr>
        <w:lastRenderedPageBreak/>
        <w:t xml:space="preserve">amplios espacios, horarios con espacios abiertos e híbridos entre la ciudad y el espacio cultural y a los nuevos usos de la juventud y la infancia, con espacios de juego y lectura combinados. </w:t>
      </w:r>
      <w:r w:rsidR="0070314E" w:rsidRPr="00A55200">
        <w:rPr>
          <w:rFonts w:ascii="Times New Roman" w:eastAsia="Times New Roman" w:hAnsi="Times New Roman" w:cs="Times New Roman"/>
          <w:sz w:val="24"/>
          <w:szCs w:val="24"/>
        </w:rPr>
        <w:t xml:space="preserve">También contrasta con la gobernanza de los equipamientos y el papel de los patronos en el modelo liberal </w:t>
      </w:r>
      <w:r w:rsidR="004E6AB5" w:rsidRPr="00A55200">
        <w:rPr>
          <w:rFonts w:ascii="Times New Roman" w:eastAsia="Times New Roman" w:hAnsi="Times New Roman" w:cs="Times New Roman"/>
          <w:sz w:val="24"/>
          <w:szCs w:val="24"/>
        </w:rPr>
        <w:t xml:space="preserve">anglosajón </w:t>
      </w:r>
      <w:r w:rsidR="0070314E" w:rsidRPr="00A55200">
        <w:rPr>
          <w:rFonts w:ascii="Times New Roman" w:eastAsia="Times New Roman" w:hAnsi="Times New Roman" w:cs="Times New Roman"/>
          <w:sz w:val="24"/>
          <w:szCs w:val="24"/>
        </w:rPr>
        <w:t xml:space="preserve">en el que el patronato </w:t>
      </w:r>
      <w:r w:rsidR="0070314E" w:rsidRPr="00466961">
        <w:rPr>
          <w:rFonts w:ascii="Times New Roman" w:eastAsia="Times New Roman" w:hAnsi="Times New Roman" w:cs="Times New Roman"/>
          <w:sz w:val="24"/>
          <w:szCs w:val="24"/>
        </w:rPr>
        <w:t>(</w:t>
      </w:r>
      <w:r w:rsidR="0070314E" w:rsidRPr="00A55200">
        <w:rPr>
          <w:rFonts w:ascii="Times New Roman" w:eastAsia="Times New Roman" w:hAnsi="Times New Roman" w:cs="Times New Roman"/>
          <w:i/>
          <w:sz w:val="24"/>
          <w:szCs w:val="24"/>
        </w:rPr>
        <w:t>board</w:t>
      </w:r>
      <w:r w:rsidR="0070314E" w:rsidRPr="00466961">
        <w:rPr>
          <w:rFonts w:ascii="Times New Roman" w:eastAsia="Times New Roman" w:hAnsi="Times New Roman" w:cs="Times New Roman"/>
          <w:sz w:val="24"/>
          <w:szCs w:val="24"/>
        </w:rPr>
        <w:t>)</w:t>
      </w:r>
      <w:r w:rsidR="00A55200">
        <w:rPr>
          <w:rFonts w:ascii="Times New Roman" w:eastAsia="Times New Roman" w:hAnsi="Times New Roman" w:cs="Times New Roman"/>
          <w:i/>
          <w:sz w:val="24"/>
          <w:szCs w:val="24"/>
        </w:rPr>
        <w:t xml:space="preserve"> </w:t>
      </w:r>
      <w:r w:rsidR="0070314E" w:rsidRPr="00A55200">
        <w:rPr>
          <w:rFonts w:ascii="Times New Roman" w:eastAsia="Times New Roman" w:hAnsi="Times New Roman" w:cs="Times New Roman"/>
          <w:sz w:val="24"/>
          <w:szCs w:val="24"/>
        </w:rPr>
        <w:t>responde a una representación pluralista de los agentes implicados en cada infraestructura artística o cultural y se complementa con una dirección artística y en donde se constata unos mejores indicadores de evaluación de la gestión y rendición de cuentas, fre</w:t>
      </w:r>
      <w:r w:rsidR="003C7758" w:rsidRPr="00A55200">
        <w:rPr>
          <w:rFonts w:ascii="Times New Roman" w:eastAsia="Times New Roman" w:hAnsi="Times New Roman" w:cs="Times New Roman"/>
          <w:sz w:val="24"/>
          <w:szCs w:val="24"/>
        </w:rPr>
        <w:t>nte al modelo de los equipamientos de sur de Europa, caracterizado por una gobernanza en la que no tiene cabida ni el pluralismo de los agentes ni la evaluación de la gesti</w:t>
      </w:r>
      <w:r w:rsidR="005D31FE" w:rsidRPr="00A55200">
        <w:rPr>
          <w:rFonts w:ascii="Times New Roman" w:eastAsia="Times New Roman" w:hAnsi="Times New Roman" w:cs="Times New Roman"/>
          <w:sz w:val="24"/>
          <w:szCs w:val="24"/>
        </w:rPr>
        <w:t>ón (Rius-Ulldemolins y Rubio-Arostegui, 2016).</w:t>
      </w:r>
    </w:p>
    <w:p w14:paraId="6D4CE548" w14:textId="77777777" w:rsidR="005D31FE" w:rsidRPr="00A55200" w:rsidRDefault="005D31FE" w:rsidP="007829E5">
      <w:pPr>
        <w:spacing w:after="0" w:line="480" w:lineRule="auto"/>
        <w:rPr>
          <w:rFonts w:ascii="Times New Roman" w:eastAsia="Times New Roman" w:hAnsi="Times New Roman" w:cs="Times New Roman"/>
          <w:color w:val="365F91" w:themeColor="accent1" w:themeShade="BF"/>
          <w:sz w:val="24"/>
          <w:szCs w:val="24"/>
        </w:rPr>
      </w:pPr>
    </w:p>
    <w:p w14:paraId="3A04EA33" w14:textId="77777777" w:rsidR="00A360B4" w:rsidRPr="00A55200" w:rsidRDefault="00A360B4" w:rsidP="007829E5">
      <w:pPr>
        <w:spacing w:after="0" w:line="480" w:lineRule="auto"/>
        <w:rPr>
          <w:rFonts w:ascii="Times New Roman" w:eastAsia="Times New Roman" w:hAnsi="Times New Roman" w:cs="Times New Roman"/>
          <w:b/>
          <w:sz w:val="24"/>
          <w:szCs w:val="24"/>
        </w:rPr>
      </w:pPr>
      <w:r w:rsidRPr="00A55200">
        <w:rPr>
          <w:rFonts w:ascii="Times New Roman" w:eastAsia="Times New Roman" w:hAnsi="Times New Roman" w:cs="Times New Roman"/>
          <w:b/>
          <w:sz w:val="24"/>
          <w:szCs w:val="24"/>
        </w:rPr>
        <w:t>Conclusiones</w:t>
      </w:r>
    </w:p>
    <w:p w14:paraId="699987DB" w14:textId="77777777" w:rsidR="003C7758" w:rsidRPr="00A55200" w:rsidRDefault="003C7758" w:rsidP="007829E5">
      <w:pPr>
        <w:spacing w:after="0" w:line="480" w:lineRule="auto"/>
        <w:rPr>
          <w:rFonts w:ascii="Times New Roman" w:eastAsia="Times New Roman" w:hAnsi="Times New Roman" w:cs="Times New Roman"/>
          <w:color w:val="000000" w:themeColor="text1"/>
          <w:sz w:val="24"/>
          <w:szCs w:val="24"/>
        </w:rPr>
      </w:pPr>
      <w:r w:rsidRPr="00A55200">
        <w:rPr>
          <w:rFonts w:ascii="Times New Roman" w:eastAsia="Times New Roman" w:hAnsi="Times New Roman" w:cs="Times New Roman"/>
          <w:color w:val="000000" w:themeColor="text1"/>
          <w:sz w:val="24"/>
          <w:szCs w:val="24"/>
        </w:rPr>
        <w:t xml:space="preserve">Las políticas </w:t>
      </w:r>
      <w:r w:rsidR="002D7060" w:rsidRPr="00A55200">
        <w:rPr>
          <w:rFonts w:ascii="Times New Roman" w:eastAsia="Times New Roman" w:hAnsi="Times New Roman" w:cs="Times New Roman"/>
          <w:color w:val="000000" w:themeColor="text1"/>
          <w:sz w:val="24"/>
          <w:szCs w:val="24"/>
        </w:rPr>
        <w:t>culturales democratizadoras</w:t>
      </w:r>
      <w:r w:rsidRPr="00A55200">
        <w:rPr>
          <w:rFonts w:ascii="Times New Roman" w:eastAsia="Times New Roman" w:hAnsi="Times New Roman" w:cs="Times New Roman"/>
          <w:color w:val="000000" w:themeColor="text1"/>
          <w:sz w:val="24"/>
          <w:szCs w:val="24"/>
        </w:rPr>
        <w:t xml:space="preserve"> de los estados europeos </w:t>
      </w:r>
      <w:r w:rsidR="00EB074B" w:rsidRPr="00A55200">
        <w:rPr>
          <w:rFonts w:ascii="Times New Roman" w:eastAsia="Times New Roman" w:hAnsi="Times New Roman" w:cs="Times New Roman"/>
          <w:color w:val="000000" w:themeColor="text1"/>
          <w:sz w:val="24"/>
          <w:szCs w:val="24"/>
        </w:rPr>
        <w:t>han tenido un</w:t>
      </w:r>
      <w:r w:rsidR="008410B0" w:rsidRPr="00A55200">
        <w:rPr>
          <w:rFonts w:ascii="Times New Roman" w:eastAsia="Times New Roman" w:hAnsi="Times New Roman" w:cs="Times New Roman"/>
          <w:color w:val="000000" w:themeColor="text1"/>
          <w:sz w:val="24"/>
          <w:szCs w:val="24"/>
        </w:rPr>
        <w:t>a</w:t>
      </w:r>
      <w:r w:rsidR="00EB074B" w:rsidRPr="00A55200">
        <w:rPr>
          <w:rFonts w:ascii="Times New Roman" w:eastAsia="Times New Roman" w:hAnsi="Times New Roman" w:cs="Times New Roman"/>
          <w:color w:val="000000" w:themeColor="text1"/>
          <w:sz w:val="24"/>
          <w:szCs w:val="24"/>
        </w:rPr>
        <w:t xml:space="preserve"> cierta tendencia a la europeización</w:t>
      </w:r>
      <w:r w:rsidR="008410B0" w:rsidRPr="00A55200">
        <w:rPr>
          <w:rFonts w:ascii="Times New Roman" w:eastAsia="Times New Roman" w:hAnsi="Times New Roman" w:cs="Times New Roman"/>
          <w:color w:val="000000" w:themeColor="text1"/>
          <w:sz w:val="24"/>
          <w:szCs w:val="24"/>
        </w:rPr>
        <w:t xml:space="preserve">. </w:t>
      </w:r>
      <w:r w:rsidR="00695E41" w:rsidRPr="00A55200">
        <w:rPr>
          <w:rFonts w:ascii="Times New Roman" w:eastAsia="Times New Roman" w:hAnsi="Times New Roman" w:cs="Times New Roman"/>
          <w:color w:val="000000" w:themeColor="text1"/>
          <w:sz w:val="24"/>
          <w:szCs w:val="24"/>
        </w:rPr>
        <w:t>Los gobiernos multinivel han tendido desde distintas herramientas a fomentar la cultura y facilitar y democratizar el acceso a los ciudadanos desde la evidencia de una desigualdad basada en la clase social y el capital educativo.</w:t>
      </w:r>
      <w:r w:rsidR="00AA5F88" w:rsidRPr="00A55200">
        <w:rPr>
          <w:rFonts w:ascii="Times New Roman" w:eastAsia="Times New Roman" w:hAnsi="Times New Roman" w:cs="Times New Roman"/>
          <w:color w:val="000000" w:themeColor="text1"/>
          <w:sz w:val="24"/>
          <w:szCs w:val="24"/>
        </w:rPr>
        <w:t xml:space="preserve"> Se trata en todos los casos con sutiles diferencias de una</w:t>
      </w:r>
      <w:r w:rsidR="00AA5F88" w:rsidRPr="00A55200">
        <w:rPr>
          <w:rFonts w:ascii="Times New Roman" w:hAnsi="Times New Roman" w:cs="Times New Roman"/>
        </w:rPr>
        <w:t xml:space="preserve"> </w:t>
      </w:r>
      <w:r w:rsidR="00AA5F88" w:rsidRPr="00A55200">
        <w:rPr>
          <w:rFonts w:ascii="Times New Roman" w:eastAsia="Times New Roman" w:hAnsi="Times New Roman" w:cs="Times New Roman"/>
          <w:color w:val="000000" w:themeColor="text1"/>
          <w:sz w:val="24"/>
          <w:szCs w:val="24"/>
        </w:rPr>
        <w:t>cultura institucionalizada, la cultura objetivada, la cultura que promueve el estado en sus distintos niveles de gobierno e instituciones culturales, que ha de ser socializada a través de un proceso de aprendizaje más o menos formal o no formal.</w:t>
      </w:r>
      <w:r w:rsidR="00A55200">
        <w:rPr>
          <w:rFonts w:ascii="Times New Roman" w:eastAsia="Times New Roman" w:hAnsi="Times New Roman" w:cs="Times New Roman"/>
          <w:color w:val="000000" w:themeColor="text1"/>
          <w:sz w:val="24"/>
          <w:szCs w:val="24"/>
        </w:rPr>
        <w:t xml:space="preserve"> </w:t>
      </w:r>
      <w:r w:rsidR="00AA5F88" w:rsidRPr="00A55200">
        <w:rPr>
          <w:rFonts w:ascii="Times New Roman" w:eastAsia="Times New Roman" w:hAnsi="Times New Roman" w:cs="Times New Roman"/>
          <w:color w:val="000000" w:themeColor="text1"/>
          <w:sz w:val="24"/>
          <w:szCs w:val="24"/>
        </w:rPr>
        <w:t>Una de las herramientas democratizadoras radica en el</w:t>
      </w:r>
      <w:r w:rsidR="00695E41" w:rsidRPr="00A55200">
        <w:rPr>
          <w:rFonts w:ascii="Times New Roman" w:eastAsia="Times New Roman" w:hAnsi="Times New Roman" w:cs="Times New Roman"/>
          <w:color w:val="000000" w:themeColor="text1"/>
          <w:sz w:val="24"/>
          <w:szCs w:val="24"/>
        </w:rPr>
        <w:t xml:space="preserve"> apoyo más o menos directo</w:t>
      </w:r>
      <w:r w:rsidR="005D31FE" w:rsidRPr="00A55200">
        <w:rPr>
          <w:rFonts w:ascii="Times New Roman" w:eastAsia="Times New Roman" w:hAnsi="Times New Roman" w:cs="Times New Roman"/>
          <w:color w:val="000000" w:themeColor="text1"/>
          <w:sz w:val="24"/>
          <w:szCs w:val="24"/>
        </w:rPr>
        <w:t xml:space="preserve"> por parte de los estados</w:t>
      </w:r>
      <w:r w:rsidR="00695E41" w:rsidRPr="00A55200">
        <w:rPr>
          <w:rFonts w:ascii="Times New Roman" w:eastAsia="Times New Roman" w:hAnsi="Times New Roman" w:cs="Times New Roman"/>
          <w:color w:val="000000" w:themeColor="text1"/>
          <w:sz w:val="24"/>
          <w:szCs w:val="24"/>
        </w:rPr>
        <w:t xml:space="preserve"> a las profesiones artísticas (Menger</w:t>
      </w:r>
      <w:r w:rsidR="00FB256E" w:rsidRPr="00A55200">
        <w:rPr>
          <w:rFonts w:ascii="Times New Roman" w:eastAsia="Times New Roman" w:hAnsi="Times New Roman" w:cs="Times New Roman"/>
          <w:color w:val="000000" w:themeColor="text1"/>
          <w:sz w:val="24"/>
          <w:szCs w:val="24"/>
        </w:rPr>
        <w:t>, 2016</w:t>
      </w:r>
      <w:r w:rsidR="005D31FE" w:rsidRPr="00A55200">
        <w:rPr>
          <w:rFonts w:ascii="Times New Roman" w:eastAsia="Times New Roman" w:hAnsi="Times New Roman" w:cs="Times New Roman"/>
          <w:color w:val="000000" w:themeColor="text1"/>
          <w:sz w:val="24"/>
          <w:szCs w:val="24"/>
        </w:rPr>
        <w:t xml:space="preserve">), si </w:t>
      </w:r>
      <w:r w:rsidR="002D7060" w:rsidRPr="00A55200">
        <w:rPr>
          <w:rFonts w:ascii="Times New Roman" w:eastAsia="Times New Roman" w:hAnsi="Times New Roman" w:cs="Times New Roman"/>
          <w:color w:val="000000" w:themeColor="text1"/>
          <w:sz w:val="24"/>
          <w:szCs w:val="24"/>
        </w:rPr>
        <w:t>bien se</w:t>
      </w:r>
      <w:r w:rsidR="00695E41" w:rsidRPr="00A55200">
        <w:rPr>
          <w:rFonts w:ascii="Times New Roman" w:eastAsia="Times New Roman" w:hAnsi="Times New Roman" w:cs="Times New Roman"/>
          <w:color w:val="000000" w:themeColor="text1"/>
          <w:sz w:val="24"/>
          <w:szCs w:val="24"/>
        </w:rPr>
        <w:t xml:space="preserve"> está erosionando como consecuencia de los recortes de los presupuestos públicos, el tránsito a la cultura digital, un incremento de los </w:t>
      </w:r>
      <w:r w:rsidR="00695E41" w:rsidRPr="00A55200">
        <w:rPr>
          <w:rFonts w:ascii="Times New Roman" w:eastAsia="Times New Roman" w:hAnsi="Times New Roman" w:cs="Times New Roman"/>
          <w:i/>
          <w:color w:val="000000" w:themeColor="text1"/>
          <w:sz w:val="24"/>
          <w:szCs w:val="24"/>
        </w:rPr>
        <w:t>outsiders</w:t>
      </w:r>
      <w:r w:rsidR="00695E41" w:rsidRPr="00A55200">
        <w:rPr>
          <w:rFonts w:ascii="Times New Roman" w:eastAsia="Times New Roman" w:hAnsi="Times New Roman" w:cs="Times New Roman"/>
          <w:color w:val="000000" w:themeColor="text1"/>
          <w:sz w:val="24"/>
          <w:szCs w:val="24"/>
        </w:rPr>
        <w:t xml:space="preserve"> artistas frent</w:t>
      </w:r>
      <w:r w:rsidR="00514CB1" w:rsidRPr="00A55200">
        <w:rPr>
          <w:rFonts w:ascii="Times New Roman" w:eastAsia="Times New Roman" w:hAnsi="Times New Roman" w:cs="Times New Roman"/>
          <w:color w:val="000000" w:themeColor="text1"/>
          <w:sz w:val="24"/>
          <w:szCs w:val="24"/>
        </w:rPr>
        <w:t>e un mercado en contracción y una</w:t>
      </w:r>
      <w:r w:rsidR="00695E41" w:rsidRPr="00A55200">
        <w:rPr>
          <w:rFonts w:ascii="Times New Roman" w:eastAsia="Times New Roman" w:hAnsi="Times New Roman" w:cs="Times New Roman"/>
          <w:color w:val="000000" w:themeColor="text1"/>
          <w:sz w:val="24"/>
          <w:szCs w:val="24"/>
        </w:rPr>
        <w:t xml:space="preserve"> participación cultural menguante tal como demuestra las encuestas europeas. </w:t>
      </w:r>
    </w:p>
    <w:p w14:paraId="41FDDAE3" w14:textId="77777777" w:rsidR="008760B6" w:rsidRPr="00A55200" w:rsidRDefault="008760B6" w:rsidP="007829E5">
      <w:pPr>
        <w:spacing w:after="0" w:line="480" w:lineRule="auto"/>
        <w:rPr>
          <w:rFonts w:ascii="Times New Roman" w:eastAsia="Times New Roman" w:hAnsi="Times New Roman" w:cs="Times New Roman"/>
          <w:color w:val="000000" w:themeColor="text1"/>
          <w:sz w:val="24"/>
          <w:szCs w:val="24"/>
        </w:rPr>
      </w:pPr>
      <w:r w:rsidRPr="00A55200">
        <w:rPr>
          <w:rFonts w:ascii="Times New Roman" w:eastAsia="Times New Roman" w:hAnsi="Times New Roman" w:cs="Times New Roman"/>
          <w:color w:val="000000" w:themeColor="text1"/>
          <w:sz w:val="24"/>
          <w:szCs w:val="24"/>
        </w:rPr>
        <w:lastRenderedPageBreak/>
        <w:t xml:space="preserve">Uno de los objetivos principales de este artículo es el de mostrar los efectos de la crisis global, de los recortes </w:t>
      </w:r>
      <w:r w:rsidR="005D31FE" w:rsidRPr="00A55200">
        <w:rPr>
          <w:rFonts w:ascii="Times New Roman" w:eastAsia="Times New Roman" w:hAnsi="Times New Roman" w:cs="Times New Roman"/>
          <w:color w:val="000000" w:themeColor="text1"/>
          <w:sz w:val="24"/>
          <w:szCs w:val="24"/>
        </w:rPr>
        <w:t xml:space="preserve">en la financiación en </w:t>
      </w:r>
      <w:r w:rsidRPr="00A55200">
        <w:rPr>
          <w:rFonts w:ascii="Times New Roman" w:eastAsia="Times New Roman" w:hAnsi="Times New Roman" w:cs="Times New Roman"/>
          <w:color w:val="000000" w:themeColor="text1"/>
          <w:sz w:val="24"/>
          <w:szCs w:val="24"/>
        </w:rPr>
        <w:t xml:space="preserve">las instituciones y programas culturales y las políticas de fomento, algo generalizado en todos los países de Europa han afectado más a los países del sur de Europa que </w:t>
      </w:r>
      <w:r w:rsidR="00437620" w:rsidRPr="00A55200">
        <w:rPr>
          <w:rFonts w:ascii="Times New Roman" w:eastAsia="Times New Roman" w:hAnsi="Times New Roman" w:cs="Times New Roman"/>
          <w:color w:val="000000" w:themeColor="text1"/>
          <w:sz w:val="24"/>
          <w:szCs w:val="24"/>
        </w:rPr>
        <w:t xml:space="preserve">en la media de la Unión Europa, profundizando si cabe las diferencias entre los países del sur de Europa sobre el resto de las democracias europeas occidentales, siendo menos afectado el modelo liberal de política cultural anglosajón. </w:t>
      </w:r>
    </w:p>
    <w:p w14:paraId="42C319BF" w14:textId="77777777" w:rsidR="00FB256E" w:rsidRPr="00A55200" w:rsidRDefault="0083619D" w:rsidP="007829E5">
      <w:pPr>
        <w:spacing w:after="0" w:line="480" w:lineRule="auto"/>
        <w:rPr>
          <w:rFonts w:ascii="Times New Roman" w:eastAsia="Times New Roman" w:hAnsi="Times New Roman" w:cs="Times New Roman"/>
          <w:color w:val="000000" w:themeColor="text1"/>
          <w:sz w:val="24"/>
          <w:szCs w:val="24"/>
        </w:rPr>
      </w:pPr>
      <w:r w:rsidRPr="00A55200">
        <w:rPr>
          <w:rFonts w:ascii="Times New Roman" w:eastAsia="Times New Roman" w:hAnsi="Times New Roman" w:cs="Times New Roman"/>
          <w:color w:val="000000" w:themeColor="text1"/>
          <w:sz w:val="24"/>
          <w:szCs w:val="24"/>
        </w:rPr>
        <w:t xml:space="preserve">Este trabajo viene a reforzar la tesis de Van Heck y Kraaykamp (2013) al ir un poco más allá de establecer que la variable dependiente del consumo cultural está determinada por la independiente que es el nivel educativo, pues encontramos otros factores institucionales que afectan a la participación cultural tales como los propios modelos de política cultural, los recortes en los presupuestos públicos, la polaridad de las expectativas de logro educativo universitario entre los hijos de las </w:t>
      </w:r>
      <w:r w:rsidRPr="00B7539E">
        <w:rPr>
          <w:rFonts w:ascii="Times New Roman" w:eastAsia="Times New Roman" w:hAnsi="Times New Roman" w:cs="Times New Roman"/>
          <w:color w:val="000000" w:themeColor="text1"/>
          <w:sz w:val="24"/>
          <w:szCs w:val="24"/>
        </w:rPr>
        <w:t>clases medias y altas</w:t>
      </w:r>
      <w:r w:rsidR="00A55200" w:rsidRPr="00B7539E">
        <w:rPr>
          <w:rFonts w:ascii="Times New Roman" w:eastAsia="Times New Roman" w:hAnsi="Times New Roman" w:cs="Times New Roman"/>
          <w:color w:val="000000" w:themeColor="text1"/>
          <w:sz w:val="24"/>
          <w:szCs w:val="24"/>
        </w:rPr>
        <w:t xml:space="preserve"> </w:t>
      </w:r>
      <w:r w:rsidRPr="00B7539E">
        <w:rPr>
          <w:rFonts w:ascii="Times New Roman" w:eastAsia="Times New Roman" w:hAnsi="Times New Roman" w:cs="Times New Roman"/>
          <w:color w:val="000000" w:themeColor="text1"/>
          <w:sz w:val="24"/>
          <w:szCs w:val="24"/>
        </w:rPr>
        <w:t>f</w:t>
      </w:r>
      <w:r w:rsidR="00BF777F" w:rsidRPr="00B7539E">
        <w:rPr>
          <w:rFonts w:ascii="Times New Roman" w:eastAsia="Times New Roman" w:hAnsi="Times New Roman" w:cs="Times New Roman"/>
          <w:color w:val="000000" w:themeColor="text1"/>
          <w:sz w:val="24"/>
          <w:szCs w:val="24"/>
        </w:rPr>
        <w:t>rente a las bajas, la densidad y dinamismo</w:t>
      </w:r>
      <w:r w:rsidRPr="00B7539E">
        <w:rPr>
          <w:rFonts w:ascii="Times New Roman" w:eastAsia="Times New Roman" w:hAnsi="Times New Roman" w:cs="Times New Roman"/>
          <w:color w:val="000000" w:themeColor="text1"/>
          <w:sz w:val="24"/>
          <w:szCs w:val="24"/>
        </w:rPr>
        <w:t xml:space="preserve"> de la educación artística no-formal y</w:t>
      </w:r>
      <w:r w:rsidR="00BF777F" w:rsidRPr="00B7539E">
        <w:rPr>
          <w:rFonts w:ascii="Times New Roman" w:eastAsia="Times New Roman" w:hAnsi="Times New Roman" w:cs="Times New Roman"/>
          <w:color w:val="000000" w:themeColor="text1"/>
          <w:sz w:val="24"/>
          <w:szCs w:val="24"/>
        </w:rPr>
        <w:t>,</w:t>
      </w:r>
      <w:r w:rsidR="00BF777F" w:rsidRPr="00A55200">
        <w:rPr>
          <w:rFonts w:ascii="Times New Roman" w:eastAsia="Times New Roman" w:hAnsi="Times New Roman" w:cs="Times New Roman"/>
          <w:color w:val="000000" w:themeColor="text1"/>
          <w:sz w:val="24"/>
          <w:szCs w:val="24"/>
        </w:rPr>
        <w:t xml:space="preserve"> finalmente,</w:t>
      </w:r>
      <w:r w:rsidR="00A55200">
        <w:rPr>
          <w:rFonts w:ascii="Times New Roman" w:eastAsia="Times New Roman" w:hAnsi="Times New Roman" w:cs="Times New Roman"/>
          <w:color w:val="000000" w:themeColor="text1"/>
          <w:sz w:val="24"/>
          <w:szCs w:val="24"/>
        </w:rPr>
        <w:t xml:space="preserve"> </w:t>
      </w:r>
      <w:r w:rsidRPr="00A55200">
        <w:rPr>
          <w:rFonts w:ascii="Times New Roman" w:eastAsia="Times New Roman" w:hAnsi="Times New Roman" w:cs="Times New Roman"/>
          <w:color w:val="000000" w:themeColor="text1"/>
          <w:sz w:val="24"/>
          <w:szCs w:val="24"/>
        </w:rPr>
        <w:t xml:space="preserve">la gobernanza de los equipamientos culturales. </w:t>
      </w:r>
      <w:r w:rsidR="00907377" w:rsidRPr="00A55200">
        <w:rPr>
          <w:rFonts w:ascii="Times New Roman" w:eastAsia="Times New Roman" w:hAnsi="Times New Roman" w:cs="Times New Roman"/>
          <w:color w:val="000000" w:themeColor="text1"/>
          <w:sz w:val="24"/>
          <w:szCs w:val="24"/>
        </w:rPr>
        <w:t>Estos factores institucionales constriñen y perfilan los modelos de política cultural europeos establecidos (Rubio-Arostegui y Rius Ulldemolins, 2018)</w:t>
      </w:r>
      <w:r w:rsidR="00FB256E" w:rsidRPr="00A55200">
        <w:rPr>
          <w:rFonts w:ascii="Times New Roman" w:eastAsia="Times New Roman" w:hAnsi="Times New Roman" w:cs="Times New Roman"/>
          <w:color w:val="000000" w:themeColor="text1"/>
          <w:sz w:val="24"/>
          <w:szCs w:val="24"/>
        </w:rPr>
        <w:t xml:space="preserve"> y ti</w:t>
      </w:r>
      <w:r w:rsidR="00BF777F" w:rsidRPr="00A55200">
        <w:rPr>
          <w:rFonts w:ascii="Times New Roman" w:eastAsia="Times New Roman" w:hAnsi="Times New Roman" w:cs="Times New Roman"/>
          <w:color w:val="000000" w:themeColor="text1"/>
          <w:sz w:val="24"/>
          <w:szCs w:val="24"/>
        </w:rPr>
        <w:t>enen como efecto una divergencia en la vida cultural de los europeos</w:t>
      </w:r>
      <w:r w:rsidR="00FB256E" w:rsidRPr="00A55200">
        <w:rPr>
          <w:rFonts w:ascii="Times New Roman" w:eastAsia="Times New Roman" w:hAnsi="Times New Roman" w:cs="Times New Roman"/>
          <w:color w:val="000000" w:themeColor="text1"/>
          <w:sz w:val="24"/>
          <w:szCs w:val="24"/>
        </w:rPr>
        <w:t xml:space="preserve"> en lo que respecta a la participación cultural en los países del sur de Europa, en los casos de Portugal, España, Italia y Grecia. </w:t>
      </w:r>
    </w:p>
    <w:p w14:paraId="51BF81B6" w14:textId="77777777" w:rsidR="0083619D" w:rsidRPr="00A55200" w:rsidRDefault="001B2CA4" w:rsidP="007829E5">
      <w:pPr>
        <w:spacing w:after="0" w:line="480" w:lineRule="auto"/>
        <w:rPr>
          <w:rFonts w:ascii="Times New Roman" w:eastAsia="Times New Roman" w:hAnsi="Times New Roman" w:cs="Times New Roman"/>
          <w:color w:val="000000" w:themeColor="text1"/>
          <w:sz w:val="24"/>
          <w:szCs w:val="24"/>
        </w:rPr>
      </w:pPr>
      <w:r w:rsidRPr="00A55200">
        <w:rPr>
          <w:rFonts w:ascii="Times New Roman" w:eastAsia="Times New Roman" w:hAnsi="Times New Roman" w:cs="Times New Roman"/>
          <w:color w:val="000000" w:themeColor="text1"/>
          <w:sz w:val="24"/>
          <w:szCs w:val="24"/>
        </w:rPr>
        <w:t xml:space="preserve">Tal como hemos observado en este trabajo, </w:t>
      </w:r>
      <w:r w:rsidR="00907377" w:rsidRPr="00A55200">
        <w:rPr>
          <w:rFonts w:ascii="Times New Roman" w:eastAsia="Times New Roman" w:hAnsi="Times New Roman" w:cs="Times New Roman"/>
          <w:color w:val="000000" w:themeColor="text1"/>
          <w:sz w:val="24"/>
          <w:szCs w:val="24"/>
        </w:rPr>
        <w:t>existe una homología entre aquellos países cuyo índic</w:t>
      </w:r>
      <w:r w:rsidR="003926B5" w:rsidRPr="00A55200">
        <w:rPr>
          <w:rFonts w:ascii="Times New Roman" w:eastAsia="Times New Roman" w:hAnsi="Times New Roman" w:cs="Times New Roman"/>
          <w:color w:val="000000" w:themeColor="text1"/>
          <w:sz w:val="24"/>
          <w:szCs w:val="24"/>
        </w:rPr>
        <w:t>e de práctica cultural es eleva</w:t>
      </w:r>
      <w:r w:rsidR="00907377" w:rsidRPr="00A55200">
        <w:rPr>
          <w:rFonts w:ascii="Times New Roman" w:eastAsia="Times New Roman" w:hAnsi="Times New Roman" w:cs="Times New Roman"/>
          <w:color w:val="000000" w:themeColor="text1"/>
          <w:sz w:val="24"/>
          <w:szCs w:val="24"/>
        </w:rPr>
        <w:t>do con un consumo cultural más extenso</w:t>
      </w:r>
      <w:r w:rsidR="003926B5" w:rsidRPr="00A55200">
        <w:rPr>
          <w:rFonts w:ascii="Times New Roman" w:eastAsia="Times New Roman" w:hAnsi="Times New Roman" w:cs="Times New Roman"/>
          <w:color w:val="000000" w:themeColor="text1"/>
          <w:sz w:val="24"/>
          <w:szCs w:val="24"/>
        </w:rPr>
        <w:t xml:space="preserve"> y, por tanto, menos polarizado</w:t>
      </w:r>
      <w:r w:rsidR="00907377" w:rsidRPr="00A55200">
        <w:rPr>
          <w:rFonts w:ascii="Times New Roman" w:eastAsia="Times New Roman" w:hAnsi="Times New Roman" w:cs="Times New Roman"/>
          <w:color w:val="000000" w:themeColor="text1"/>
          <w:sz w:val="24"/>
          <w:szCs w:val="24"/>
        </w:rPr>
        <w:t xml:space="preserve"> entre su población.</w:t>
      </w:r>
      <w:r w:rsidR="00A55200">
        <w:rPr>
          <w:rFonts w:ascii="Times New Roman" w:eastAsia="Times New Roman" w:hAnsi="Times New Roman" w:cs="Times New Roman"/>
          <w:color w:val="000000" w:themeColor="text1"/>
          <w:sz w:val="24"/>
          <w:szCs w:val="24"/>
        </w:rPr>
        <w:t xml:space="preserve"> </w:t>
      </w:r>
      <w:r w:rsidR="003926B5" w:rsidRPr="00A55200">
        <w:rPr>
          <w:rFonts w:ascii="Times New Roman" w:eastAsia="Times New Roman" w:hAnsi="Times New Roman" w:cs="Times New Roman"/>
          <w:color w:val="000000" w:themeColor="text1"/>
          <w:sz w:val="24"/>
          <w:szCs w:val="24"/>
        </w:rPr>
        <w:t xml:space="preserve">Pero es importante subrayar la </w:t>
      </w:r>
      <w:r w:rsidR="00907377" w:rsidRPr="00A55200">
        <w:rPr>
          <w:rFonts w:ascii="Times New Roman" w:eastAsia="Times New Roman" w:hAnsi="Times New Roman" w:cs="Times New Roman"/>
          <w:color w:val="000000" w:themeColor="text1"/>
          <w:sz w:val="24"/>
          <w:szCs w:val="24"/>
        </w:rPr>
        <w:t>distinción</w:t>
      </w:r>
      <w:r w:rsidR="003926B5" w:rsidRPr="00A55200">
        <w:rPr>
          <w:rFonts w:ascii="Times New Roman" w:eastAsia="Times New Roman" w:hAnsi="Times New Roman" w:cs="Times New Roman"/>
          <w:color w:val="000000" w:themeColor="text1"/>
          <w:sz w:val="24"/>
          <w:szCs w:val="24"/>
        </w:rPr>
        <w:t xml:space="preserve"> conceptual</w:t>
      </w:r>
      <w:r w:rsidR="00DB135C" w:rsidRPr="00A55200">
        <w:rPr>
          <w:rFonts w:ascii="Times New Roman" w:eastAsia="Times New Roman" w:hAnsi="Times New Roman" w:cs="Times New Roman"/>
          <w:color w:val="000000" w:themeColor="text1"/>
          <w:sz w:val="24"/>
          <w:szCs w:val="24"/>
        </w:rPr>
        <w:t xml:space="preserve"> subordinada de este binomio</w:t>
      </w:r>
      <w:r w:rsidR="003926B5" w:rsidRPr="00A55200">
        <w:rPr>
          <w:rFonts w:ascii="Times New Roman" w:eastAsia="Times New Roman" w:hAnsi="Times New Roman" w:cs="Times New Roman"/>
          <w:color w:val="000000" w:themeColor="text1"/>
          <w:sz w:val="24"/>
          <w:szCs w:val="24"/>
        </w:rPr>
        <w:t xml:space="preserve"> aquí propuesta, que no es otra que </w:t>
      </w:r>
      <w:r w:rsidR="00907377" w:rsidRPr="00A55200">
        <w:rPr>
          <w:rFonts w:ascii="Times New Roman" w:eastAsia="Times New Roman" w:hAnsi="Times New Roman" w:cs="Times New Roman"/>
          <w:color w:val="000000" w:themeColor="text1"/>
          <w:sz w:val="24"/>
          <w:szCs w:val="24"/>
        </w:rPr>
        <w:t>la prevalencia que tiene la práctica artí</w:t>
      </w:r>
      <w:r w:rsidR="003926B5" w:rsidRPr="00A55200">
        <w:rPr>
          <w:rFonts w:ascii="Times New Roman" w:eastAsia="Times New Roman" w:hAnsi="Times New Roman" w:cs="Times New Roman"/>
          <w:color w:val="000000" w:themeColor="text1"/>
          <w:sz w:val="24"/>
          <w:szCs w:val="24"/>
        </w:rPr>
        <w:t xml:space="preserve">stica sobre el consumo cultural y que no está suficientemente tematizada en la literatura científica. </w:t>
      </w:r>
      <w:r w:rsidRPr="00A55200">
        <w:rPr>
          <w:rFonts w:ascii="Times New Roman" w:eastAsia="Times New Roman" w:hAnsi="Times New Roman" w:cs="Times New Roman"/>
          <w:color w:val="000000" w:themeColor="text1"/>
          <w:sz w:val="24"/>
          <w:szCs w:val="24"/>
        </w:rPr>
        <w:t xml:space="preserve">Pretendemos, por tanto, iniciar con este trabajo una línea de análisis futuro entre estas dos dimensiones disociadas de la práctica cultural. </w:t>
      </w:r>
    </w:p>
    <w:p w14:paraId="3AE00E57" w14:textId="77777777" w:rsidR="00A360B4" w:rsidRPr="00A55200" w:rsidRDefault="00A360B4" w:rsidP="007829E5">
      <w:pPr>
        <w:spacing w:after="0" w:line="480" w:lineRule="auto"/>
        <w:rPr>
          <w:rFonts w:ascii="Times New Roman" w:eastAsia="Times New Roman" w:hAnsi="Times New Roman" w:cs="Times New Roman"/>
          <w:color w:val="365F91" w:themeColor="accent1" w:themeShade="BF"/>
          <w:sz w:val="24"/>
          <w:szCs w:val="24"/>
        </w:rPr>
      </w:pPr>
    </w:p>
    <w:p w14:paraId="4092F6AC" w14:textId="77777777" w:rsidR="00A360B4" w:rsidRPr="00A55200" w:rsidRDefault="00A360B4" w:rsidP="007829E5">
      <w:pPr>
        <w:spacing w:after="0" w:line="480" w:lineRule="auto"/>
        <w:rPr>
          <w:rFonts w:ascii="Times New Roman" w:eastAsia="Times New Roman" w:hAnsi="Times New Roman" w:cs="Times New Roman"/>
          <w:color w:val="365F91" w:themeColor="accent1" w:themeShade="BF"/>
          <w:sz w:val="24"/>
          <w:szCs w:val="24"/>
        </w:rPr>
      </w:pPr>
    </w:p>
    <w:p w14:paraId="610E00DF" w14:textId="77777777" w:rsidR="00A360B4" w:rsidRPr="00A55200" w:rsidRDefault="00A360B4" w:rsidP="007829E5">
      <w:pPr>
        <w:spacing w:after="0" w:line="480" w:lineRule="auto"/>
        <w:ind w:left="360"/>
        <w:rPr>
          <w:rFonts w:ascii="Times New Roman" w:eastAsia="Times New Roman" w:hAnsi="Times New Roman" w:cs="Times New Roman"/>
          <w:color w:val="365F91" w:themeColor="accent1" w:themeShade="BF"/>
          <w:sz w:val="24"/>
          <w:szCs w:val="24"/>
        </w:rPr>
      </w:pPr>
    </w:p>
    <w:p w14:paraId="7144436D" w14:textId="77777777" w:rsidR="007A5D65" w:rsidRPr="00A55200" w:rsidRDefault="007A5D65" w:rsidP="007829E5">
      <w:pPr>
        <w:spacing w:after="0" w:line="480" w:lineRule="auto"/>
        <w:rPr>
          <w:rFonts w:ascii="Times New Roman" w:hAnsi="Times New Roman" w:cs="Times New Roman"/>
          <w:sz w:val="24"/>
          <w:szCs w:val="24"/>
        </w:rPr>
      </w:pPr>
    </w:p>
    <w:p w14:paraId="62DB9353" w14:textId="77777777" w:rsidR="003C7758" w:rsidRPr="00A55200" w:rsidRDefault="003C7758" w:rsidP="007829E5">
      <w:pPr>
        <w:spacing w:after="0" w:line="480" w:lineRule="auto"/>
        <w:rPr>
          <w:rFonts w:ascii="Times New Roman" w:hAnsi="Times New Roman" w:cs="Times New Roman"/>
          <w:sz w:val="24"/>
          <w:szCs w:val="24"/>
        </w:rPr>
      </w:pPr>
    </w:p>
    <w:p w14:paraId="1CAFB231" w14:textId="77777777" w:rsidR="001C0C78" w:rsidRPr="00A55200" w:rsidRDefault="001C0C78" w:rsidP="007829E5">
      <w:pPr>
        <w:autoSpaceDE w:val="0"/>
        <w:autoSpaceDN w:val="0"/>
        <w:adjustRightInd w:val="0"/>
        <w:spacing w:after="0" w:line="480" w:lineRule="auto"/>
        <w:rPr>
          <w:rFonts w:ascii="Times New Roman" w:hAnsi="Times New Roman" w:cs="Times New Roman"/>
          <w:sz w:val="24"/>
          <w:szCs w:val="24"/>
        </w:rPr>
      </w:pPr>
    </w:p>
    <w:p w14:paraId="1B53CFE1" w14:textId="77777777" w:rsidR="00283A5F" w:rsidRPr="00A55200" w:rsidRDefault="00283A5F" w:rsidP="007829E5">
      <w:pPr>
        <w:autoSpaceDE w:val="0"/>
        <w:autoSpaceDN w:val="0"/>
        <w:adjustRightInd w:val="0"/>
        <w:spacing w:after="0" w:line="480" w:lineRule="auto"/>
        <w:rPr>
          <w:rFonts w:ascii="Times New Roman" w:hAnsi="Times New Roman" w:cs="Times New Roman"/>
          <w:sz w:val="24"/>
          <w:szCs w:val="24"/>
        </w:rPr>
      </w:pPr>
    </w:p>
    <w:p w14:paraId="795AA88D" w14:textId="77777777" w:rsidR="005F5AED" w:rsidRPr="00A55200" w:rsidRDefault="003C7758" w:rsidP="007829E5">
      <w:pPr>
        <w:spacing w:after="0" w:line="480" w:lineRule="auto"/>
        <w:rPr>
          <w:rFonts w:ascii="Times New Roman" w:eastAsia="Times New Roman" w:hAnsi="Times New Roman" w:cs="Times New Roman"/>
          <w:b/>
          <w:bCs/>
          <w:sz w:val="24"/>
          <w:szCs w:val="24"/>
        </w:rPr>
        <w:sectPr w:rsidR="005F5AED" w:rsidRPr="00A55200" w:rsidSect="007829E5">
          <w:footerReference w:type="default" r:id="rId15"/>
          <w:endnotePr>
            <w:numFmt w:val="decimal"/>
          </w:endnotePr>
          <w:type w:val="continuous"/>
          <w:pgSz w:w="11906" w:h="16838"/>
          <w:pgMar w:top="1440" w:right="1440" w:bottom="1440" w:left="1440" w:header="709" w:footer="709" w:gutter="0"/>
          <w:cols w:space="708"/>
          <w:docGrid w:linePitch="360"/>
        </w:sectPr>
      </w:pPr>
      <w:r w:rsidRPr="00A55200">
        <w:rPr>
          <w:rFonts w:ascii="Times New Roman" w:eastAsia="Times New Roman" w:hAnsi="Times New Roman" w:cs="Times New Roman"/>
          <w:b/>
          <w:bCs/>
          <w:sz w:val="24"/>
          <w:szCs w:val="24"/>
        </w:rPr>
        <w:t>Nota</w:t>
      </w:r>
    </w:p>
    <w:p w14:paraId="260123CF" w14:textId="77777777" w:rsidR="00187F3A" w:rsidRPr="00A55200" w:rsidRDefault="00187F3A" w:rsidP="007829E5">
      <w:pPr>
        <w:spacing w:after="0" w:line="480" w:lineRule="auto"/>
        <w:rPr>
          <w:rFonts w:ascii="Times New Roman" w:hAnsi="Times New Roman" w:cs="Times New Roman"/>
          <w:sz w:val="24"/>
          <w:szCs w:val="24"/>
        </w:rPr>
      </w:pPr>
    </w:p>
    <w:p w14:paraId="14C775F9" w14:textId="77777777" w:rsidR="00642426" w:rsidRPr="00A55200" w:rsidRDefault="00642426" w:rsidP="00466961">
      <w:pPr>
        <w:pStyle w:val="NormalWeb"/>
        <w:spacing w:before="0" w:beforeAutospacing="0" w:after="0" w:afterAutospacing="0" w:line="480" w:lineRule="auto"/>
        <w:ind w:left="709" w:hanging="709"/>
        <w:divId w:val="1034385182"/>
      </w:pPr>
      <w:r w:rsidRPr="00A55200">
        <w:rPr>
          <w:lang w:val="en-US"/>
        </w:rPr>
        <w:fldChar w:fldCharType="begin"/>
      </w:r>
      <w:r w:rsidRPr="00A55200">
        <w:rPr>
          <w:lang w:val="es-ES"/>
        </w:rPr>
        <w:instrText>ADDIN RW.BIB</w:instrText>
      </w:r>
      <w:r w:rsidRPr="00A55200">
        <w:rPr>
          <w:lang w:val="en-US"/>
        </w:rPr>
        <w:fldChar w:fldCharType="separate"/>
      </w:r>
      <w:r w:rsidRPr="00A55200">
        <w:t xml:space="preserve">REFERENCIAS BIBLIOGRÁFICAS </w:t>
      </w:r>
    </w:p>
    <w:p w14:paraId="430586A8" w14:textId="77777777" w:rsidR="00642426" w:rsidRPr="00A55200" w:rsidRDefault="00044667" w:rsidP="00466961">
      <w:pPr>
        <w:pStyle w:val="NormalWeb"/>
        <w:spacing w:before="0" w:beforeAutospacing="0" w:after="0" w:afterAutospacing="0" w:line="480" w:lineRule="auto"/>
        <w:ind w:left="709" w:hanging="709"/>
        <w:divId w:val="1034385182"/>
      </w:pPr>
      <w:r w:rsidRPr="00A55200">
        <w:t>Ariño</w:t>
      </w:r>
      <w:r w:rsidR="00642426" w:rsidRPr="00A55200">
        <w:t xml:space="preserve">, A. (2010). </w:t>
      </w:r>
      <w:r w:rsidR="00642426" w:rsidRPr="00A55200">
        <w:rPr>
          <w:i/>
          <w:iCs/>
        </w:rPr>
        <w:t>Prácticas culturales en españa :Desde los años sesenta hasta la actualidad</w:t>
      </w:r>
      <w:r w:rsidR="00642426" w:rsidRPr="00A55200">
        <w:t xml:space="preserve">. Barcelona: Ariel. </w:t>
      </w:r>
    </w:p>
    <w:p w14:paraId="460BB386" w14:textId="77777777" w:rsidR="00642426" w:rsidRPr="00A55200" w:rsidRDefault="00642426" w:rsidP="00466961">
      <w:pPr>
        <w:pStyle w:val="NormalWeb"/>
        <w:spacing w:before="0" w:beforeAutospacing="0" w:after="0" w:afterAutospacing="0" w:line="480" w:lineRule="auto"/>
        <w:ind w:left="709" w:hanging="709"/>
        <w:divId w:val="1034385182"/>
      </w:pPr>
      <w:r w:rsidRPr="00A55200">
        <w:t xml:space="preserve">Ariño, A., y Llopis, R. (2016). </w:t>
      </w:r>
      <w:r w:rsidRPr="00A55200">
        <w:rPr>
          <w:i/>
          <w:iCs/>
        </w:rPr>
        <w:t>La participació cultural de la joventut catalana : 2001-2015</w:t>
      </w:r>
      <w:r w:rsidRPr="00A55200">
        <w:t xml:space="preserve">. Barcelona: Generalitat de Catalunya. </w:t>
      </w:r>
    </w:p>
    <w:p w14:paraId="49F2E303" w14:textId="77777777" w:rsidR="00AC2FCB" w:rsidRPr="00A55200" w:rsidRDefault="001666E8" w:rsidP="00466961">
      <w:pPr>
        <w:pStyle w:val="NormalWeb"/>
        <w:spacing w:before="0" w:beforeAutospacing="0" w:after="0" w:afterAutospacing="0" w:line="480" w:lineRule="auto"/>
        <w:ind w:left="709" w:hanging="709"/>
        <w:divId w:val="1034385182"/>
      </w:pPr>
      <w:r w:rsidRPr="00A55200">
        <w:t>Ariño, A., y Llopis, R. (2017). Culturas en tránsito. Las prácticas culturales en España en el comienzo del siglo XXI.</w:t>
      </w:r>
      <w:r w:rsidR="00A55200">
        <w:t xml:space="preserve"> </w:t>
      </w:r>
      <w:r w:rsidRPr="00A55200">
        <w:t xml:space="preserve">Madrid: Fundación SGAE. </w:t>
      </w:r>
    </w:p>
    <w:p w14:paraId="05FBC0F0" w14:textId="77777777" w:rsidR="00642426" w:rsidRPr="00A55200" w:rsidRDefault="00642426" w:rsidP="00466961">
      <w:pPr>
        <w:pStyle w:val="NormalWeb"/>
        <w:spacing w:before="0" w:beforeAutospacing="0" w:after="0" w:afterAutospacing="0" w:line="480" w:lineRule="auto"/>
        <w:ind w:left="709" w:hanging="709"/>
        <w:divId w:val="1034385182"/>
      </w:pPr>
      <w:r w:rsidRPr="00A55200">
        <w:t>Banks, M., y Oakley, K. (2016). The dance goes on forever? art schools, class and UK higher education.</w:t>
      </w:r>
      <w:r w:rsidRPr="00A55200">
        <w:rPr>
          <w:i/>
          <w:iCs/>
        </w:rPr>
        <w:t xml:space="preserve"> International Journal of Cultural Policy, </w:t>
      </w:r>
      <w:r w:rsidRPr="00A55200">
        <w:t xml:space="preserve">22(1), 41-57. doi:10.1080/10286632.2015.1101082 </w:t>
      </w:r>
    </w:p>
    <w:p w14:paraId="2625584F" w14:textId="77777777" w:rsidR="00642426" w:rsidRPr="00A55200" w:rsidRDefault="00642426" w:rsidP="00466961">
      <w:pPr>
        <w:pStyle w:val="NormalWeb"/>
        <w:spacing w:before="0" w:beforeAutospacing="0" w:after="0" w:afterAutospacing="0" w:line="480" w:lineRule="auto"/>
        <w:ind w:left="709" w:hanging="709"/>
        <w:divId w:val="1034385182"/>
      </w:pPr>
      <w:r w:rsidRPr="00A55200">
        <w:t>Belfiore, E. (2004). Auditing culture. the subsidised cultural sector in the new public management.</w:t>
      </w:r>
      <w:r w:rsidRPr="00A55200">
        <w:rPr>
          <w:i/>
          <w:iCs/>
        </w:rPr>
        <w:t xml:space="preserve"> International Journal of Cultural Policy, </w:t>
      </w:r>
      <w:r w:rsidRPr="00A55200">
        <w:t xml:space="preserve">10(2), 183-202. </w:t>
      </w:r>
    </w:p>
    <w:p w14:paraId="01B98D1E" w14:textId="77777777" w:rsidR="007D4400" w:rsidRPr="00A55200" w:rsidRDefault="007D4400" w:rsidP="00466961">
      <w:pPr>
        <w:pStyle w:val="NormalWeb"/>
        <w:spacing w:before="0" w:beforeAutospacing="0" w:after="0" w:afterAutospacing="0" w:line="480" w:lineRule="auto"/>
        <w:ind w:left="709" w:hanging="709"/>
        <w:divId w:val="1034385182"/>
      </w:pPr>
      <w:r w:rsidRPr="00A55200">
        <w:t xml:space="preserve">Bennet T, Savage M, Silva E, Warde A, Gayo-Cal M, and Wright D. (2009) </w:t>
      </w:r>
      <w:r w:rsidRPr="00A55200">
        <w:rPr>
          <w:i/>
        </w:rPr>
        <w:t>Culture, Class, Distinction.</w:t>
      </w:r>
      <w:r w:rsidRPr="00A55200">
        <w:t xml:space="preserve"> London: Routledge</w:t>
      </w:r>
    </w:p>
    <w:p w14:paraId="46677723" w14:textId="77777777" w:rsidR="007D4400" w:rsidRPr="00A55200" w:rsidRDefault="007D4400" w:rsidP="00466961">
      <w:pPr>
        <w:pStyle w:val="NormalWeb"/>
        <w:spacing w:before="0" w:beforeAutospacing="0" w:after="0" w:afterAutospacing="0" w:line="480" w:lineRule="auto"/>
        <w:ind w:left="709" w:hanging="709"/>
        <w:divId w:val="1034385182"/>
      </w:pPr>
      <w:r w:rsidRPr="00A55200">
        <w:t>Bourdieu P. (1979) La Distinction: Critique Sociale du Jugement. Paris: Editions de Minuit.</w:t>
      </w:r>
    </w:p>
    <w:p w14:paraId="0A525F40" w14:textId="77777777" w:rsidR="00642426" w:rsidRPr="00A55200" w:rsidRDefault="00642426" w:rsidP="00466961">
      <w:pPr>
        <w:pStyle w:val="NormalWeb"/>
        <w:spacing w:before="0" w:beforeAutospacing="0" w:after="0" w:afterAutospacing="0" w:line="480" w:lineRule="auto"/>
        <w:ind w:left="709" w:hanging="709"/>
        <w:divId w:val="1034385182"/>
      </w:pPr>
      <w:r w:rsidRPr="00A55200">
        <w:t>Chan, T. W., y Goldthorpe, J. H. (2007). Social stratification and cultural consumption: Music in england.</w:t>
      </w:r>
      <w:r w:rsidRPr="00A55200">
        <w:rPr>
          <w:i/>
          <w:iCs/>
        </w:rPr>
        <w:t xml:space="preserve"> European Sociological Review, </w:t>
      </w:r>
      <w:r w:rsidRPr="00A55200">
        <w:t xml:space="preserve">23(1), 1-19. doi:10.1093/esr/jcl016 </w:t>
      </w:r>
    </w:p>
    <w:p w14:paraId="151CC317" w14:textId="77777777" w:rsidR="00642426" w:rsidRPr="00A55200" w:rsidRDefault="00642426" w:rsidP="00466961">
      <w:pPr>
        <w:pStyle w:val="NormalWeb"/>
        <w:spacing w:before="0" w:beforeAutospacing="0" w:after="0" w:afterAutospacing="0" w:line="480" w:lineRule="auto"/>
        <w:ind w:left="709" w:hanging="709"/>
        <w:divId w:val="1034385182"/>
      </w:pPr>
      <w:r w:rsidRPr="00A55200">
        <w:t xml:space="preserve">Coulangeon, P., &amp; Duval, J. (Eds.). (2015). </w:t>
      </w:r>
      <w:r w:rsidRPr="00A55200">
        <w:rPr>
          <w:i/>
          <w:iCs/>
        </w:rPr>
        <w:t>The routledge companion to Bourdieu’s 'distinction'</w:t>
      </w:r>
      <w:r w:rsidRPr="00A55200">
        <w:t xml:space="preserve">. London: Routledge. </w:t>
      </w:r>
    </w:p>
    <w:p w14:paraId="0B74FC9C" w14:textId="77777777" w:rsidR="00642426" w:rsidRPr="00A55200" w:rsidRDefault="00642426" w:rsidP="00466961">
      <w:pPr>
        <w:pStyle w:val="NormalWeb"/>
        <w:spacing w:before="0" w:beforeAutospacing="0" w:after="0" w:afterAutospacing="0" w:line="480" w:lineRule="auto"/>
        <w:ind w:left="709" w:hanging="709"/>
        <w:divId w:val="1034385182"/>
      </w:pPr>
      <w:r w:rsidRPr="00A55200">
        <w:t xml:space="preserve">Coulangeon, P., &amp; Duval, J. (2013). </w:t>
      </w:r>
      <w:r w:rsidRPr="00A55200">
        <w:rPr>
          <w:i/>
          <w:iCs/>
        </w:rPr>
        <w:t>Trente ans après La Distinction, de Pierre Bourdieu</w:t>
      </w:r>
      <w:r w:rsidRPr="00A55200">
        <w:t xml:space="preserve">. Paris: La Découverte. </w:t>
      </w:r>
    </w:p>
    <w:p w14:paraId="220BA971" w14:textId="77777777" w:rsidR="00642426" w:rsidRPr="00A55200" w:rsidRDefault="00642426" w:rsidP="00466961">
      <w:pPr>
        <w:pStyle w:val="NormalWeb"/>
        <w:spacing w:before="0" w:beforeAutospacing="0" w:after="0" w:afterAutospacing="0" w:line="480" w:lineRule="auto"/>
        <w:ind w:left="709" w:hanging="709"/>
        <w:divId w:val="1034385182"/>
      </w:pPr>
      <w:r w:rsidRPr="00A55200">
        <w:lastRenderedPageBreak/>
        <w:t>Dal Pozzolo, L. (1999). Entre centralisme inachevé et pressions fédéralistes : Le cheminement difficile des politiques culturelles italiennes.</w:t>
      </w:r>
      <w:r w:rsidRPr="00A55200">
        <w:rPr>
          <w:i/>
          <w:iCs/>
        </w:rPr>
        <w:t xml:space="preserve"> Pôle Sud, </w:t>
      </w:r>
      <w:r w:rsidRPr="00A55200">
        <w:t xml:space="preserve">10, 10-26. </w:t>
      </w:r>
    </w:p>
    <w:p w14:paraId="34701371" w14:textId="77777777" w:rsidR="00642426" w:rsidRPr="00A55200" w:rsidRDefault="00642426" w:rsidP="00466961">
      <w:pPr>
        <w:pStyle w:val="NormalWeb"/>
        <w:spacing w:before="0" w:beforeAutospacing="0" w:after="0" w:afterAutospacing="0" w:line="480" w:lineRule="auto"/>
        <w:ind w:left="709" w:hanging="709"/>
        <w:divId w:val="1034385182"/>
      </w:pPr>
      <w:r w:rsidRPr="00A55200">
        <w:t xml:space="preserve">DiMaggio, P., y Mukhtar, T. (2004). </w:t>
      </w:r>
      <w:r w:rsidRPr="00A55200">
        <w:rPr>
          <w:i/>
          <w:iCs/>
        </w:rPr>
        <w:t>Arts participation as cultural capital in the united states, 1982–2002: Signs of decline?</w:t>
      </w:r>
      <w:r w:rsidRPr="00A55200">
        <w:t xml:space="preserve"> doi:</w:t>
      </w:r>
      <w:hyperlink r:id="rId16" w:tgtFrame="_blank" w:history="1">
        <w:r w:rsidRPr="00A55200">
          <w:rPr>
            <w:rStyle w:val="Hipervnculo"/>
          </w:rPr>
          <w:t>https://doi.org/10.1016/j.poetic.2004.02.005</w:t>
        </w:r>
      </w:hyperlink>
      <w:r w:rsidRPr="00A55200">
        <w:t xml:space="preserve"> </w:t>
      </w:r>
    </w:p>
    <w:p w14:paraId="4AA6A327" w14:textId="77777777" w:rsidR="00642426" w:rsidRPr="00A55200" w:rsidRDefault="00642426" w:rsidP="00466961">
      <w:pPr>
        <w:pStyle w:val="NormalWeb"/>
        <w:spacing w:before="0" w:beforeAutospacing="0" w:after="0" w:afterAutospacing="0" w:line="480" w:lineRule="auto"/>
        <w:ind w:left="709" w:hanging="709"/>
        <w:divId w:val="1034385182"/>
      </w:pPr>
      <w:r w:rsidRPr="00A55200">
        <w:t>Donnat, O. (2004). Les univers culturels des français.</w:t>
      </w:r>
      <w:r w:rsidRPr="00A55200">
        <w:rPr>
          <w:i/>
          <w:iCs/>
        </w:rPr>
        <w:t xml:space="preserve"> Sociologie Et Societés, </w:t>
      </w:r>
      <w:r w:rsidRPr="00A55200">
        <w:t xml:space="preserve">36-1, 87-103. </w:t>
      </w:r>
    </w:p>
    <w:p w14:paraId="75CDE57B" w14:textId="77777777" w:rsidR="00642426" w:rsidRPr="00A55200" w:rsidRDefault="00642426" w:rsidP="00466961">
      <w:pPr>
        <w:pStyle w:val="NormalWeb"/>
        <w:spacing w:before="0" w:beforeAutospacing="0" w:after="0" w:afterAutospacing="0" w:line="480" w:lineRule="auto"/>
        <w:ind w:left="709" w:hanging="709"/>
        <w:divId w:val="1034385182"/>
      </w:pPr>
      <w:r w:rsidRPr="00A55200">
        <w:t>Duelund, P. (2008). Nordic cultural policies: A critical view.</w:t>
      </w:r>
      <w:r w:rsidRPr="00A55200">
        <w:rPr>
          <w:i/>
          <w:iCs/>
        </w:rPr>
        <w:t xml:space="preserve"> International Journal of Cultural Policy, </w:t>
      </w:r>
      <w:r w:rsidRPr="00A55200">
        <w:t xml:space="preserve">14(1), 7-24. doi:10.1080/10286630701856468 </w:t>
      </w:r>
    </w:p>
    <w:p w14:paraId="76E9A979" w14:textId="77777777" w:rsidR="00D13F7F" w:rsidRPr="00A55200" w:rsidRDefault="00D13F7F" w:rsidP="00466961">
      <w:pPr>
        <w:pStyle w:val="NormalWeb"/>
        <w:spacing w:before="0" w:beforeAutospacing="0" w:after="0" w:afterAutospacing="0" w:line="480" w:lineRule="auto"/>
        <w:ind w:left="709" w:hanging="709"/>
        <w:divId w:val="1034385182"/>
      </w:pPr>
      <w:r w:rsidRPr="00A55200">
        <w:t xml:space="preserve">Education, Audiovisual and Culture Executive Agency (EACEA) (2009). </w:t>
      </w:r>
      <w:r w:rsidRPr="00A55200">
        <w:rPr>
          <w:i/>
        </w:rPr>
        <w:t>Arts and Cultural Education at School in Europe.</w:t>
      </w:r>
      <w:r w:rsidRPr="00A55200">
        <w:t xml:space="preserve"> Brussels: European Commission.</w:t>
      </w:r>
    </w:p>
    <w:p w14:paraId="7D1788A8" w14:textId="77777777" w:rsidR="007D4400" w:rsidRPr="00A55200" w:rsidRDefault="007D4400" w:rsidP="00466961">
      <w:pPr>
        <w:pStyle w:val="NormalWeb"/>
        <w:spacing w:before="0" w:beforeAutospacing="0" w:after="0" w:afterAutospacing="0" w:line="480" w:lineRule="auto"/>
        <w:ind w:left="709" w:hanging="709"/>
        <w:divId w:val="1034385182"/>
      </w:pPr>
      <w:r w:rsidRPr="00A55200">
        <w:t>EMU (2010):</w:t>
      </w:r>
      <w:r w:rsidRPr="00A55200">
        <w:rPr>
          <w:i/>
        </w:rPr>
        <w:t xml:space="preserve"> Music Schools in Europe.</w:t>
      </w:r>
      <w:r w:rsidRPr="00A55200">
        <w:t xml:space="preserve"> Recuperado de:</w:t>
      </w:r>
      <w:r w:rsidR="00A55200">
        <w:t xml:space="preserve"> </w:t>
      </w:r>
      <w:r w:rsidRPr="00A55200">
        <w:t>http://www.musicschoolunion.eu/wp-content/uploads/2016/08/101115_EM_publicatie_EMU_2010_digitaal.pdf</w:t>
      </w:r>
    </w:p>
    <w:p w14:paraId="0AE27F0F" w14:textId="77777777" w:rsidR="001549D3" w:rsidRPr="00A55200" w:rsidRDefault="0090399D" w:rsidP="00466961">
      <w:pPr>
        <w:pStyle w:val="NormalWeb"/>
        <w:spacing w:before="0" w:beforeAutospacing="0" w:after="0" w:afterAutospacing="0" w:line="480" w:lineRule="auto"/>
        <w:ind w:left="709" w:hanging="709"/>
        <w:divId w:val="1034385182"/>
      </w:pPr>
      <w:r w:rsidRPr="00A55200">
        <w:t>European Commission</w:t>
      </w:r>
      <w:r w:rsidR="00A55200">
        <w:t xml:space="preserve"> </w:t>
      </w:r>
      <w:r w:rsidRPr="00A55200">
        <w:t>(</w:t>
      </w:r>
      <w:r w:rsidR="007E2584" w:rsidRPr="00A55200">
        <w:t>2013</w:t>
      </w:r>
      <w:r w:rsidRPr="00A55200">
        <w:t>)</w:t>
      </w:r>
      <w:r w:rsidR="007E2584" w:rsidRPr="00A55200">
        <w:t>. Special Eurobarometer 399, Cultural access and participation - Report, available at http://ec.europa.eu/public_opinion/archives/ebs/ebs_399_en.pdf</w:t>
      </w:r>
    </w:p>
    <w:p w14:paraId="2E3116D3" w14:textId="77777777" w:rsidR="00642426" w:rsidRPr="00A55200" w:rsidRDefault="00642426" w:rsidP="00466961">
      <w:pPr>
        <w:pStyle w:val="NormalWeb"/>
        <w:spacing w:before="0" w:beforeAutospacing="0" w:after="0" w:afterAutospacing="0" w:line="480" w:lineRule="auto"/>
        <w:ind w:left="709" w:hanging="709"/>
        <w:divId w:val="1034385182"/>
      </w:pPr>
      <w:r w:rsidRPr="00A55200">
        <w:t>Evans, G. (2003). Hard-branding the cultural city-from prado to prada.</w:t>
      </w:r>
      <w:r w:rsidRPr="00A55200">
        <w:rPr>
          <w:i/>
          <w:iCs/>
        </w:rPr>
        <w:t xml:space="preserve"> International Journal of Urban and Regional Research, </w:t>
      </w:r>
      <w:r w:rsidRPr="00A55200">
        <w:t xml:space="preserve">27(2), 417-440. </w:t>
      </w:r>
    </w:p>
    <w:p w14:paraId="2C457538" w14:textId="77777777" w:rsidR="00642426" w:rsidRPr="00A55200" w:rsidRDefault="00642426" w:rsidP="00466961">
      <w:pPr>
        <w:pStyle w:val="NormalWeb"/>
        <w:spacing w:before="0" w:beforeAutospacing="0" w:after="0" w:afterAutospacing="0" w:line="480" w:lineRule="auto"/>
        <w:ind w:left="709" w:hanging="709"/>
        <w:divId w:val="1034385182"/>
      </w:pPr>
      <w:r w:rsidRPr="00A55200">
        <w:t xml:space="preserve">Fabiani, J. (2007). </w:t>
      </w:r>
      <w:r w:rsidRPr="00A55200">
        <w:rPr>
          <w:i/>
          <w:iCs/>
        </w:rPr>
        <w:t>Après la culture légitime. objets, publics, autorités</w:t>
      </w:r>
      <w:r w:rsidRPr="00A55200">
        <w:t xml:space="preserve">. Paris: L'Harmattan. </w:t>
      </w:r>
    </w:p>
    <w:p w14:paraId="7FAEB3A4" w14:textId="77777777" w:rsidR="00642426" w:rsidRPr="00A55200" w:rsidRDefault="00642426" w:rsidP="00466961">
      <w:pPr>
        <w:pStyle w:val="NormalWeb"/>
        <w:spacing w:before="0" w:beforeAutospacing="0" w:after="0" w:afterAutospacing="0" w:line="480" w:lineRule="auto"/>
        <w:ind w:left="709" w:hanging="709"/>
        <w:divId w:val="1034385182"/>
      </w:pPr>
      <w:r w:rsidRPr="00A55200">
        <w:t xml:space="preserve">Featherstone, K., &amp; Kazamias, G. (Eds.). (2001). </w:t>
      </w:r>
      <w:r w:rsidRPr="00A55200">
        <w:rPr>
          <w:i/>
          <w:iCs/>
        </w:rPr>
        <w:t>Europeanisation and the southern periphery</w:t>
      </w:r>
      <w:r w:rsidRPr="00A55200">
        <w:t xml:space="preserve">. London: Frank Cass. </w:t>
      </w:r>
    </w:p>
    <w:p w14:paraId="6C2E93A9" w14:textId="77777777" w:rsidR="00642426" w:rsidRPr="00A55200" w:rsidRDefault="00642426" w:rsidP="00466961">
      <w:pPr>
        <w:pStyle w:val="NormalWeb"/>
        <w:spacing w:before="0" w:beforeAutospacing="0" w:after="0" w:afterAutospacing="0" w:line="480" w:lineRule="auto"/>
        <w:ind w:left="709" w:hanging="709"/>
        <w:divId w:val="1034385182"/>
      </w:pPr>
      <w:r w:rsidRPr="00A55200">
        <w:t xml:space="preserve">Featherstone, K., &amp; Radaelli, C. M. (Eds.). (2003). </w:t>
      </w:r>
      <w:r w:rsidRPr="00A55200">
        <w:rPr>
          <w:i/>
          <w:iCs/>
        </w:rPr>
        <w:t>The politics of europeanization</w:t>
      </w:r>
      <w:r w:rsidR="00A55200">
        <w:rPr>
          <w:i/>
          <w:iCs/>
        </w:rPr>
        <w:t xml:space="preserve"> </w:t>
      </w:r>
      <w:r w:rsidRPr="00A55200">
        <w:t xml:space="preserve">. Oxford: Oxford University Press. </w:t>
      </w:r>
    </w:p>
    <w:p w14:paraId="51E3A89D" w14:textId="77777777" w:rsidR="00642426" w:rsidRPr="00A55200" w:rsidRDefault="00642426" w:rsidP="00466961">
      <w:pPr>
        <w:pStyle w:val="NormalWeb"/>
        <w:spacing w:before="0" w:beforeAutospacing="0" w:after="0" w:afterAutospacing="0" w:line="480" w:lineRule="auto"/>
        <w:ind w:left="709" w:hanging="709"/>
        <w:divId w:val="1034385182"/>
      </w:pPr>
      <w:r w:rsidRPr="00A55200">
        <w:lastRenderedPageBreak/>
        <w:t xml:space="preserve">Fernandez Enguita, M. (2016). </w:t>
      </w:r>
      <w:r w:rsidRPr="00A55200">
        <w:rPr>
          <w:i/>
          <w:iCs/>
        </w:rPr>
        <w:t>La educación en la encrucijada</w:t>
      </w:r>
      <w:r w:rsidRPr="00A55200">
        <w:t xml:space="preserve">. Fundación Santillana: Madrid. </w:t>
      </w:r>
    </w:p>
    <w:p w14:paraId="25C8705E" w14:textId="77777777" w:rsidR="001666E8" w:rsidRPr="00A55200" w:rsidRDefault="001666E8" w:rsidP="00466961">
      <w:pPr>
        <w:pStyle w:val="NormalWeb"/>
        <w:spacing w:before="0" w:beforeAutospacing="0" w:after="0" w:afterAutospacing="0" w:line="480" w:lineRule="auto"/>
        <w:ind w:left="709" w:hanging="709"/>
        <w:divId w:val="1034385182"/>
      </w:pPr>
      <w:r w:rsidRPr="00A55200">
        <w:t>Frith, S. y</w:t>
      </w:r>
      <w:r w:rsidR="00A55200">
        <w:t xml:space="preserve"> </w:t>
      </w:r>
      <w:r w:rsidRPr="00A55200">
        <w:t xml:space="preserve">Horne, H. (1987) </w:t>
      </w:r>
      <w:r w:rsidRPr="00A55200">
        <w:rPr>
          <w:i/>
        </w:rPr>
        <w:t>Art into pop.</w:t>
      </w:r>
      <w:r w:rsidRPr="00A55200">
        <w:t xml:space="preserve"> London: Methuen.</w:t>
      </w:r>
    </w:p>
    <w:p w14:paraId="158B9E1E" w14:textId="77777777" w:rsidR="00642426" w:rsidRPr="00A55200" w:rsidRDefault="00642426" w:rsidP="00466961">
      <w:pPr>
        <w:pStyle w:val="NormalWeb"/>
        <w:spacing w:before="0" w:beforeAutospacing="0" w:after="0" w:afterAutospacing="0" w:line="480" w:lineRule="auto"/>
        <w:ind w:left="709" w:hanging="709"/>
        <w:divId w:val="1034385182"/>
      </w:pPr>
      <w:r w:rsidRPr="00A55200">
        <w:t>Garcia, J. L.Lopes, J. T.Martinho, T. D.Neves, J. S.Gomes, R. T. et al.Borges, V. (2016). Mapping cultural policy in portugal: From incentives to crisis.</w:t>
      </w:r>
      <w:r w:rsidRPr="00A55200">
        <w:rPr>
          <w:i/>
          <w:iCs/>
        </w:rPr>
        <w:t xml:space="preserve"> International Journal of Cultural Policy, </w:t>
      </w:r>
      <w:r w:rsidRPr="00A55200">
        <w:t xml:space="preserve">, 1-17. doi:10.1080/10286632.2016.1248950 </w:t>
      </w:r>
    </w:p>
    <w:p w14:paraId="283DA1D1" w14:textId="77777777" w:rsidR="00642426" w:rsidRPr="00A55200" w:rsidRDefault="00642426" w:rsidP="00466961">
      <w:pPr>
        <w:pStyle w:val="NormalWeb"/>
        <w:spacing w:before="0" w:beforeAutospacing="0" w:after="0" w:afterAutospacing="0" w:line="480" w:lineRule="auto"/>
        <w:ind w:left="709" w:hanging="709"/>
        <w:divId w:val="1034385182"/>
      </w:pPr>
      <w:r w:rsidRPr="00A55200">
        <w:t xml:space="preserve">Graziano, P., &amp; Vink, M. (Eds.). (2008). </w:t>
      </w:r>
      <w:r w:rsidRPr="00A55200">
        <w:rPr>
          <w:i/>
          <w:iCs/>
        </w:rPr>
        <w:t>Europeanization. new research agendas</w:t>
      </w:r>
      <w:r w:rsidR="00A55200">
        <w:rPr>
          <w:i/>
          <w:iCs/>
        </w:rPr>
        <w:t xml:space="preserve">  </w:t>
      </w:r>
      <w:r w:rsidRPr="00A55200">
        <w:t xml:space="preserve">. London: Palgrave Macmillan UK. </w:t>
      </w:r>
    </w:p>
    <w:p w14:paraId="5F759C40" w14:textId="77777777" w:rsidR="00642426" w:rsidRPr="00A55200" w:rsidRDefault="00642426" w:rsidP="00466961">
      <w:pPr>
        <w:pStyle w:val="NormalWeb"/>
        <w:spacing w:before="0" w:beforeAutospacing="0" w:after="0" w:afterAutospacing="0" w:line="480" w:lineRule="auto"/>
        <w:ind w:left="709" w:hanging="709"/>
        <w:divId w:val="1034385182"/>
      </w:pPr>
      <w:r w:rsidRPr="00A55200">
        <w:t>Kangas, A., y Vestheim, G. (2010). Institutionalism, cultural institutions and cultural policy in the nordic countries.</w:t>
      </w:r>
      <w:r w:rsidRPr="00A55200">
        <w:rPr>
          <w:i/>
          <w:iCs/>
        </w:rPr>
        <w:t xml:space="preserve"> Nordisk Kulturpolitisk tidsskrift02, </w:t>
      </w:r>
      <w:r w:rsidRPr="00A55200">
        <w:t xml:space="preserve">02, 267-284. </w:t>
      </w:r>
    </w:p>
    <w:p w14:paraId="3DF82E79" w14:textId="77777777" w:rsidR="00642426" w:rsidRPr="00A55200" w:rsidRDefault="00642426" w:rsidP="00466961">
      <w:pPr>
        <w:pStyle w:val="NormalWeb"/>
        <w:spacing w:before="0" w:beforeAutospacing="0" w:after="0" w:afterAutospacing="0" w:line="480" w:lineRule="auto"/>
        <w:ind w:left="709" w:hanging="709"/>
        <w:divId w:val="1034385182"/>
      </w:pPr>
      <w:r w:rsidRPr="00A55200">
        <w:t xml:space="preserve">Konsola, D. (1988). </w:t>
      </w:r>
      <w:r w:rsidR="00FB256E" w:rsidRPr="00A55200">
        <w:t>Descentralisation and cultural policy in Greece.</w:t>
      </w:r>
      <w:r w:rsidRPr="00A55200">
        <w:rPr>
          <w:i/>
          <w:iCs/>
        </w:rPr>
        <w:t xml:space="preserve"> Papers in Regional Science, </w:t>
      </w:r>
      <w:r w:rsidRPr="00A55200">
        <w:t xml:space="preserve">64(1), 129-136. doi:10.1111/j.1435-5597.1988.tb01120.x </w:t>
      </w:r>
    </w:p>
    <w:p w14:paraId="751BAF05" w14:textId="77777777" w:rsidR="00642426" w:rsidRPr="00A55200" w:rsidRDefault="00642426" w:rsidP="00466961">
      <w:pPr>
        <w:pStyle w:val="NormalWeb"/>
        <w:spacing w:before="0" w:beforeAutospacing="0" w:after="0" w:afterAutospacing="0" w:line="480" w:lineRule="auto"/>
        <w:ind w:left="709" w:hanging="709"/>
        <w:divId w:val="1034385182"/>
      </w:pPr>
      <w:r w:rsidRPr="00A55200">
        <w:t>Konsola, D. (1999). La politique culturelle de la grèce.</w:t>
      </w:r>
      <w:r w:rsidRPr="00A55200">
        <w:rPr>
          <w:i/>
          <w:iCs/>
        </w:rPr>
        <w:t xml:space="preserve"> Pôle Sud, </w:t>
      </w:r>
      <w:r w:rsidRPr="00A55200">
        <w:t xml:space="preserve">10, 27-44. </w:t>
      </w:r>
    </w:p>
    <w:p w14:paraId="42165591" w14:textId="77777777" w:rsidR="00BC70DA" w:rsidRPr="00A55200" w:rsidRDefault="00BC70DA" w:rsidP="00466961">
      <w:pPr>
        <w:pStyle w:val="NormalWeb"/>
        <w:spacing w:before="0" w:beforeAutospacing="0" w:after="0" w:afterAutospacing="0" w:line="480" w:lineRule="auto"/>
        <w:ind w:left="709" w:hanging="709"/>
        <w:divId w:val="1034385182"/>
      </w:pPr>
      <w:r w:rsidRPr="00A55200">
        <w:t>Kulturstyrelsen (2014).</w:t>
      </w:r>
      <w:r w:rsidRPr="00A55200">
        <w:rPr>
          <w:i/>
        </w:rPr>
        <w:t xml:space="preserve"> Mapping of Nordic research on culture and creativity in school. </w:t>
      </w:r>
      <w:r w:rsidRPr="00A55200">
        <w:t>(en línea) https://slks.dk/fileadmin/user_upload/dokumenter/KS/Boern/Mapping_of_Nordic_Research_on_Culture_and_Creativity.pdf</w:t>
      </w:r>
    </w:p>
    <w:p w14:paraId="6DDD742A" w14:textId="77777777" w:rsidR="00642426" w:rsidRPr="00A55200" w:rsidRDefault="00642426" w:rsidP="00466961">
      <w:pPr>
        <w:pStyle w:val="NormalWeb"/>
        <w:spacing w:before="0" w:beforeAutospacing="0" w:after="0" w:afterAutospacing="0" w:line="480" w:lineRule="auto"/>
        <w:ind w:left="709" w:hanging="709"/>
        <w:divId w:val="1034385182"/>
      </w:pPr>
      <w:r w:rsidRPr="00A55200">
        <w:t>Mangset, P. (2009)</w:t>
      </w:r>
      <w:r w:rsidR="00FF670E" w:rsidRPr="00A55200">
        <w:t xml:space="preserve">. </w:t>
      </w:r>
      <w:r w:rsidRPr="00A55200">
        <w:t xml:space="preserve">The arm’s length principle and the art funding system. A comparative approach. En M. Pyykkönnen, &amp; S. Sokke (Eds.), </w:t>
      </w:r>
      <w:r w:rsidRPr="00A55200">
        <w:rPr>
          <w:i/>
          <w:iCs/>
        </w:rPr>
        <w:t>What about cultural policy : Interdisciplinary perspectives on culture and politics</w:t>
      </w:r>
      <w:r w:rsidRPr="00A55200">
        <w:t xml:space="preserve"> (pp. 15-35). Oslo: Minerva Kustannus. </w:t>
      </w:r>
    </w:p>
    <w:p w14:paraId="63BE5CF3" w14:textId="2B1E2F75" w:rsidR="00FB256E" w:rsidRPr="00A55200" w:rsidRDefault="00FB256E" w:rsidP="00466961">
      <w:pPr>
        <w:pStyle w:val="NormalWeb"/>
        <w:spacing w:before="0" w:beforeAutospacing="0" w:after="0" w:afterAutospacing="0" w:line="480" w:lineRule="auto"/>
        <w:ind w:left="709" w:hanging="709"/>
        <w:divId w:val="1034385182"/>
        <w:rPr>
          <w:i/>
        </w:rPr>
      </w:pPr>
      <w:r w:rsidRPr="00A55200">
        <w:t xml:space="preserve">Menger, P-M. (2016). Art, politització i acció pública. </w:t>
      </w:r>
      <w:r w:rsidRPr="00A55200">
        <w:rPr>
          <w:i/>
        </w:rPr>
        <w:t>Debats. Revista de cultura, poder y societat, 130 (2), 73-98</w:t>
      </w:r>
      <w:r w:rsidR="00466961">
        <w:rPr>
          <w:i/>
        </w:rPr>
        <w:t>.</w:t>
      </w:r>
    </w:p>
    <w:p w14:paraId="1900D37C" w14:textId="77777777" w:rsidR="00642426" w:rsidRPr="00A55200" w:rsidRDefault="00642426" w:rsidP="00466961">
      <w:pPr>
        <w:pStyle w:val="NormalWeb"/>
        <w:spacing w:before="0" w:beforeAutospacing="0" w:after="0" w:afterAutospacing="0" w:line="480" w:lineRule="auto"/>
        <w:ind w:left="709" w:hanging="709"/>
        <w:divId w:val="1034385182"/>
      </w:pPr>
      <w:r w:rsidRPr="00A55200">
        <w:lastRenderedPageBreak/>
        <w:t>Rius-Ulldemolins, J.Hernàndez, I. M. et al.Torres, F. (2016). Urban development and cultural policy “White elephants”: Barcelona and valencia.</w:t>
      </w:r>
      <w:r w:rsidRPr="00A55200">
        <w:rPr>
          <w:i/>
          <w:iCs/>
        </w:rPr>
        <w:t xml:space="preserve"> European Planning Studies, </w:t>
      </w:r>
      <w:r w:rsidRPr="00A55200">
        <w:t xml:space="preserve">24(1), 61-75. doi:10.1080/09654313.2015.1075965 </w:t>
      </w:r>
    </w:p>
    <w:p w14:paraId="4FBE0387" w14:textId="77777777" w:rsidR="00642426" w:rsidRPr="00A55200" w:rsidRDefault="00642426" w:rsidP="00466961">
      <w:pPr>
        <w:pStyle w:val="NormalWeb"/>
        <w:spacing w:before="0" w:beforeAutospacing="0" w:after="0" w:afterAutospacing="0" w:line="480" w:lineRule="auto"/>
        <w:ind w:left="709" w:hanging="709"/>
        <w:divId w:val="1034385182"/>
      </w:pPr>
      <w:r w:rsidRPr="00A55200">
        <w:t xml:space="preserve">Rius-Ulldemolins, J., &amp; Rubio Arostegui, J. A. (2016). Política cultural y grandes equipamientos culturales en el estado español. los retos de la gestión y gobernanza en el contexto internacional. En J. Rius Ulldemolins, &amp; J. A. Rubio Arostegui (Eds.), </w:t>
      </w:r>
      <w:r w:rsidRPr="00A55200">
        <w:rPr>
          <w:i/>
          <w:iCs/>
        </w:rPr>
        <w:t>Treinta años de políticas culturales en españa. participación cultural, gobernanza territorial e industrias culturales</w:t>
      </w:r>
      <w:r w:rsidRPr="00A55200">
        <w:t xml:space="preserve"> (pp. 161-184). València: Publicacions de la Universitat de València. </w:t>
      </w:r>
    </w:p>
    <w:p w14:paraId="479A36D2" w14:textId="77777777" w:rsidR="00642426" w:rsidRPr="00A55200" w:rsidRDefault="00642426" w:rsidP="00466961">
      <w:pPr>
        <w:pStyle w:val="NormalWeb"/>
        <w:spacing w:before="0" w:beforeAutospacing="0" w:after="0" w:afterAutospacing="0" w:line="480" w:lineRule="auto"/>
        <w:ind w:left="709" w:hanging="709"/>
        <w:divId w:val="1034385182"/>
      </w:pPr>
      <w:r w:rsidRPr="00A55200">
        <w:t>Rius-Ulldemolins, J., y Rubio, A. (2013). The governance of national cultural organisations: Comparative study of performance contracts with the main cultural organisations in england, france and catalonia.</w:t>
      </w:r>
      <w:r w:rsidRPr="00A55200">
        <w:rPr>
          <w:i/>
          <w:iCs/>
        </w:rPr>
        <w:t xml:space="preserve"> International Journal of Cultural Policy, </w:t>
      </w:r>
      <w:r w:rsidRPr="00A55200">
        <w:t xml:space="preserve">19(2), 249-269. </w:t>
      </w:r>
    </w:p>
    <w:p w14:paraId="0235FBE5" w14:textId="77777777" w:rsidR="00805FD4" w:rsidRPr="00A55200" w:rsidRDefault="00805FD4" w:rsidP="00466961">
      <w:pPr>
        <w:pStyle w:val="NormalWeb"/>
        <w:spacing w:before="0" w:beforeAutospacing="0" w:after="0" w:afterAutospacing="0" w:line="480" w:lineRule="auto"/>
        <w:ind w:left="709" w:hanging="709"/>
        <w:divId w:val="1034385182"/>
      </w:pPr>
      <w:r w:rsidRPr="00A55200">
        <w:t>Robinson, K. (1996).</w:t>
      </w:r>
      <w:r w:rsidR="00A55200">
        <w:t xml:space="preserve"> </w:t>
      </w:r>
      <w:r w:rsidRPr="00A55200">
        <w:rPr>
          <w:i/>
        </w:rPr>
        <w:t>Culture, créativité et les jeunes. L’Éducation artistique</w:t>
      </w:r>
      <w:r w:rsidR="00A55200">
        <w:rPr>
          <w:i/>
        </w:rPr>
        <w:t xml:space="preserve"> </w:t>
      </w:r>
      <w:r w:rsidRPr="00A55200">
        <w:rPr>
          <w:i/>
        </w:rPr>
        <w:t>en Europe : un Étude.</w:t>
      </w:r>
      <w:r w:rsidRPr="00A55200">
        <w:t xml:space="preserve"> [Council of Europe], Strasbourg.</w:t>
      </w:r>
    </w:p>
    <w:p w14:paraId="6C0D3F5B" w14:textId="77777777" w:rsidR="00642426" w:rsidRPr="00A55200" w:rsidRDefault="00642426" w:rsidP="00466961">
      <w:pPr>
        <w:pStyle w:val="NormalWeb"/>
        <w:spacing w:before="0" w:beforeAutospacing="0" w:after="0" w:afterAutospacing="0" w:line="480" w:lineRule="auto"/>
        <w:ind w:left="709" w:hanging="709"/>
        <w:divId w:val="1034385182"/>
      </w:pPr>
      <w:r w:rsidRPr="00A55200">
        <w:t xml:space="preserve">Roose, H.van Eijck, K. et al.Lievens, J. (2012). </w:t>
      </w:r>
      <w:r w:rsidRPr="00A55200">
        <w:rPr>
          <w:i/>
          <w:iCs/>
        </w:rPr>
        <w:t>Culture of distinction or culture of openness? using a social space approach to analyze the social structuring of lifestyles</w:t>
      </w:r>
      <w:r w:rsidRPr="00A55200">
        <w:t xml:space="preserve"> doi:</w:t>
      </w:r>
      <w:hyperlink r:id="rId17" w:tgtFrame="_blank" w:history="1">
        <w:r w:rsidRPr="00A55200">
          <w:rPr>
            <w:rStyle w:val="Hipervnculo"/>
          </w:rPr>
          <w:t>https://doi.org/10.1016/j.poetic.2012.08.001</w:t>
        </w:r>
      </w:hyperlink>
      <w:r w:rsidRPr="00A55200">
        <w:t xml:space="preserve"> </w:t>
      </w:r>
    </w:p>
    <w:p w14:paraId="5344649F" w14:textId="77777777" w:rsidR="00642426" w:rsidRPr="00A55200" w:rsidRDefault="00642426" w:rsidP="00466961">
      <w:pPr>
        <w:pStyle w:val="NormalWeb"/>
        <w:spacing w:before="0" w:beforeAutospacing="0" w:after="0" w:afterAutospacing="0" w:line="480" w:lineRule="auto"/>
        <w:ind w:left="709" w:hanging="709"/>
        <w:divId w:val="1034385182"/>
      </w:pPr>
      <w:r w:rsidRPr="00A55200">
        <w:t xml:space="preserve">Rubio Arostegui, J. A. (2003). </w:t>
      </w:r>
      <w:r w:rsidRPr="00A55200">
        <w:rPr>
          <w:i/>
          <w:iCs/>
        </w:rPr>
        <w:t>La política cultural del estado en los gobiernos socialistas: 1982-1996</w:t>
      </w:r>
      <w:r w:rsidRPr="00A55200">
        <w:t xml:space="preserve">. Gijón: Trea. </w:t>
      </w:r>
    </w:p>
    <w:p w14:paraId="01D4FB29" w14:textId="77777777" w:rsidR="00642426" w:rsidRPr="00A55200" w:rsidRDefault="00642426" w:rsidP="00466961">
      <w:pPr>
        <w:pStyle w:val="NormalWeb"/>
        <w:spacing w:before="0" w:beforeAutospacing="0" w:after="0" w:afterAutospacing="0" w:line="480" w:lineRule="auto"/>
        <w:ind w:left="709" w:hanging="709"/>
        <w:divId w:val="1034385182"/>
      </w:pPr>
      <w:r w:rsidRPr="00A55200">
        <w:t>Rubio Arostegui, J. A. (2005). La política cultural del estado en los gobiernos populares (1996-2004): Entre el ¿liberalismo? y el continuismo socialista.</w:t>
      </w:r>
      <w:r w:rsidRPr="00A55200">
        <w:rPr>
          <w:i/>
          <w:iCs/>
        </w:rPr>
        <w:t xml:space="preserve"> Revista Sistema, </w:t>
      </w:r>
      <w:r w:rsidRPr="00A55200">
        <w:t xml:space="preserve">187, 111-124. </w:t>
      </w:r>
    </w:p>
    <w:p w14:paraId="62B40DBD" w14:textId="77777777" w:rsidR="00642426" w:rsidRPr="00A55200" w:rsidRDefault="00642426" w:rsidP="00466961">
      <w:pPr>
        <w:pStyle w:val="NormalWeb"/>
        <w:spacing w:before="0" w:beforeAutospacing="0" w:after="0" w:afterAutospacing="0" w:line="480" w:lineRule="auto"/>
        <w:ind w:left="709" w:hanging="709"/>
        <w:divId w:val="1034385182"/>
      </w:pPr>
      <w:r w:rsidRPr="00A55200">
        <w:t xml:space="preserve">Rubio Arostegui, J. A., y Rius-Ulldemolins, J. (2018). Cultural policies in the south of europe after the global economic crisis: Is there a southern model within the </w:t>
      </w:r>
      <w:r w:rsidRPr="00A55200">
        <w:lastRenderedPageBreak/>
        <w:t>framework of european convergence?</w:t>
      </w:r>
      <w:r w:rsidRPr="00A55200">
        <w:rPr>
          <w:i/>
          <w:iCs/>
        </w:rPr>
        <w:t xml:space="preserve"> International Journal of Cultural Policy, </w:t>
      </w:r>
      <w:r w:rsidRPr="00A55200">
        <w:t xml:space="preserve">, 1-15. doi:10.1080/10286632.2018.1429421 </w:t>
      </w:r>
    </w:p>
    <w:p w14:paraId="307FEE32" w14:textId="77777777" w:rsidR="00642426" w:rsidRPr="00A55200" w:rsidRDefault="00642426" w:rsidP="00466961">
      <w:pPr>
        <w:pStyle w:val="NormalWeb"/>
        <w:spacing w:before="0" w:beforeAutospacing="0" w:after="0" w:afterAutospacing="0" w:line="480" w:lineRule="auto"/>
        <w:ind w:left="709" w:hanging="709"/>
        <w:divId w:val="1034385182"/>
      </w:pPr>
      <w:r w:rsidRPr="00A55200">
        <w:t>Sassatelli, M. (2002). Imagined europe. the shaping of a european cultural identity through EU cultural policy.</w:t>
      </w:r>
      <w:r w:rsidRPr="00A55200">
        <w:rPr>
          <w:i/>
          <w:iCs/>
        </w:rPr>
        <w:t xml:space="preserve"> European Journal of Social Theory, </w:t>
      </w:r>
      <w:r w:rsidRPr="00A55200">
        <w:t xml:space="preserve">5(4), 435-451. </w:t>
      </w:r>
    </w:p>
    <w:p w14:paraId="36E1B92D" w14:textId="77777777" w:rsidR="00642426" w:rsidRPr="00A55200" w:rsidRDefault="00642426" w:rsidP="00466961">
      <w:pPr>
        <w:pStyle w:val="NormalWeb"/>
        <w:spacing w:before="0" w:beforeAutospacing="0" w:after="0" w:afterAutospacing="0" w:line="480" w:lineRule="auto"/>
        <w:ind w:left="709" w:hanging="709"/>
        <w:divId w:val="1034385182"/>
      </w:pPr>
      <w:r w:rsidRPr="00A55200">
        <w:t>Sassatelli, M. (2007). The arts, the state, and the EU: Cultural policy in the making of europe.</w:t>
      </w:r>
      <w:r w:rsidRPr="00A55200">
        <w:rPr>
          <w:i/>
          <w:iCs/>
        </w:rPr>
        <w:t xml:space="preserve"> Social Analysis: The International Journal of Social and Cultural Practice, </w:t>
      </w:r>
      <w:r w:rsidRPr="00A55200">
        <w:t xml:space="preserve">51(1), 28-41. </w:t>
      </w:r>
    </w:p>
    <w:p w14:paraId="0C89B1FE" w14:textId="77777777" w:rsidR="00907377" w:rsidRPr="00A55200" w:rsidRDefault="00907377" w:rsidP="00466961">
      <w:pPr>
        <w:pStyle w:val="NormalWeb"/>
        <w:spacing w:before="0" w:beforeAutospacing="0" w:after="0" w:afterAutospacing="0" w:line="480" w:lineRule="auto"/>
        <w:ind w:left="709" w:hanging="709"/>
        <w:divId w:val="1034385182"/>
      </w:pPr>
      <w:r w:rsidRPr="00A55200">
        <w:t xml:space="preserve">Van Hek, M., and Kraaykamp, G.. (2013). Cultural consumption across countries: A multi-level analysis of social inequality in highbrow culture in Europe. </w:t>
      </w:r>
      <w:r w:rsidRPr="00A55200">
        <w:rPr>
          <w:i/>
        </w:rPr>
        <w:t>Poetics</w:t>
      </w:r>
      <w:r w:rsidR="005F4D42" w:rsidRPr="00A55200">
        <w:rPr>
          <w:i/>
        </w:rPr>
        <w:t>,</w:t>
      </w:r>
      <w:r w:rsidRPr="00A55200">
        <w:rPr>
          <w:i/>
        </w:rPr>
        <w:t xml:space="preserve"> </w:t>
      </w:r>
      <w:r w:rsidRPr="00A55200">
        <w:t>41</w:t>
      </w:r>
      <w:r w:rsidR="005F4D42" w:rsidRPr="00A55200">
        <w:t xml:space="preserve"> (4), </w:t>
      </w:r>
      <w:r w:rsidR="00787BE5" w:rsidRPr="00A55200">
        <w:t xml:space="preserve">323–41. </w:t>
      </w:r>
      <w:r w:rsidRPr="00A55200">
        <w:t>doi:10.1016/j.poet</w:t>
      </w:r>
      <w:r w:rsidR="00787BE5" w:rsidRPr="00A55200">
        <w:t>ic.2013.05.001</w:t>
      </w:r>
    </w:p>
    <w:p w14:paraId="197E0B0F" w14:textId="77777777" w:rsidR="00642426" w:rsidRPr="00A55200" w:rsidRDefault="00642426" w:rsidP="00466961">
      <w:pPr>
        <w:pStyle w:val="NormalWeb"/>
        <w:spacing w:before="0" w:beforeAutospacing="0" w:after="0" w:afterAutospacing="0" w:line="480" w:lineRule="auto"/>
        <w:ind w:left="709" w:hanging="709"/>
        <w:divId w:val="1034385182"/>
      </w:pPr>
      <w:r w:rsidRPr="00A55200">
        <w:t>Verney, S., y Bosco, A. (2013). Living parallel lives: Italy and greece in an age of austerity.</w:t>
      </w:r>
      <w:r w:rsidRPr="00A55200">
        <w:rPr>
          <w:i/>
          <w:iCs/>
        </w:rPr>
        <w:t xml:space="preserve"> South European Society and Politics, </w:t>
      </w:r>
      <w:r w:rsidRPr="00A55200">
        <w:t xml:space="preserve">18(4), 397-426. doi:10.1080/13608746.2014.883192 </w:t>
      </w:r>
    </w:p>
    <w:p w14:paraId="137AF141" w14:textId="77777777" w:rsidR="00642426" w:rsidRPr="00A55200" w:rsidRDefault="00642426" w:rsidP="00466961">
      <w:pPr>
        <w:pStyle w:val="NormalWeb"/>
        <w:spacing w:before="0" w:beforeAutospacing="0" w:after="0" w:afterAutospacing="0" w:line="480" w:lineRule="auto"/>
        <w:ind w:left="709" w:hanging="709"/>
        <w:divId w:val="1034385182"/>
      </w:pPr>
      <w:r w:rsidRPr="00A55200">
        <w:t xml:space="preserve">Zakaras, L., y Lowell Julia F. (2008). </w:t>
      </w:r>
      <w:r w:rsidRPr="00A55200">
        <w:rPr>
          <w:i/>
          <w:iCs/>
        </w:rPr>
        <w:t>Cultivating demand for the arts.</w:t>
      </w:r>
      <w:r w:rsidR="00A55200">
        <w:rPr>
          <w:i/>
          <w:iCs/>
        </w:rPr>
        <w:t xml:space="preserve"> </w:t>
      </w:r>
      <w:r w:rsidRPr="00A55200">
        <w:rPr>
          <w:i/>
          <w:iCs/>
        </w:rPr>
        <w:t>arts learning, arts engagement, and state arts policy</w:t>
      </w:r>
      <w:r w:rsidRPr="00A55200">
        <w:t xml:space="preserve">. Santa Monica CA: RAND Corporation. </w:t>
      </w:r>
    </w:p>
    <w:p w14:paraId="6E8603EE" w14:textId="77777777" w:rsidR="00642426" w:rsidRPr="00A55200" w:rsidRDefault="00642426" w:rsidP="00466961">
      <w:pPr>
        <w:pStyle w:val="NormalWeb"/>
        <w:spacing w:before="0" w:beforeAutospacing="0" w:after="0" w:afterAutospacing="0" w:line="480" w:lineRule="auto"/>
        <w:ind w:left="709" w:hanging="709"/>
        <w:divId w:val="1034385182"/>
      </w:pPr>
      <w:r w:rsidRPr="00A55200">
        <w:t>Zambarloukou, S. (2015). Greece after the crisis: Still a south european welfare model?</w:t>
      </w:r>
      <w:r w:rsidRPr="00A55200">
        <w:rPr>
          <w:i/>
          <w:iCs/>
        </w:rPr>
        <w:t xml:space="preserve"> European Societies, </w:t>
      </w:r>
      <w:r w:rsidRPr="00A55200">
        <w:t xml:space="preserve">17(5), 653-673. doi:10.1080/14616696.2015.1103887 </w:t>
      </w:r>
    </w:p>
    <w:p w14:paraId="2651BFF1" w14:textId="77777777" w:rsidR="00642426" w:rsidRPr="00A55200" w:rsidRDefault="00642426" w:rsidP="00466961">
      <w:pPr>
        <w:pStyle w:val="NormalWeb"/>
        <w:spacing w:before="0" w:beforeAutospacing="0" w:after="0" w:afterAutospacing="0" w:line="480" w:lineRule="auto"/>
        <w:ind w:left="709" w:hanging="709"/>
        <w:divId w:val="1034385182"/>
      </w:pPr>
      <w:r w:rsidRPr="00A55200">
        <w:t>Zorba, M. (2009). Conceptualizing greek cultural policy: The non‐democratization of public culture.</w:t>
      </w:r>
      <w:r w:rsidRPr="00A55200">
        <w:rPr>
          <w:i/>
          <w:iCs/>
        </w:rPr>
        <w:t xml:space="preserve"> International Journal of Cultural Policy, </w:t>
      </w:r>
      <w:r w:rsidRPr="00A55200">
        <w:t xml:space="preserve">15(3), 245-259. doi:10.1080/10286630802621522 </w:t>
      </w:r>
    </w:p>
    <w:p w14:paraId="293D4B68" w14:textId="77777777" w:rsidR="00422DE4" w:rsidRPr="00A55200" w:rsidRDefault="00642426" w:rsidP="00466961">
      <w:pPr>
        <w:spacing w:after="0" w:line="480" w:lineRule="auto"/>
        <w:ind w:left="709" w:hanging="709"/>
        <w:rPr>
          <w:rFonts w:ascii="Times New Roman" w:hAnsi="Times New Roman" w:cs="Times New Roman"/>
          <w:sz w:val="24"/>
          <w:szCs w:val="24"/>
          <w:lang w:val="en-US"/>
        </w:rPr>
      </w:pPr>
      <w:r w:rsidRPr="00A55200">
        <w:rPr>
          <w:rFonts w:ascii="Times New Roman" w:hAnsi="Times New Roman" w:cs="Times New Roman"/>
          <w:sz w:val="24"/>
          <w:szCs w:val="24"/>
          <w:lang w:val="en-US"/>
        </w:rPr>
        <w:fldChar w:fldCharType="end"/>
      </w:r>
    </w:p>
    <w:sectPr w:rsidR="00422DE4" w:rsidRPr="00A55200" w:rsidSect="009D626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A5C98" w14:textId="77777777" w:rsidR="00B13D7A" w:rsidRDefault="00B13D7A" w:rsidP="0020547C">
      <w:pPr>
        <w:spacing w:after="0" w:line="240" w:lineRule="auto"/>
      </w:pPr>
      <w:r>
        <w:separator/>
      </w:r>
    </w:p>
  </w:endnote>
  <w:endnote w:type="continuationSeparator" w:id="0">
    <w:p w14:paraId="0DAB063F" w14:textId="77777777" w:rsidR="00B13D7A" w:rsidRDefault="00B13D7A" w:rsidP="0020547C">
      <w:pPr>
        <w:spacing w:after="0" w:line="240" w:lineRule="auto"/>
      </w:pPr>
      <w:r>
        <w:continuationSeparator/>
      </w:r>
    </w:p>
  </w:endnote>
  <w:endnote w:id="1">
    <w:p w14:paraId="1FA41A2E" w14:textId="3980A412" w:rsidR="005B6084" w:rsidRPr="003558DE" w:rsidRDefault="005B6084" w:rsidP="005B6084">
      <w:pPr>
        <w:pStyle w:val="Textonotaalfinal"/>
        <w:jc w:val="both"/>
        <w:rPr>
          <w:rFonts w:ascii="Times New Roman" w:hAnsi="Times New Roman" w:cs="Times New Roman"/>
        </w:rPr>
      </w:pPr>
      <w:r w:rsidRPr="003558DE">
        <w:rPr>
          <w:rStyle w:val="Refdenotaalfinal"/>
          <w:rFonts w:ascii="Times New Roman" w:hAnsi="Times New Roman" w:cs="Times New Roman"/>
        </w:rPr>
        <w:endnoteRef/>
      </w:r>
      <w:r w:rsidRPr="003558DE">
        <w:rPr>
          <w:rFonts w:ascii="Times New Roman" w:hAnsi="Times New Roman" w:cs="Times New Roman"/>
        </w:rPr>
        <w:t xml:space="preserve"> Algunos países europeos, como el caso de España y al final del franquismo la for</w:t>
      </w:r>
      <w:r>
        <w:rPr>
          <w:rFonts w:ascii="Times New Roman" w:hAnsi="Times New Roman" w:cs="Times New Roman"/>
        </w:rPr>
        <w:t>mación de las bellas artes quedó</w:t>
      </w:r>
      <w:r w:rsidRPr="003558DE">
        <w:rPr>
          <w:rFonts w:ascii="Times New Roman" w:hAnsi="Times New Roman" w:cs="Times New Roman"/>
        </w:rPr>
        <w:t xml:space="preserve"> integrada en el catálogo de estudios universitarios, incluso las artes escénicas que han tenido un periplo histórico más ligado a la educación no formal comienzan a integrarse en el espacio universitario con el proceso de Bolonia, si bien la educación superior artística (los conservatorios superiores) un estatus no universitario y diferenciado en el marco de la educación superior.</w:t>
      </w:r>
    </w:p>
    <w:p w14:paraId="758D254F" w14:textId="77777777" w:rsidR="005B6084" w:rsidRPr="003558DE" w:rsidRDefault="005B6084" w:rsidP="005B6084">
      <w:pPr>
        <w:pStyle w:val="Textonotaalfinal"/>
        <w:rPr>
          <w:rFonts w:ascii="Times New Roman" w:hAnsi="Times New Roman" w:cs="Times New Roman"/>
        </w:rPr>
      </w:pPr>
    </w:p>
  </w:endnote>
  <w:endnote w:id="2">
    <w:p w14:paraId="084B20B1" w14:textId="77777777" w:rsidR="00D105C3" w:rsidRPr="003558DE" w:rsidRDefault="00D105C3" w:rsidP="00A360B4">
      <w:pPr>
        <w:pStyle w:val="Textonotaalfinal"/>
        <w:jc w:val="both"/>
        <w:rPr>
          <w:rFonts w:ascii="Times New Roman" w:hAnsi="Times New Roman" w:cs="Times New Roman"/>
        </w:rPr>
      </w:pPr>
      <w:r w:rsidRPr="003558DE">
        <w:rPr>
          <w:rStyle w:val="Refdenotaalfinal"/>
          <w:rFonts w:ascii="Times New Roman" w:hAnsi="Times New Roman" w:cs="Times New Roman"/>
        </w:rPr>
        <w:endnoteRef/>
      </w:r>
      <w:r w:rsidRPr="003558DE">
        <w:rPr>
          <w:rFonts w:ascii="Times New Roman" w:hAnsi="Times New Roman" w:cs="Times New Roman"/>
        </w:rPr>
        <w:t xml:space="preserve"> Estadísticamente es el porcentaje de población más representativo que expresa un mínimo valor positivo de consumo ya que en muchos casos es mayor el porcentaje de los no-consumidores (por ejemplo, en el caso de la asistencia a Ballet, danza y ópera la media europea de los que no asisten nunca es del 81% frente al 19 % que han asistido al menos una vez al año. Asimismo, no consideramos los casos de mayor consumo (más de cinco veces al año), si bien su análisis puede testar las tesis de omnivorismo cultural y su perfil cuantitativo en los países europeos.</w:t>
      </w:r>
    </w:p>
    <w:p w14:paraId="4531D4FB" w14:textId="77777777" w:rsidR="00D105C3" w:rsidRPr="003558DE" w:rsidRDefault="00D105C3" w:rsidP="00A360B4">
      <w:pPr>
        <w:pStyle w:val="Textonotaalfinal"/>
        <w:rPr>
          <w:rFonts w:ascii="Times New Roman" w:hAnsi="Times New Roman" w:cs="Times New Roman"/>
        </w:rPr>
      </w:pPr>
    </w:p>
  </w:endnote>
  <w:endnote w:id="3">
    <w:p w14:paraId="78F90CE7" w14:textId="77777777" w:rsidR="00974439" w:rsidRPr="003558DE" w:rsidRDefault="00974439" w:rsidP="00974439">
      <w:pPr>
        <w:pStyle w:val="Textonotaalfinal"/>
        <w:rPr>
          <w:rFonts w:ascii="Times New Roman" w:hAnsi="Times New Roman" w:cs="Times New Roman"/>
        </w:rPr>
      </w:pPr>
      <w:r w:rsidRPr="003558DE">
        <w:rPr>
          <w:rStyle w:val="Refdenotaalfinal"/>
          <w:rFonts w:ascii="Times New Roman" w:hAnsi="Times New Roman" w:cs="Times New Roman"/>
        </w:rPr>
        <w:endnoteRef/>
      </w:r>
      <w:r w:rsidRPr="003558DE">
        <w:rPr>
          <w:rFonts w:ascii="Times New Roman" w:hAnsi="Times New Roman" w:cs="Times New Roman"/>
        </w:rPr>
        <w:t xml:space="preserve"> De hecho, en España la LOMCE elimina la obligatoriedad de cursar Educación Artística en Educación Primaria, y Música en Educación Secundaria, otra cosa es que las Comunidades Autónomas en el papel que les corresponde hayan optado por mantener dicha materia. </w:t>
      </w:r>
    </w:p>
    <w:p w14:paraId="0570FA80" w14:textId="77777777" w:rsidR="00974439" w:rsidRPr="003558DE" w:rsidRDefault="00974439" w:rsidP="00974439">
      <w:pPr>
        <w:pStyle w:val="Textonotaalfinal"/>
        <w:rPr>
          <w:rFonts w:ascii="Times New Roman" w:hAnsi="Times New Roman" w:cs="Times New Roman"/>
        </w:rPr>
      </w:pPr>
    </w:p>
  </w:endnote>
  <w:endnote w:id="4">
    <w:p w14:paraId="09C67211" w14:textId="77777777" w:rsidR="00974439" w:rsidRDefault="00974439" w:rsidP="00974439">
      <w:pPr>
        <w:pStyle w:val="Textonotaalfinal"/>
        <w:rPr>
          <w:rFonts w:ascii="Times New Roman" w:hAnsi="Times New Roman" w:cs="Times New Roman"/>
        </w:rPr>
      </w:pPr>
      <w:r w:rsidRPr="003558DE">
        <w:rPr>
          <w:rStyle w:val="Refdenotaalfinal"/>
          <w:rFonts w:ascii="Times New Roman" w:hAnsi="Times New Roman" w:cs="Times New Roman"/>
        </w:rPr>
        <w:endnoteRef/>
      </w:r>
      <w:r>
        <w:rPr>
          <w:rFonts w:ascii="Times New Roman" w:hAnsi="Times New Roman" w:cs="Times New Roman"/>
        </w:rPr>
        <w:t xml:space="preserve"> </w:t>
      </w:r>
      <w:hyperlink r:id="rId1" w:history="1">
        <w:r w:rsidRPr="008523E0">
          <w:rPr>
            <w:rStyle w:val="Hipervnculo"/>
            <w:rFonts w:ascii="Times New Roman" w:hAnsi="Times New Roman" w:cs="Times New Roman"/>
          </w:rPr>
          <w:t>https://culturallearningalliance.org.uk/wp-content/uploads/2015/03/Patterns-in-GCSE-entries-2010-to-2017-England-only.pdf</w:t>
        </w:r>
      </w:hyperlink>
    </w:p>
    <w:p w14:paraId="1D12B7BE" w14:textId="77777777" w:rsidR="00974439" w:rsidRPr="003558DE" w:rsidRDefault="00974439" w:rsidP="00974439">
      <w:pPr>
        <w:pStyle w:val="Textonotaalfinal"/>
        <w:rPr>
          <w:rFonts w:ascii="Times New Roman" w:hAnsi="Times New Roman" w:cs="Times New Roman"/>
        </w:rPr>
      </w:pPr>
    </w:p>
  </w:endnote>
  <w:endnote w:id="5">
    <w:p w14:paraId="72D75763" w14:textId="77777777" w:rsidR="00CD2C4A" w:rsidRDefault="00CD2C4A" w:rsidP="00CD2C4A">
      <w:pPr>
        <w:pStyle w:val="Textonotaalfinal"/>
        <w:rPr>
          <w:rFonts w:ascii="Times New Roman" w:hAnsi="Times New Roman" w:cs="Times New Roman"/>
          <w:lang w:val="en-GB"/>
        </w:rPr>
      </w:pPr>
      <w:r w:rsidRPr="002D7060">
        <w:rPr>
          <w:rStyle w:val="Refdenotaalfinal"/>
          <w:rFonts w:ascii="Times New Roman" w:hAnsi="Times New Roman" w:cs="Times New Roman"/>
          <w:lang w:val="es-419"/>
        </w:rPr>
        <w:endnoteRef/>
      </w:r>
      <w:r w:rsidRPr="002D7060">
        <w:rPr>
          <w:rFonts w:ascii="Times New Roman" w:hAnsi="Times New Roman" w:cs="Times New Roman"/>
          <w:lang w:val="en-GB"/>
        </w:rPr>
        <w:t xml:space="preserve"> Algunos de ellos di</w:t>
      </w:r>
      <w:r>
        <w:rPr>
          <w:rFonts w:ascii="Times New Roman" w:hAnsi="Times New Roman" w:cs="Times New Roman"/>
          <w:lang w:val="en-GB"/>
        </w:rPr>
        <w:t>sponen de</w:t>
      </w:r>
      <w:r w:rsidRPr="002D7060">
        <w:rPr>
          <w:rFonts w:ascii="Times New Roman" w:hAnsi="Times New Roman" w:cs="Times New Roman"/>
          <w:lang w:val="en-GB"/>
        </w:rPr>
        <w:t xml:space="preserve"> evaluaciones</w:t>
      </w:r>
      <w:r>
        <w:rPr>
          <w:rFonts w:ascii="Times New Roman" w:hAnsi="Times New Roman" w:cs="Times New Roman"/>
          <w:lang w:val="en-GB"/>
        </w:rPr>
        <w:t xml:space="preserve"> </w:t>
      </w:r>
      <w:r w:rsidRPr="002D7060">
        <w:rPr>
          <w:rFonts w:ascii="Times New Roman" w:hAnsi="Times New Roman" w:cs="Times New Roman"/>
          <w:lang w:val="en-GB"/>
        </w:rPr>
        <w:t>acerca de su impacto social, artístico y educativo:</w:t>
      </w:r>
      <w:r>
        <w:rPr>
          <w:rFonts w:ascii="Times New Roman" w:hAnsi="Times New Roman" w:cs="Times New Roman"/>
          <w:lang w:val="en-GB"/>
        </w:rPr>
        <w:t xml:space="preserve"> </w:t>
      </w:r>
      <w:r w:rsidRPr="002D7060">
        <w:rPr>
          <w:rFonts w:ascii="Times New Roman" w:hAnsi="Times New Roman" w:cs="Times New Roman"/>
          <w:lang w:val="en-GB"/>
        </w:rPr>
        <w:t xml:space="preserve">Music Manifesto, Film Club, Learning Outside the Classroom, First Light, Mediabox, In Harmony, U.DANCE, Arts Awards, Artsmark, Music Standards Fund, Creative Partnerships, Find Your Talent, Reading Matters. </w:t>
      </w:r>
    </w:p>
    <w:p w14:paraId="4A405F09" w14:textId="77777777" w:rsidR="00CD2C4A" w:rsidRPr="002D7060" w:rsidRDefault="00CD2C4A" w:rsidP="00CD2C4A">
      <w:pPr>
        <w:pStyle w:val="Textonotaalfinal"/>
        <w:rPr>
          <w:rFonts w:ascii="Times New Roman" w:hAnsi="Times New Roman" w:cs="Times New Roman"/>
          <w:lang w:val="en-GB"/>
        </w:rPr>
      </w:pPr>
    </w:p>
  </w:endnote>
  <w:endnote w:id="6">
    <w:p w14:paraId="67D038B9" w14:textId="77777777" w:rsidR="00D105C3" w:rsidRPr="003558DE" w:rsidRDefault="00D105C3">
      <w:pPr>
        <w:pStyle w:val="Textonotaalfinal"/>
        <w:rPr>
          <w:rFonts w:ascii="Times New Roman" w:hAnsi="Times New Roman" w:cs="Times New Roman"/>
          <w:lang w:val="en-GB"/>
        </w:rPr>
      </w:pPr>
      <w:r w:rsidRPr="003558DE">
        <w:rPr>
          <w:rStyle w:val="Refdenotaalfinal"/>
          <w:rFonts w:ascii="Times New Roman" w:hAnsi="Times New Roman" w:cs="Times New Roman"/>
        </w:rPr>
        <w:endnoteRef/>
      </w:r>
      <w:hyperlink r:id="rId2" w:history="1">
        <w:r w:rsidRPr="003558DE">
          <w:rPr>
            <w:rStyle w:val="Hipervnculo"/>
            <w:rFonts w:ascii="Times New Roman" w:hAnsi="Times New Roman" w:cs="Times New Roman"/>
            <w:lang w:val="en-GB"/>
          </w:rPr>
          <w:t>https://slks.dk/fileadmin/user_upload/dokumenter/KS/Boern/Mapping_of_Nordic_Research_on_Culture_and_Creativity.pdf</w:t>
        </w:r>
      </w:hyperlink>
    </w:p>
    <w:p w14:paraId="3A1D0F63" w14:textId="77777777" w:rsidR="00D105C3" w:rsidRPr="003558DE" w:rsidRDefault="00D105C3">
      <w:pPr>
        <w:pStyle w:val="Textonotaalfinal"/>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0162003"/>
      <w:docPartObj>
        <w:docPartGallery w:val="Page Numbers (Bottom of Page)"/>
        <w:docPartUnique/>
      </w:docPartObj>
    </w:sdtPr>
    <w:sdtEndPr/>
    <w:sdtContent>
      <w:p w14:paraId="0ADCF379" w14:textId="54D01E1A" w:rsidR="00D105C3" w:rsidRDefault="00D105C3">
        <w:pPr>
          <w:pStyle w:val="Piedepgina"/>
          <w:jc w:val="center"/>
        </w:pPr>
        <w:r w:rsidRPr="0057230B">
          <w:rPr>
            <w:rFonts w:ascii="Times New Roman" w:hAnsi="Times New Roman" w:cs="Times New Roman"/>
          </w:rPr>
          <w:fldChar w:fldCharType="begin"/>
        </w:r>
        <w:r w:rsidRPr="0057230B">
          <w:rPr>
            <w:rFonts w:ascii="Times New Roman" w:hAnsi="Times New Roman" w:cs="Times New Roman"/>
          </w:rPr>
          <w:instrText>PAGE   \* MERGEFORMAT</w:instrText>
        </w:r>
        <w:r w:rsidRPr="0057230B">
          <w:rPr>
            <w:rFonts w:ascii="Times New Roman" w:hAnsi="Times New Roman" w:cs="Times New Roman"/>
          </w:rPr>
          <w:fldChar w:fldCharType="separate"/>
        </w:r>
        <w:r w:rsidR="00A63621">
          <w:rPr>
            <w:rFonts w:ascii="Times New Roman" w:hAnsi="Times New Roman" w:cs="Times New Roman"/>
            <w:noProof/>
          </w:rPr>
          <w:t>10</w:t>
        </w:r>
        <w:r w:rsidRPr="0057230B">
          <w:rPr>
            <w:rFonts w:ascii="Times New Roman" w:hAnsi="Times New Roman" w:cs="Times New Roman"/>
          </w:rPr>
          <w:fldChar w:fldCharType="end"/>
        </w:r>
      </w:p>
    </w:sdtContent>
  </w:sdt>
  <w:p w14:paraId="597529EB" w14:textId="77777777" w:rsidR="00D105C3" w:rsidRDefault="00D105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A026D" w14:textId="77777777" w:rsidR="00B13D7A" w:rsidRDefault="00B13D7A" w:rsidP="0020547C">
      <w:pPr>
        <w:spacing w:after="0" w:line="240" w:lineRule="auto"/>
      </w:pPr>
      <w:r>
        <w:separator/>
      </w:r>
    </w:p>
  </w:footnote>
  <w:footnote w:type="continuationSeparator" w:id="0">
    <w:p w14:paraId="1BEE086A" w14:textId="77777777" w:rsidR="00B13D7A" w:rsidRDefault="00B13D7A" w:rsidP="002054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22E0F"/>
    <w:multiLevelType w:val="hybridMultilevel"/>
    <w:tmpl w:val="D55E2E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2CD04E5"/>
    <w:multiLevelType w:val="hybridMultilevel"/>
    <w:tmpl w:val="31367598"/>
    <w:lvl w:ilvl="0" w:tplc="3FA8A472">
      <w:numFmt w:val="bullet"/>
      <w:lvlText w:val="-"/>
      <w:lvlJc w:val="left"/>
      <w:pPr>
        <w:ind w:left="720" w:hanging="360"/>
      </w:pPr>
      <w:rPr>
        <w:rFonts w:ascii="Times New Roman" w:eastAsiaTheme="minorHAnsi"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78511DA4"/>
    <w:multiLevelType w:val="hybridMultilevel"/>
    <w:tmpl w:val="0A5A966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efaultTabStop w:val="708"/>
  <w:hyphenationZone w:val="425"/>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E5E"/>
    <w:rsid w:val="00006BD9"/>
    <w:rsid w:val="00010246"/>
    <w:rsid w:val="0001140C"/>
    <w:rsid w:val="00026DBB"/>
    <w:rsid w:val="000310F1"/>
    <w:rsid w:val="00032E87"/>
    <w:rsid w:val="000366FE"/>
    <w:rsid w:val="00037560"/>
    <w:rsid w:val="00044667"/>
    <w:rsid w:val="000451E4"/>
    <w:rsid w:val="00045F09"/>
    <w:rsid w:val="00047A80"/>
    <w:rsid w:val="00053510"/>
    <w:rsid w:val="000540C6"/>
    <w:rsid w:val="000544F5"/>
    <w:rsid w:val="000549E4"/>
    <w:rsid w:val="0005612D"/>
    <w:rsid w:val="00060BF6"/>
    <w:rsid w:val="0006126D"/>
    <w:rsid w:val="00061508"/>
    <w:rsid w:val="00061571"/>
    <w:rsid w:val="00061F0D"/>
    <w:rsid w:val="00066079"/>
    <w:rsid w:val="00074189"/>
    <w:rsid w:val="000751D7"/>
    <w:rsid w:val="00082EB2"/>
    <w:rsid w:val="00082F26"/>
    <w:rsid w:val="000846C6"/>
    <w:rsid w:val="000849EF"/>
    <w:rsid w:val="00087B32"/>
    <w:rsid w:val="00091DA2"/>
    <w:rsid w:val="000928EA"/>
    <w:rsid w:val="00094542"/>
    <w:rsid w:val="000A2638"/>
    <w:rsid w:val="000A3C76"/>
    <w:rsid w:val="000B02C3"/>
    <w:rsid w:val="000B531B"/>
    <w:rsid w:val="000B5D08"/>
    <w:rsid w:val="000B7E02"/>
    <w:rsid w:val="000C0582"/>
    <w:rsid w:val="000C24AE"/>
    <w:rsid w:val="000C665F"/>
    <w:rsid w:val="000C731B"/>
    <w:rsid w:val="000C7F6D"/>
    <w:rsid w:val="000D07FD"/>
    <w:rsid w:val="000D15D8"/>
    <w:rsid w:val="000D416B"/>
    <w:rsid w:val="000D504C"/>
    <w:rsid w:val="000E03A8"/>
    <w:rsid w:val="000E0909"/>
    <w:rsid w:val="000E0DF1"/>
    <w:rsid w:val="000E0F02"/>
    <w:rsid w:val="000E2AB3"/>
    <w:rsid w:val="000E4543"/>
    <w:rsid w:val="000E4762"/>
    <w:rsid w:val="000E4C97"/>
    <w:rsid w:val="000E75EB"/>
    <w:rsid w:val="000F095F"/>
    <w:rsid w:val="000F2346"/>
    <w:rsid w:val="000F281E"/>
    <w:rsid w:val="000F674B"/>
    <w:rsid w:val="000F763A"/>
    <w:rsid w:val="000F7F5D"/>
    <w:rsid w:val="001017FB"/>
    <w:rsid w:val="00102C1C"/>
    <w:rsid w:val="001042BA"/>
    <w:rsid w:val="00111517"/>
    <w:rsid w:val="00113A8B"/>
    <w:rsid w:val="0011467A"/>
    <w:rsid w:val="00115F26"/>
    <w:rsid w:val="001172A8"/>
    <w:rsid w:val="00117CEB"/>
    <w:rsid w:val="00124B86"/>
    <w:rsid w:val="0012532D"/>
    <w:rsid w:val="00125B96"/>
    <w:rsid w:val="00126826"/>
    <w:rsid w:val="00127A6B"/>
    <w:rsid w:val="0013689F"/>
    <w:rsid w:val="001372D5"/>
    <w:rsid w:val="00147067"/>
    <w:rsid w:val="00147417"/>
    <w:rsid w:val="00150509"/>
    <w:rsid w:val="0015069E"/>
    <w:rsid w:val="00152C30"/>
    <w:rsid w:val="001549D3"/>
    <w:rsid w:val="00155F64"/>
    <w:rsid w:val="00160683"/>
    <w:rsid w:val="00162B95"/>
    <w:rsid w:val="00164BB0"/>
    <w:rsid w:val="00165189"/>
    <w:rsid w:val="001666E8"/>
    <w:rsid w:val="00170BE6"/>
    <w:rsid w:val="001726F5"/>
    <w:rsid w:val="00173A32"/>
    <w:rsid w:val="001747C7"/>
    <w:rsid w:val="0018027B"/>
    <w:rsid w:val="00184DD4"/>
    <w:rsid w:val="00185A32"/>
    <w:rsid w:val="00187F3A"/>
    <w:rsid w:val="0019633F"/>
    <w:rsid w:val="001975E8"/>
    <w:rsid w:val="001A0809"/>
    <w:rsid w:val="001A2447"/>
    <w:rsid w:val="001A6862"/>
    <w:rsid w:val="001A6FC6"/>
    <w:rsid w:val="001A7450"/>
    <w:rsid w:val="001B2CA4"/>
    <w:rsid w:val="001B3329"/>
    <w:rsid w:val="001B4094"/>
    <w:rsid w:val="001B4BB6"/>
    <w:rsid w:val="001C0C78"/>
    <w:rsid w:val="001C1633"/>
    <w:rsid w:val="001C1B61"/>
    <w:rsid w:val="001C1FA4"/>
    <w:rsid w:val="001C27E7"/>
    <w:rsid w:val="001C3BEA"/>
    <w:rsid w:val="001C44C5"/>
    <w:rsid w:val="001C4AFE"/>
    <w:rsid w:val="001C6345"/>
    <w:rsid w:val="001C7CBF"/>
    <w:rsid w:val="001D28E7"/>
    <w:rsid w:val="001D2DE8"/>
    <w:rsid w:val="001D4625"/>
    <w:rsid w:val="001E01D6"/>
    <w:rsid w:val="001E1C38"/>
    <w:rsid w:val="001E5E62"/>
    <w:rsid w:val="001F0E26"/>
    <w:rsid w:val="001F23D3"/>
    <w:rsid w:val="001F2435"/>
    <w:rsid w:val="001F49E0"/>
    <w:rsid w:val="001F6550"/>
    <w:rsid w:val="001F70F7"/>
    <w:rsid w:val="001F746E"/>
    <w:rsid w:val="001F763A"/>
    <w:rsid w:val="0020230D"/>
    <w:rsid w:val="00203085"/>
    <w:rsid w:val="0020547C"/>
    <w:rsid w:val="00211000"/>
    <w:rsid w:val="00212BA6"/>
    <w:rsid w:val="00213952"/>
    <w:rsid w:val="00213A07"/>
    <w:rsid w:val="0021584C"/>
    <w:rsid w:val="00215C90"/>
    <w:rsid w:val="00217132"/>
    <w:rsid w:val="002172E4"/>
    <w:rsid w:val="00221D19"/>
    <w:rsid w:val="00225148"/>
    <w:rsid w:val="002266D8"/>
    <w:rsid w:val="0022783E"/>
    <w:rsid w:val="00233FA1"/>
    <w:rsid w:val="00234145"/>
    <w:rsid w:val="00237E58"/>
    <w:rsid w:val="00242DC5"/>
    <w:rsid w:val="00245818"/>
    <w:rsid w:val="00245B1D"/>
    <w:rsid w:val="00245D31"/>
    <w:rsid w:val="00245F64"/>
    <w:rsid w:val="00246212"/>
    <w:rsid w:val="002462DA"/>
    <w:rsid w:val="002469FA"/>
    <w:rsid w:val="00246B25"/>
    <w:rsid w:val="00250E82"/>
    <w:rsid w:val="002512B7"/>
    <w:rsid w:val="00256DAA"/>
    <w:rsid w:val="00261E83"/>
    <w:rsid w:val="002622C9"/>
    <w:rsid w:val="00263BCC"/>
    <w:rsid w:val="0026431C"/>
    <w:rsid w:val="0026583E"/>
    <w:rsid w:val="00265EF4"/>
    <w:rsid w:val="002677CB"/>
    <w:rsid w:val="00267E99"/>
    <w:rsid w:val="00271651"/>
    <w:rsid w:val="00271BFF"/>
    <w:rsid w:val="00273F9D"/>
    <w:rsid w:val="00274213"/>
    <w:rsid w:val="00275321"/>
    <w:rsid w:val="00275BE9"/>
    <w:rsid w:val="00283A5F"/>
    <w:rsid w:val="00284075"/>
    <w:rsid w:val="0028435A"/>
    <w:rsid w:val="002849E4"/>
    <w:rsid w:val="00287947"/>
    <w:rsid w:val="0029221F"/>
    <w:rsid w:val="00295F38"/>
    <w:rsid w:val="002A624A"/>
    <w:rsid w:val="002A6FA5"/>
    <w:rsid w:val="002B7301"/>
    <w:rsid w:val="002C1091"/>
    <w:rsid w:val="002C1764"/>
    <w:rsid w:val="002C2DA8"/>
    <w:rsid w:val="002C379D"/>
    <w:rsid w:val="002C38EC"/>
    <w:rsid w:val="002C5D9B"/>
    <w:rsid w:val="002C74DF"/>
    <w:rsid w:val="002D0439"/>
    <w:rsid w:val="002D2F66"/>
    <w:rsid w:val="002D5E47"/>
    <w:rsid w:val="002D7060"/>
    <w:rsid w:val="002F0C9E"/>
    <w:rsid w:val="002F60C1"/>
    <w:rsid w:val="002F61B5"/>
    <w:rsid w:val="002F6A5A"/>
    <w:rsid w:val="0030247D"/>
    <w:rsid w:val="00304BE8"/>
    <w:rsid w:val="003066CF"/>
    <w:rsid w:val="00311078"/>
    <w:rsid w:val="00314B78"/>
    <w:rsid w:val="00317318"/>
    <w:rsid w:val="00317475"/>
    <w:rsid w:val="00320B72"/>
    <w:rsid w:val="0032246F"/>
    <w:rsid w:val="003237F2"/>
    <w:rsid w:val="003326DA"/>
    <w:rsid w:val="00333E9E"/>
    <w:rsid w:val="00334135"/>
    <w:rsid w:val="00334839"/>
    <w:rsid w:val="00342D67"/>
    <w:rsid w:val="00343FC2"/>
    <w:rsid w:val="00345D6B"/>
    <w:rsid w:val="0034685C"/>
    <w:rsid w:val="00347B87"/>
    <w:rsid w:val="003529FC"/>
    <w:rsid w:val="00353449"/>
    <w:rsid w:val="003548E6"/>
    <w:rsid w:val="003558DE"/>
    <w:rsid w:val="00356FA3"/>
    <w:rsid w:val="003612BD"/>
    <w:rsid w:val="00367081"/>
    <w:rsid w:val="00367268"/>
    <w:rsid w:val="00370441"/>
    <w:rsid w:val="00374D72"/>
    <w:rsid w:val="00375510"/>
    <w:rsid w:val="00375950"/>
    <w:rsid w:val="00376043"/>
    <w:rsid w:val="00376A43"/>
    <w:rsid w:val="00377981"/>
    <w:rsid w:val="00377B18"/>
    <w:rsid w:val="00377D26"/>
    <w:rsid w:val="0038021E"/>
    <w:rsid w:val="003810BD"/>
    <w:rsid w:val="003835A4"/>
    <w:rsid w:val="00384630"/>
    <w:rsid w:val="00386F6F"/>
    <w:rsid w:val="00387061"/>
    <w:rsid w:val="003926B5"/>
    <w:rsid w:val="00394454"/>
    <w:rsid w:val="003956B6"/>
    <w:rsid w:val="00396606"/>
    <w:rsid w:val="003A0FEC"/>
    <w:rsid w:val="003A1389"/>
    <w:rsid w:val="003A4DA3"/>
    <w:rsid w:val="003A62C8"/>
    <w:rsid w:val="003A7937"/>
    <w:rsid w:val="003A7C3F"/>
    <w:rsid w:val="003B3F75"/>
    <w:rsid w:val="003B40E3"/>
    <w:rsid w:val="003B478E"/>
    <w:rsid w:val="003B4B62"/>
    <w:rsid w:val="003B734E"/>
    <w:rsid w:val="003C0286"/>
    <w:rsid w:val="003C2956"/>
    <w:rsid w:val="003C323F"/>
    <w:rsid w:val="003C44B7"/>
    <w:rsid w:val="003C4548"/>
    <w:rsid w:val="003C6951"/>
    <w:rsid w:val="003C7364"/>
    <w:rsid w:val="003C7758"/>
    <w:rsid w:val="003D0650"/>
    <w:rsid w:val="003D210A"/>
    <w:rsid w:val="003D2125"/>
    <w:rsid w:val="003D2420"/>
    <w:rsid w:val="003D2750"/>
    <w:rsid w:val="003D6FD7"/>
    <w:rsid w:val="003E4A17"/>
    <w:rsid w:val="003E4A60"/>
    <w:rsid w:val="003E7C1E"/>
    <w:rsid w:val="003F2786"/>
    <w:rsid w:val="003F2C5D"/>
    <w:rsid w:val="003F5FCB"/>
    <w:rsid w:val="003F6D30"/>
    <w:rsid w:val="00402536"/>
    <w:rsid w:val="0040544A"/>
    <w:rsid w:val="00411F2B"/>
    <w:rsid w:val="00411FA6"/>
    <w:rsid w:val="0041296E"/>
    <w:rsid w:val="00414E57"/>
    <w:rsid w:val="00415921"/>
    <w:rsid w:val="00415B4F"/>
    <w:rsid w:val="00417AAC"/>
    <w:rsid w:val="0042195A"/>
    <w:rsid w:val="00422DE4"/>
    <w:rsid w:val="00426B40"/>
    <w:rsid w:val="00432134"/>
    <w:rsid w:val="00432367"/>
    <w:rsid w:val="004337CD"/>
    <w:rsid w:val="00437620"/>
    <w:rsid w:val="00441CBB"/>
    <w:rsid w:val="00442B04"/>
    <w:rsid w:val="00442B4A"/>
    <w:rsid w:val="00444999"/>
    <w:rsid w:val="00451D1A"/>
    <w:rsid w:val="00453B16"/>
    <w:rsid w:val="00454E1B"/>
    <w:rsid w:val="004573E3"/>
    <w:rsid w:val="0046488B"/>
    <w:rsid w:val="00466961"/>
    <w:rsid w:val="00467EDB"/>
    <w:rsid w:val="0047150C"/>
    <w:rsid w:val="0047249B"/>
    <w:rsid w:val="00472B98"/>
    <w:rsid w:val="00473B8B"/>
    <w:rsid w:val="004821BC"/>
    <w:rsid w:val="00483A24"/>
    <w:rsid w:val="00485142"/>
    <w:rsid w:val="0049029D"/>
    <w:rsid w:val="00491779"/>
    <w:rsid w:val="00494630"/>
    <w:rsid w:val="004958F0"/>
    <w:rsid w:val="00497A73"/>
    <w:rsid w:val="004A3A26"/>
    <w:rsid w:val="004A5718"/>
    <w:rsid w:val="004A71E9"/>
    <w:rsid w:val="004B2AB5"/>
    <w:rsid w:val="004B46B1"/>
    <w:rsid w:val="004B4F03"/>
    <w:rsid w:val="004B519C"/>
    <w:rsid w:val="004B7A1C"/>
    <w:rsid w:val="004C1C51"/>
    <w:rsid w:val="004C54C0"/>
    <w:rsid w:val="004C6E44"/>
    <w:rsid w:val="004C77B9"/>
    <w:rsid w:val="004D4162"/>
    <w:rsid w:val="004D7EDF"/>
    <w:rsid w:val="004E06A0"/>
    <w:rsid w:val="004E2B4C"/>
    <w:rsid w:val="004E3467"/>
    <w:rsid w:val="004E4E61"/>
    <w:rsid w:val="004E6516"/>
    <w:rsid w:val="004E6AB5"/>
    <w:rsid w:val="004F0488"/>
    <w:rsid w:val="004F47EA"/>
    <w:rsid w:val="00500C59"/>
    <w:rsid w:val="005021AE"/>
    <w:rsid w:val="00510218"/>
    <w:rsid w:val="005108DB"/>
    <w:rsid w:val="00514146"/>
    <w:rsid w:val="0051479C"/>
    <w:rsid w:val="00514CB1"/>
    <w:rsid w:val="00521EAD"/>
    <w:rsid w:val="005235D7"/>
    <w:rsid w:val="00525142"/>
    <w:rsid w:val="005267C5"/>
    <w:rsid w:val="005303B2"/>
    <w:rsid w:val="00531B78"/>
    <w:rsid w:val="00533A33"/>
    <w:rsid w:val="005340A5"/>
    <w:rsid w:val="005341A9"/>
    <w:rsid w:val="00537D65"/>
    <w:rsid w:val="00537FCB"/>
    <w:rsid w:val="0055053D"/>
    <w:rsid w:val="00556962"/>
    <w:rsid w:val="00565E33"/>
    <w:rsid w:val="00566197"/>
    <w:rsid w:val="0057230B"/>
    <w:rsid w:val="00573D49"/>
    <w:rsid w:val="00575840"/>
    <w:rsid w:val="00576356"/>
    <w:rsid w:val="00576DAF"/>
    <w:rsid w:val="00580C56"/>
    <w:rsid w:val="005828AC"/>
    <w:rsid w:val="0058303A"/>
    <w:rsid w:val="00583E8A"/>
    <w:rsid w:val="00584AC6"/>
    <w:rsid w:val="00585A72"/>
    <w:rsid w:val="00592B0F"/>
    <w:rsid w:val="00594697"/>
    <w:rsid w:val="005A26EA"/>
    <w:rsid w:val="005A37B7"/>
    <w:rsid w:val="005A4BE4"/>
    <w:rsid w:val="005A5919"/>
    <w:rsid w:val="005B001B"/>
    <w:rsid w:val="005B08FB"/>
    <w:rsid w:val="005B3233"/>
    <w:rsid w:val="005B3E5F"/>
    <w:rsid w:val="005B6084"/>
    <w:rsid w:val="005C193D"/>
    <w:rsid w:val="005C5792"/>
    <w:rsid w:val="005C634A"/>
    <w:rsid w:val="005C6748"/>
    <w:rsid w:val="005D31FE"/>
    <w:rsid w:val="005D3D63"/>
    <w:rsid w:val="005E3D1D"/>
    <w:rsid w:val="005E3DD6"/>
    <w:rsid w:val="005E407A"/>
    <w:rsid w:val="005E57A7"/>
    <w:rsid w:val="005F0BAB"/>
    <w:rsid w:val="005F2C2F"/>
    <w:rsid w:val="005F43F0"/>
    <w:rsid w:val="005F4D42"/>
    <w:rsid w:val="005F5AED"/>
    <w:rsid w:val="00600FBD"/>
    <w:rsid w:val="00606E7B"/>
    <w:rsid w:val="0061012C"/>
    <w:rsid w:val="00611802"/>
    <w:rsid w:val="006162C0"/>
    <w:rsid w:val="0061784A"/>
    <w:rsid w:val="00617D41"/>
    <w:rsid w:val="0062168D"/>
    <w:rsid w:val="00622703"/>
    <w:rsid w:val="006249D2"/>
    <w:rsid w:val="00626BE7"/>
    <w:rsid w:val="00632BD5"/>
    <w:rsid w:val="0063569A"/>
    <w:rsid w:val="00636E35"/>
    <w:rsid w:val="00642426"/>
    <w:rsid w:val="0064275C"/>
    <w:rsid w:val="00642808"/>
    <w:rsid w:val="006448EA"/>
    <w:rsid w:val="0064634A"/>
    <w:rsid w:val="00646C0A"/>
    <w:rsid w:val="00653567"/>
    <w:rsid w:val="006544A7"/>
    <w:rsid w:val="006566DA"/>
    <w:rsid w:val="00657A66"/>
    <w:rsid w:val="006606F1"/>
    <w:rsid w:val="0066257F"/>
    <w:rsid w:val="006746AF"/>
    <w:rsid w:val="006752F1"/>
    <w:rsid w:val="0067548E"/>
    <w:rsid w:val="00676D02"/>
    <w:rsid w:val="00684E42"/>
    <w:rsid w:val="006859F6"/>
    <w:rsid w:val="00687719"/>
    <w:rsid w:val="00691852"/>
    <w:rsid w:val="00692087"/>
    <w:rsid w:val="006935F6"/>
    <w:rsid w:val="0069537A"/>
    <w:rsid w:val="00695517"/>
    <w:rsid w:val="00695E41"/>
    <w:rsid w:val="006A3B94"/>
    <w:rsid w:val="006A4CA0"/>
    <w:rsid w:val="006A4E40"/>
    <w:rsid w:val="006A5BCE"/>
    <w:rsid w:val="006B2F91"/>
    <w:rsid w:val="006B64FF"/>
    <w:rsid w:val="006C0F8D"/>
    <w:rsid w:val="006C2103"/>
    <w:rsid w:val="006C5CC1"/>
    <w:rsid w:val="006C6F7B"/>
    <w:rsid w:val="006C76EB"/>
    <w:rsid w:val="006C7B80"/>
    <w:rsid w:val="006D0C44"/>
    <w:rsid w:val="006D27FE"/>
    <w:rsid w:val="006D2F43"/>
    <w:rsid w:val="006D3713"/>
    <w:rsid w:val="006D386F"/>
    <w:rsid w:val="006D5E6E"/>
    <w:rsid w:val="006D6107"/>
    <w:rsid w:val="006E0B78"/>
    <w:rsid w:val="006E280F"/>
    <w:rsid w:val="006F07E1"/>
    <w:rsid w:val="006F4CDD"/>
    <w:rsid w:val="006F5B0C"/>
    <w:rsid w:val="006F5D29"/>
    <w:rsid w:val="006F5FEF"/>
    <w:rsid w:val="0070020A"/>
    <w:rsid w:val="0070133D"/>
    <w:rsid w:val="0070314E"/>
    <w:rsid w:val="007035A7"/>
    <w:rsid w:val="00712FF5"/>
    <w:rsid w:val="007131AC"/>
    <w:rsid w:val="0071582A"/>
    <w:rsid w:val="00716B07"/>
    <w:rsid w:val="00722C36"/>
    <w:rsid w:val="00722D04"/>
    <w:rsid w:val="00726C82"/>
    <w:rsid w:val="00735DF5"/>
    <w:rsid w:val="007439F3"/>
    <w:rsid w:val="00745820"/>
    <w:rsid w:val="00746365"/>
    <w:rsid w:val="0074752D"/>
    <w:rsid w:val="00750F46"/>
    <w:rsid w:val="007576E8"/>
    <w:rsid w:val="00757A18"/>
    <w:rsid w:val="00763AD6"/>
    <w:rsid w:val="0076419F"/>
    <w:rsid w:val="00764CFD"/>
    <w:rsid w:val="00765E42"/>
    <w:rsid w:val="0076659B"/>
    <w:rsid w:val="0076687F"/>
    <w:rsid w:val="00772DC1"/>
    <w:rsid w:val="00773304"/>
    <w:rsid w:val="007750C6"/>
    <w:rsid w:val="0077650A"/>
    <w:rsid w:val="00777489"/>
    <w:rsid w:val="007829E5"/>
    <w:rsid w:val="007829EC"/>
    <w:rsid w:val="00783B09"/>
    <w:rsid w:val="00783D42"/>
    <w:rsid w:val="007853F6"/>
    <w:rsid w:val="007874AA"/>
    <w:rsid w:val="00787BE5"/>
    <w:rsid w:val="007907D0"/>
    <w:rsid w:val="00794745"/>
    <w:rsid w:val="00795C52"/>
    <w:rsid w:val="00797FC5"/>
    <w:rsid w:val="007A00DB"/>
    <w:rsid w:val="007A5C0F"/>
    <w:rsid w:val="007A5D65"/>
    <w:rsid w:val="007B0E59"/>
    <w:rsid w:val="007B1490"/>
    <w:rsid w:val="007B6B21"/>
    <w:rsid w:val="007C2B35"/>
    <w:rsid w:val="007C6668"/>
    <w:rsid w:val="007D00AC"/>
    <w:rsid w:val="007D078B"/>
    <w:rsid w:val="007D27FB"/>
    <w:rsid w:val="007D2CCC"/>
    <w:rsid w:val="007D345A"/>
    <w:rsid w:val="007D4400"/>
    <w:rsid w:val="007D7019"/>
    <w:rsid w:val="007E2584"/>
    <w:rsid w:val="007E42B2"/>
    <w:rsid w:val="007E55A9"/>
    <w:rsid w:val="007E5822"/>
    <w:rsid w:val="007E7D94"/>
    <w:rsid w:val="007F2D94"/>
    <w:rsid w:val="007F3036"/>
    <w:rsid w:val="007F57B3"/>
    <w:rsid w:val="007F759B"/>
    <w:rsid w:val="0080199E"/>
    <w:rsid w:val="008041C7"/>
    <w:rsid w:val="00804A25"/>
    <w:rsid w:val="008050DA"/>
    <w:rsid w:val="00805DBE"/>
    <w:rsid w:val="00805FD4"/>
    <w:rsid w:val="0081008F"/>
    <w:rsid w:val="00821911"/>
    <w:rsid w:val="00822521"/>
    <w:rsid w:val="00824F39"/>
    <w:rsid w:val="0082588E"/>
    <w:rsid w:val="00826441"/>
    <w:rsid w:val="0083619D"/>
    <w:rsid w:val="008410B0"/>
    <w:rsid w:val="0084492C"/>
    <w:rsid w:val="00851BCA"/>
    <w:rsid w:val="00856724"/>
    <w:rsid w:val="00856E77"/>
    <w:rsid w:val="00857E93"/>
    <w:rsid w:val="008605DE"/>
    <w:rsid w:val="0086091F"/>
    <w:rsid w:val="00860FAC"/>
    <w:rsid w:val="00864B0B"/>
    <w:rsid w:val="00864EB7"/>
    <w:rsid w:val="00866978"/>
    <w:rsid w:val="00866A83"/>
    <w:rsid w:val="00870D34"/>
    <w:rsid w:val="0087258A"/>
    <w:rsid w:val="00875880"/>
    <w:rsid w:val="008760B6"/>
    <w:rsid w:val="008809A9"/>
    <w:rsid w:val="008816E8"/>
    <w:rsid w:val="008831AE"/>
    <w:rsid w:val="00890FB2"/>
    <w:rsid w:val="00891707"/>
    <w:rsid w:val="00896607"/>
    <w:rsid w:val="00897601"/>
    <w:rsid w:val="00897FF1"/>
    <w:rsid w:val="008A0BED"/>
    <w:rsid w:val="008A14B4"/>
    <w:rsid w:val="008A1633"/>
    <w:rsid w:val="008A4B0E"/>
    <w:rsid w:val="008A5852"/>
    <w:rsid w:val="008A6365"/>
    <w:rsid w:val="008A7A00"/>
    <w:rsid w:val="008B3F3A"/>
    <w:rsid w:val="008B5A17"/>
    <w:rsid w:val="008B6139"/>
    <w:rsid w:val="008B6526"/>
    <w:rsid w:val="008B683A"/>
    <w:rsid w:val="008B69B7"/>
    <w:rsid w:val="008C145C"/>
    <w:rsid w:val="008C1DEB"/>
    <w:rsid w:val="008C2AE4"/>
    <w:rsid w:val="008C3122"/>
    <w:rsid w:val="008C431F"/>
    <w:rsid w:val="008C59A0"/>
    <w:rsid w:val="008C63F9"/>
    <w:rsid w:val="008D0944"/>
    <w:rsid w:val="008D3998"/>
    <w:rsid w:val="008D42FE"/>
    <w:rsid w:val="008D437B"/>
    <w:rsid w:val="008D551F"/>
    <w:rsid w:val="008D6B02"/>
    <w:rsid w:val="008E27D9"/>
    <w:rsid w:val="008F16D2"/>
    <w:rsid w:val="008F1843"/>
    <w:rsid w:val="008F1963"/>
    <w:rsid w:val="008F25E9"/>
    <w:rsid w:val="008F27FA"/>
    <w:rsid w:val="008F32FE"/>
    <w:rsid w:val="008F39A1"/>
    <w:rsid w:val="008F5C46"/>
    <w:rsid w:val="008F66C7"/>
    <w:rsid w:val="0090399D"/>
    <w:rsid w:val="0090615E"/>
    <w:rsid w:val="00907377"/>
    <w:rsid w:val="00907D27"/>
    <w:rsid w:val="00910266"/>
    <w:rsid w:val="0091214E"/>
    <w:rsid w:val="0091418D"/>
    <w:rsid w:val="009143EC"/>
    <w:rsid w:val="009148F2"/>
    <w:rsid w:val="009150A8"/>
    <w:rsid w:val="00915885"/>
    <w:rsid w:val="00915C40"/>
    <w:rsid w:val="009177F2"/>
    <w:rsid w:val="009222E1"/>
    <w:rsid w:val="0092257F"/>
    <w:rsid w:val="0092341F"/>
    <w:rsid w:val="009249DA"/>
    <w:rsid w:val="00925FEF"/>
    <w:rsid w:val="00931CBF"/>
    <w:rsid w:val="009432C3"/>
    <w:rsid w:val="00943D18"/>
    <w:rsid w:val="00946F54"/>
    <w:rsid w:val="0095046E"/>
    <w:rsid w:val="00953C12"/>
    <w:rsid w:val="00963CF8"/>
    <w:rsid w:val="00967A76"/>
    <w:rsid w:val="009713D5"/>
    <w:rsid w:val="00974439"/>
    <w:rsid w:val="00975ABD"/>
    <w:rsid w:val="00976FA8"/>
    <w:rsid w:val="0097779A"/>
    <w:rsid w:val="009828FA"/>
    <w:rsid w:val="009849BB"/>
    <w:rsid w:val="009935B3"/>
    <w:rsid w:val="0099623F"/>
    <w:rsid w:val="009977E0"/>
    <w:rsid w:val="00997978"/>
    <w:rsid w:val="009A1B96"/>
    <w:rsid w:val="009A1D34"/>
    <w:rsid w:val="009A1E54"/>
    <w:rsid w:val="009A34B1"/>
    <w:rsid w:val="009A4D56"/>
    <w:rsid w:val="009A54B9"/>
    <w:rsid w:val="009B4DAD"/>
    <w:rsid w:val="009B699F"/>
    <w:rsid w:val="009B7D86"/>
    <w:rsid w:val="009D6268"/>
    <w:rsid w:val="009D72E1"/>
    <w:rsid w:val="009E197B"/>
    <w:rsid w:val="009E6708"/>
    <w:rsid w:val="009E6C38"/>
    <w:rsid w:val="009E713B"/>
    <w:rsid w:val="009E7F59"/>
    <w:rsid w:val="009F094B"/>
    <w:rsid w:val="009F13F2"/>
    <w:rsid w:val="009F3E03"/>
    <w:rsid w:val="009F4404"/>
    <w:rsid w:val="009F6D0C"/>
    <w:rsid w:val="009F7BF3"/>
    <w:rsid w:val="00A00024"/>
    <w:rsid w:val="00A0144A"/>
    <w:rsid w:val="00A06E76"/>
    <w:rsid w:val="00A07407"/>
    <w:rsid w:val="00A10E8B"/>
    <w:rsid w:val="00A11429"/>
    <w:rsid w:val="00A11D86"/>
    <w:rsid w:val="00A16A1A"/>
    <w:rsid w:val="00A20187"/>
    <w:rsid w:val="00A2255C"/>
    <w:rsid w:val="00A23F8E"/>
    <w:rsid w:val="00A248BD"/>
    <w:rsid w:val="00A254A9"/>
    <w:rsid w:val="00A26A42"/>
    <w:rsid w:val="00A3110C"/>
    <w:rsid w:val="00A33BFC"/>
    <w:rsid w:val="00A35315"/>
    <w:rsid w:val="00A360B4"/>
    <w:rsid w:val="00A37C64"/>
    <w:rsid w:val="00A42B61"/>
    <w:rsid w:val="00A430E2"/>
    <w:rsid w:val="00A432C1"/>
    <w:rsid w:val="00A55200"/>
    <w:rsid w:val="00A55663"/>
    <w:rsid w:val="00A5569F"/>
    <w:rsid w:val="00A61E41"/>
    <w:rsid w:val="00A63621"/>
    <w:rsid w:val="00A6373F"/>
    <w:rsid w:val="00A64D9B"/>
    <w:rsid w:val="00A66B0E"/>
    <w:rsid w:val="00A71100"/>
    <w:rsid w:val="00A712BC"/>
    <w:rsid w:val="00A71DA2"/>
    <w:rsid w:val="00A71EE8"/>
    <w:rsid w:val="00A728ED"/>
    <w:rsid w:val="00A739E4"/>
    <w:rsid w:val="00A75FAB"/>
    <w:rsid w:val="00A77C95"/>
    <w:rsid w:val="00A83197"/>
    <w:rsid w:val="00A85500"/>
    <w:rsid w:val="00A85DDF"/>
    <w:rsid w:val="00A85F32"/>
    <w:rsid w:val="00A86575"/>
    <w:rsid w:val="00A938E7"/>
    <w:rsid w:val="00AA1D97"/>
    <w:rsid w:val="00AA3146"/>
    <w:rsid w:val="00AA4C71"/>
    <w:rsid w:val="00AA5F88"/>
    <w:rsid w:val="00AB2CDA"/>
    <w:rsid w:val="00AB3F59"/>
    <w:rsid w:val="00AC02DF"/>
    <w:rsid w:val="00AC0402"/>
    <w:rsid w:val="00AC0963"/>
    <w:rsid w:val="00AC1425"/>
    <w:rsid w:val="00AC2FCB"/>
    <w:rsid w:val="00AC6F2E"/>
    <w:rsid w:val="00AD11A1"/>
    <w:rsid w:val="00AD1D23"/>
    <w:rsid w:val="00AD23B9"/>
    <w:rsid w:val="00AD32B0"/>
    <w:rsid w:val="00AD47CA"/>
    <w:rsid w:val="00AD75D3"/>
    <w:rsid w:val="00AE43A2"/>
    <w:rsid w:val="00AF028D"/>
    <w:rsid w:val="00AF35AB"/>
    <w:rsid w:val="00AF3866"/>
    <w:rsid w:val="00AF394F"/>
    <w:rsid w:val="00AF3F7D"/>
    <w:rsid w:val="00AF559E"/>
    <w:rsid w:val="00AF574D"/>
    <w:rsid w:val="00AF79C6"/>
    <w:rsid w:val="00B06ED1"/>
    <w:rsid w:val="00B1108C"/>
    <w:rsid w:val="00B13D7A"/>
    <w:rsid w:val="00B20FBC"/>
    <w:rsid w:val="00B22105"/>
    <w:rsid w:val="00B225CA"/>
    <w:rsid w:val="00B24E3D"/>
    <w:rsid w:val="00B276DA"/>
    <w:rsid w:val="00B329EF"/>
    <w:rsid w:val="00B34A35"/>
    <w:rsid w:val="00B40186"/>
    <w:rsid w:val="00B41B47"/>
    <w:rsid w:val="00B6296D"/>
    <w:rsid w:val="00B6601F"/>
    <w:rsid w:val="00B6646F"/>
    <w:rsid w:val="00B66B75"/>
    <w:rsid w:val="00B70AF0"/>
    <w:rsid w:val="00B74270"/>
    <w:rsid w:val="00B7539E"/>
    <w:rsid w:val="00B754D8"/>
    <w:rsid w:val="00B85272"/>
    <w:rsid w:val="00B92B27"/>
    <w:rsid w:val="00B95379"/>
    <w:rsid w:val="00BA3225"/>
    <w:rsid w:val="00BA377C"/>
    <w:rsid w:val="00BA382E"/>
    <w:rsid w:val="00BA676F"/>
    <w:rsid w:val="00BB0AAC"/>
    <w:rsid w:val="00BB0F6A"/>
    <w:rsid w:val="00BB24E8"/>
    <w:rsid w:val="00BB290D"/>
    <w:rsid w:val="00BB4D52"/>
    <w:rsid w:val="00BC213E"/>
    <w:rsid w:val="00BC265C"/>
    <w:rsid w:val="00BC54CE"/>
    <w:rsid w:val="00BC70DA"/>
    <w:rsid w:val="00BC7651"/>
    <w:rsid w:val="00BD104B"/>
    <w:rsid w:val="00BD4017"/>
    <w:rsid w:val="00BE166D"/>
    <w:rsid w:val="00BF1053"/>
    <w:rsid w:val="00BF6129"/>
    <w:rsid w:val="00BF663F"/>
    <w:rsid w:val="00BF6BDD"/>
    <w:rsid w:val="00BF777F"/>
    <w:rsid w:val="00BF7BA1"/>
    <w:rsid w:val="00C012EC"/>
    <w:rsid w:val="00C01C37"/>
    <w:rsid w:val="00C031FA"/>
    <w:rsid w:val="00C04F64"/>
    <w:rsid w:val="00C10002"/>
    <w:rsid w:val="00C10365"/>
    <w:rsid w:val="00C130E9"/>
    <w:rsid w:val="00C13968"/>
    <w:rsid w:val="00C151CF"/>
    <w:rsid w:val="00C1670A"/>
    <w:rsid w:val="00C17796"/>
    <w:rsid w:val="00C23654"/>
    <w:rsid w:val="00C248CC"/>
    <w:rsid w:val="00C2669C"/>
    <w:rsid w:val="00C26E0A"/>
    <w:rsid w:val="00C30405"/>
    <w:rsid w:val="00C3659D"/>
    <w:rsid w:val="00C3700D"/>
    <w:rsid w:val="00C37390"/>
    <w:rsid w:val="00C41EA8"/>
    <w:rsid w:val="00C44498"/>
    <w:rsid w:val="00C45481"/>
    <w:rsid w:val="00C474DE"/>
    <w:rsid w:val="00C5477F"/>
    <w:rsid w:val="00C552A0"/>
    <w:rsid w:val="00C57E58"/>
    <w:rsid w:val="00C60D9D"/>
    <w:rsid w:val="00C70A5A"/>
    <w:rsid w:val="00C742E6"/>
    <w:rsid w:val="00C74610"/>
    <w:rsid w:val="00C74DB5"/>
    <w:rsid w:val="00C76677"/>
    <w:rsid w:val="00C8109F"/>
    <w:rsid w:val="00C820B1"/>
    <w:rsid w:val="00C87E6E"/>
    <w:rsid w:val="00C926CE"/>
    <w:rsid w:val="00C9345D"/>
    <w:rsid w:val="00C94C85"/>
    <w:rsid w:val="00C94D13"/>
    <w:rsid w:val="00C94F3F"/>
    <w:rsid w:val="00C94FDE"/>
    <w:rsid w:val="00CA0B78"/>
    <w:rsid w:val="00CA39B4"/>
    <w:rsid w:val="00CB1619"/>
    <w:rsid w:val="00CB7F73"/>
    <w:rsid w:val="00CC046B"/>
    <w:rsid w:val="00CC34A4"/>
    <w:rsid w:val="00CC5167"/>
    <w:rsid w:val="00CD2C4A"/>
    <w:rsid w:val="00CD5B5B"/>
    <w:rsid w:val="00CD6309"/>
    <w:rsid w:val="00CE0351"/>
    <w:rsid w:val="00CE05C6"/>
    <w:rsid w:val="00CE28CF"/>
    <w:rsid w:val="00CF3A8C"/>
    <w:rsid w:val="00CF563C"/>
    <w:rsid w:val="00CF5713"/>
    <w:rsid w:val="00D0206E"/>
    <w:rsid w:val="00D04142"/>
    <w:rsid w:val="00D105C3"/>
    <w:rsid w:val="00D13F7F"/>
    <w:rsid w:val="00D1512B"/>
    <w:rsid w:val="00D16975"/>
    <w:rsid w:val="00D16C0A"/>
    <w:rsid w:val="00D22E25"/>
    <w:rsid w:val="00D251BE"/>
    <w:rsid w:val="00D3418B"/>
    <w:rsid w:val="00D3480A"/>
    <w:rsid w:val="00D34D1D"/>
    <w:rsid w:val="00D40933"/>
    <w:rsid w:val="00D416D3"/>
    <w:rsid w:val="00D419BD"/>
    <w:rsid w:val="00D55468"/>
    <w:rsid w:val="00D57878"/>
    <w:rsid w:val="00D669DF"/>
    <w:rsid w:val="00D71E27"/>
    <w:rsid w:val="00D71FD2"/>
    <w:rsid w:val="00D72091"/>
    <w:rsid w:val="00D730E6"/>
    <w:rsid w:val="00D763C4"/>
    <w:rsid w:val="00D84F42"/>
    <w:rsid w:val="00D86308"/>
    <w:rsid w:val="00D94159"/>
    <w:rsid w:val="00D94270"/>
    <w:rsid w:val="00DA146D"/>
    <w:rsid w:val="00DA1EBC"/>
    <w:rsid w:val="00DA3BE2"/>
    <w:rsid w:val="00DA6164"/>
    <w:rsid w:val="00DB135C"/>
    <w:rsid w:val="00DB14FD"/>
    <w:rsid w:val="00DB1FB6"/>
    <w:rsid w:val="00DB31B1"/>
    <w:rsid w:val="00DB6D55"/>
    <w:rsid w:val="00DD5E3E"/>
    <w:rsid w:val="00DE0AE0"/>
    <w:rsid w:val="00DE3B54"/>
    <w:rsid w:val="00DE4643"/>
    <w:rsid w:val="00DE4DFC"/>
    <w:rsid w:val="00DE5BB5"/>
    <w:rsid w:val="00DE67F2"/>
    <w:rsid w:val="00DF2AC9"/>
    <w:rsid w:val="00DF6D3C"/>
    <w:rsid w:val="00DF72A0"/>
    <w:rsid w:val="00E005A4"/>
    <w:rsid w:val="00E01AEB"/>
    <w:rsid w:val="00E05AC4"/>
    <w:rsid w:val="00E05EF2"/>
    <w:rsid w:val="00E06723"/>
    <w:rsid w:val="00E13A73"/>
    <w:rsid w:val="00E17578"/>
    <w:rsid w:val="00E2217A"/>
    <w:rsid w:val="00E22C3F"/>
    <w:rsid w:val="00E27E4F"/>
    <w:rsid w:val="00E31A95"/>
    <w:rsid w:val="00E33F35"/>
    <w:rsid w:val="00E344F4"/>
    <w:rsid w:val="00E37D7C"/>
    <w:rsid w:val="00E408F4"/>
    <w:rsid w:val="00E42428"/>
    <w:rsid w:val="00E44F05"/>
    <w:rsid w:val="00E50FE6"/>
    <w:rsid w:val="00E53AC0"/>
    <w:rsid w:val="00E60FE2"/>
    <w:rsid w:val="00E65068"/>
    <w:rsid w:val="00E662D1"/>
    <w:rsid w:val="00E672A4"/>
    <w:rsid w:val="00E67B75"/>
    <w:rsid w:val="00E70176"/>
    <w:rsid w:val="00E70371"/>
    <w:rsid w:val="00E71543"/>
    <w:rsid w:val="00E71D82"/>
    <w:rsid w:val="00E76C5A"/>
    <w:rsid w:val="00E77A06"/>
    <w:rsid w:val="00E871B1"/>
    <w:rsid w:val="00E95D41"/>
    <w:rsid w:val="00E9745B"/>
    <w:rsid w:val="00E97848"/>
    <w:rsid w:val="00EA0AE8"/>
    <w:rsid w:val="00EA63C6"/>
    <w:rsid w:val="00EA6737"/>
    <w:rsid w:val="00EA6DE5"/>
    <w:rsid w:val="00EB074B"/>
    <w:rsid w:val="00EB1055"/>
    <w:rsid w:val="00EB1229"/>
    <w:rsid w:val="00EB1D02"/>
    <w:rsid w:val="00EB1E5E"/>
    <w:rsid w:val="00EB22FC"/>
    <w:rsid w:val="00EB3CE6"/>
    <w:rsid w:val="00EB5504"/>
    <w:rsid w:val="00EC26EE"/>
    <w:rsid w:val="00EC3B06"/>
    <w:rsid w:val="00EC49AB"/>
    <w:rsid w:val="00EC7657"/>
    <w:rsid w:val="00ED4967"/>
    <w:rsid w:val="00ED4ADB"/>
    <w:rsid w:val="00ED586A"/>
    <w:rsid w:val="00ED587F"/>
    <w:rsid w:val="00ED66B9"/>
    <w:rsid w:val="00EE0708"/>
    <w:rsid w:val="00EE0EC0"/>
    <w:rsid w:val="00EE3166"/>
    <w:rsid w:val="00EE38A0"/>
    <w:rsid w:val="00EE50D0"/>
    <w:rsid w:val="00EE61A7"/>
    <w:rsid w:val="00EE6205"/>
    <w:rsid w:val="00EE7C61"/>
    <w:rsid w:val="00EF00F0"/>
    <w:rsid w:val="00EF012A"/>
    <w:rsid w:val="00EF2878"/>
    <w:rsid w:val="00F00167"/>
    <w:rsid w:val="00F0077C"/>
    <w:rsid w:val="00F00F74"/>
    <w:rsid w:val="00F029A4"/>
    <w:rsid w:val="00F03B25"/>
    <w:rsid w:val="00F05262"/>
    <w:rsid w:val="00F10478"/>
    <w:rsid w:val="00F123C7"/>
    <w:rsid w:val="00F15019"/>
    <w:rsid w:val="00F170DC"/>
    <w:rsid w:val="00F17882"/>
    <w:rsid w:val="00F254CB"/>
    <w:rsid w:val="00F304B0"/>
    <w:rsid w:val="00F30B86"/>
    <w:rsid w:val="00F30D07"/>
    <w:rsid w:val="00F41C9A"/>
    <w:rsid w:val="00F425E4"/>
    <w:rsid w:val="00F4312F"/>
    <w:rsid w:val="00F47E62"/>
    <w:rsid w:val="00F502C3"/>
    <w:rsid w:val="00F529C3"/>
    <w:rsid w:val="00F5357E"/>
    <w:rsid w:val="00F63B7D"/>
    <w:rsid w:val="00F7413F"/>
    <w:rsid w:val="00F74BB8"/>
    <w:rsid w:val="00F764AA"/>
    <w:rsid w:val="00F80623"/>
    <w:rsid w:val="00F848EC"/>
    <w:rsid w:val="00F8580C"/>
    <w:rsid w:val="00F8618D"/>
    <w:rsid w:val="00F94850"/>
    <w:rsid w:val="00F9685B"/>
    <w:rsid w:val="00FA639E"/>
    <w:rsid w:val="00FA68A8"/>
    <w:rsid w:val="00FB014F"/>
    <w:rsid w:val="00FB02A8"/>
    <w:rsid w:val="00FB256E"/>
    <w:rsid w:val="00FB5B88"/>
    <w:rsid w:val="00FC0D52"/>
    <w:rsid w:val="00FC4E05"/>
    <w:rsid w:val="00FC5ED2"/>
    <w:rsid w:val="00FD17CF"/>
    <w:rsid w:val="00FE29D1"/>
    <w:rsid w:val="00FE5BCF"/>
    <w:rsid w:val="00FE601A"/>
    <w:rsid w:val="00FE7FC1"/>
    <w:rsid w:val="00FF4DA3"/>
    <w:rsid w:val="00FF670E"/>
    <w:rsid w:val="00FF7AB3"/>
    <w:rsid w:val="4C702470"/>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BAC1F"/>
  <w15:docId w15:val="{8C99BD27-B45A-4AE3-AE03-41A14045D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ca-ES" w:eastAsia="en-US" w:bidi="ks-Dev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18D"/>
    <w:pPr>
      <w:spacing w:after="160" w:line="259" w:lineRule="auto"/>
    </w:pPr>
    <w:rPr>
      <w:szCs w:val="22"/>
      <w:lang w:val="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62D1"/>
    <w:pPr>
      <w:ind w:left="720"/>
      <w:contextualSpacing/>
    </w:pPr>
  </w:style>
  <w:style w:type="paragraph" w:styleId="NormalWeb">
    <w:name w:val="Normal (Web)"/>
    <w:basedOn w:val="Normal"/>
    <w:uiPriority w:val="99"/>
    <w:semiHidden/>
    <w:unhideWhenUsed/>
    <w:rsid w:val="00422DE4"/>
    <w:pPr>
      <w:spacing w:before="100" w:beforeAutospacing="1" w:after="100" w:afterAutospacing="1" w:line="240" w:lineRule="auto"/>
    </w:pPr>
    <w:rPr>
      <w:rFonts w:ascii="Times New Roman" w:eastAsiaTheme="minorEastAsia" w:hAnsi="Times New Roman" w:cs="Times New Roman"/>
      <w:sz w:val="24"/>
      <w:szCs w:val="24"/>
      <w:lang w:val="ca-ES" w:eastAsia="ca-ES" w:bidi="ks-Deva"/>
    </w:rPr>
  </w:style>
  <w:style w:type="paragraph" w:styleId="Encabezado">
    <w:name w:val="header"/>
    <w:basedOn w:val="Normal"/>
    <w:link w:val="EncabezadoCar"/>
    <w:uiPriority w:val="99"/>
    <w:unhideWhenUsed/>
    <w:rsid w:val="002054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547C"/>
    <w:rPr>
      <w:szCs w:val="22"/>
      <w:lang w:val="es-ES" w:bidi="ar-SA"/>
    </w:rPr>
  </w:style>
  <w:style w:type="paragraph" w:styleId="Piedepgina">
    <w:name w:val="footer"/>
    <w:basedOn w:val="Normal"/>
    <w:link w:val="PiedepginaCar"/>
    <w:uiPriority w:val="99"/>
    <w:unhideWhenUsed/>
    <w:rsid w:val="002054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547C"/>
    <w:rPr>
      <w:szCs w:val="22"/>
      <w:lang w:val="es-ES" w:bidi="ar-SA"/>
    </w:rPr>
  </w:style>
  <w:style w:type="paragraph" w:styleId="Textonotaalfinal">
    <w:name w:val="endnote text"/>
    <w:basedOn w:val="Normal"/>
    <w:link w:val="TextonotaalfinalCar"/>
    <w:uiPriority w:val="99"/>
    <w:unhideWhenUsed/>
    <w:rsid w:val="00187F3A"/>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187F3A"/>
    <w:rPr>
      <w:sz w:val="20"/>
      <w:lang w:val="es-ES" w:bidi="ar-SA"/>
    </w:rPr>
  </w:style>
  <w:style w:type="character" w:styleId="Refdenotaalfinal">
    <w:name w:val="endnote reference"/>
    <w:basedOn w:val="Fuentedeprrafopredeter"/>
    <w:uiPriority w:val="99"/>
    <w:semiHidden/>
    <w:unhideWhenUsed/>
    <w:rsid w:val="00187F3A"/>
    <w:rPr>
      <w:vertAlign w:val="superscript"/>
    </w:rPr>
  </w:style>
  <w:style w:type="character" w:styleId="Hipervnculo">
    <w:name w:val="Hyperlink"/>
    <w:basedOn w:val="Fuentedeprrafopredeter"/>
    <w:uiPriority w:val="99"/>
    <w:unhideWhenUsed/>
    <w:rsid w:val="00B329EF"/>
    <w:rPr>
      <w:color w:val="0000FF"/>
      <w:u w:val="single"/>
    </w:rPr>
  </w:style>
  <w:style w:type="paragraph" w:styleId="Textodeglobo">
    <w:name w:val="Balloon Text"/>
    <w:basedOn w:val="Normal"/>
    <w:link w:val="TextodegloboCar"/>
    <w:uiPriority w:val="99"/>
    <w:semiHidden/>
    <w:unhideWhenUsed/>
    <w:rsid w:val="00A71D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1DA2"/>
    <w:rPr>
      <w:rFonts w:ascii="Tahoma" w:hAnsi="Tahoma" w:cs="Tahoma"/>
      <w:sz w:val="16"/>
      <w:szCs w:val="16"/>
      <w:lang w:val="es-ES" w:bidi="ar-SA"/>
    </w:rPr>
  </w:style>
  <w:style w:type="table" w:styleId="Tablaconcuadrcula">
    <w:name w:val="Table Grid"/>
    <w:basedOn w:val="Tablanormal"/>
    <w:uiPriority w:val="59"/>
    <w:rsid w:val="00A36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AA3146"/>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AA3146"/>
    <w:rPr>
      <w:rFonts w:ascii="Consolas" w:hAnsi="Consolas"/>
      <w:sz w:val="20"/>
      <w:lang w:val="es-ES" w:bidi="ar-SA"/>
    </w:rPr>
  </w:style>
  <w:style w:type="character" w:styleId="Refdecomentario">
    <w:name w:val="annotation reference"/>
    <w:basedOn w:val="Fuentedeprrafopredeter"/>
    <w:uiPriority w:val="99"/>
    <w:semiHidden/>
    <w:unhideWhenUsed/>
    <w:rsid w:val="007829E5"/>
    <w:rPr>
      <w:sz w:val="16"/>
      <w:szCs w:val="16"/>
    </w:rPr>
  </w:style>
  <w:style w:type="paragraph" w:styleId="Textocomentario">
    <w:name w:val="annotation text"/>
    <w:basedOn w:val="Normal"/>
    <w:link w:val="TextocomentarioCar"/>
    <w:uiPriority w:val="99"/>
    <w:semiHidden/>
    <w:unhideWhenUsed/>
    <w:rsid w:val="007829E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829E5"/>
    <w:rPr>
      <w:sz w:val="20"/>
      <w:lang w:val="es-ES" w:bidi="ar-SA"/>
    </w:rPr>
  </w:style>
  <w:style w:type="paragraph" w:styleId="Asuntodelcomentario">
    <w:name w:val="annotation subject"/>
    <w:basedOn w:val="Textocomentario"/>
    <w:next w:val="Textocomentario"/>
    <w:link w:val="AsuntodelcomentarioCar"/>
    <w:uiPriority w:val="99"/>
    <w:semiHidden/>
    <w:unhideWhenUsed/>
    <w:rsid w:val="007829E5"/>
    <w:rPr>
      <w:b/>
      <w:bCs/>
    </w:rPr>
  </w:style>
  <w:style w:type="character" w:customStyle="1" w:styleId="AsuntodelcomentarioCar">
    <w:name w:val="Asunto del comentario Car"/>
    <w:basedOn w:val="TextocomentarioCar"/>
    <w:link w:val="Asuntodelcomentario"/>
    <w:uiPriority w:val="99"/>
    <w:semiHidden/>
    <w:rsid w:val="007829E5"/>
    <w:rPr>
      <w:b/>
      <w:bCs/>
      <w:sz w:val="20"/>
      <w:lang w:val="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6595">
      <w:bodyDiv w:val="1"/>
      <w:marLeft w:val="0"/>
      <w:marRight w:val="0"/>
      <w:marTop w:val="0"/>
      <w:marBottom w:val="0"/>
      <w:divBdr>
        <w:top w:val="none" w:sz="0" w:space="0" w:color="auto"/>
        <w:left w:val="none" w:sz="0" w:space="0" w:color="auto"/>
        <w:bottom w:val="none" w:sz="0" w:space="0" w:color="auto"/>
        <w:right w:val="none" w:sz="0" w:space="0" w:color="auto"/>
      </w:divBdr>
    </w:div>
    <w:div w:id="14576384">
      <w:bodyDiv w:val="1"/>
      <w:marLeft w:val="0"/>
      <w:marRight w:val="0"/>
      <w:marTop w:val="0"/>
      <w:marBottom w:val="0"/>
      <w:divBdr>
        <w:top w:val="none" w:sz="0" w:space="0" w:color="auto"/>
        <w:left w:val="none" w:sz="0" w:space="0" w:color="auto"/>
        <w:bottom w:val="none" w:sz="0" w:space="0" w:color="auto"/>
        <w:right w:val="none" w:sz="0" w:space="0" w:color="auto"/>
      </w:divBdr>
    </w:div>
    <w:div w:id="34088273">
      <w:bodyDiv w:val="1"/>
      <w:marLeft w:val="0"/>
      <w:marRight w:val="0"/>
      <w:marTop w:val="0"/>
      <w:marBottom w:val="0"/>
      <w:divBdr>
        <w:top w:val="none" w:sz="0" w:space="0" w:color="auto"/>
        <w:left w:val="none" w:sz="0" w:space="0" w:color="auto"/>
        <w:bottom w:val="none" w:sz="0" w:space="0" w:color="auto"/>
        <w:right w:val="none" w:sz="0" w:space="0" w:color="auto"/>
      </w:divBdr>
    </w:div>
    <w:div w:id="46415711">
      <w:bodyDiv w:val="1"/>
      <w:marLeft w:val="0"/>
      <w:marRight w:val="0"/>
      <w:marTop w:val="0"/>
      <w:marBottom w:val="0"/>
      <w:divBdr>
        <w:top w:val="none" w:sz="0" w:space="0" w:color="auto"/>
        <w:left w:val="none" w:sz="0" w:space="0" w:color="auto"/>
        <w:bottom w:val="none" w:sz="0" w:space="0" w:color="auto"/>
        <w:right w:val="none" w:sz="0" w:space="0" w:color="auto"/>
      </w:divBdr>
    </w:div>
    <w:div w:id="46925942">
      <w:bodyDiv w:val="1"/>
      <w:marLeft w:val="0"/>
      <w:marRight w:val="0"/>
      <w:marTop w:val="0"/>
      <w:marBottom w:val="0"/>
      <w:divBdr>
        <w:top w:val="none" w:sz="0" w:space="0" w:color="auto"/>
        <w:left w:val="none" w:sz="0" w:space="0" w:color="auto"/>
        <w:bottom w:val="none" w:sz="0" w:space="0" w:color="auto"/>
        <w:right w:val="none" w:sz="0" w:space="0" w:color="auto"/>
      </w:divBdr>
    </w:div>
    <w:div w:id="62216307">
      <w:bodyDiv w:val="1"/>
      <w:marLeft w:val="0"/>
      <w:marRight w:val="0"/>
      <w:marTop w:val="0"/>
      <w:marBottom w:val="0"/>
      <w:divBdr>
        <w:top w:val="none" w:sz="0" w:space="0" w:color="auto"/>
        <w:left w:val="none" w:sz="0" w:space="0" w:color="auto"/>
        <w:bottom w:val="none" w:sz="0" w:space="0" w:color="auto"/>
        <w:right w:val="none" w:sz="0" w:space="0" w:color="auto"/>
      </w:divBdr>
    </w:div>
    <w:div w:id="73288743">
      <w:bodyDiv w:val="1"/>
      <w:marLeft w:val="0"/>
      <w:marRight w:val="0"/>
      <w:marTop w:val="0"/>
      <w:marBottom w:val="0"/>
      <w:divBdr>
        <w:top w:val="none" w:sz="0" w:space="0" w:color="auto"/>
        <w:left w:val="none" w:sz="0" w:space="0" w:color="auto"/>
        <w:bottom w:val="none" w:sz="0" w:space="0" w:color="auto"/>
        <w:right w:val="none" w:sz="0" w:space="0" w:color="auto"/>
      </w:divBdr>
    </w:div>
    <w:div w:id="73822184">
      <w:bodyDiv w:val="1"/>
      <w:marLeft w:val="0"/>
      <w:marRight w:val="0"/>
      <w:marTop w:val="0"/>
      <w:marBottom w:val="0"/>
      <w:divBdr>
        <w:top w:val="none" w:sz="0" w:space="0" w:color="auto"/>
        <w:left w:val="none" w:sz="0" w:space="0" w:color="auto"/>
        <w:bottom w:val="none" w:sz="0" w:space="0" w:color="auto"/>
        <w:right w:val="none" w:sz="0" w:space="0" w:color="auto"/>
      </w:divBdr>
    </w:div>
    <w:div w:id="84347023">
      <w:bodyDiv w:val="1"/>
      <w:marLeft w:val="0"/>
      <w:marRight w:val="0"/>
      <w:marTop w:val="0"/>
      <w:marBottom w:val="0"/>
      <w:divBdr>
        <w:top w:val="none" w:sz="0" w:space="0" w:color="auto"/>
        <w:left w:val="none" w:sz="0" w:space="0" w:color="auto"/>
        <w:bottom w:val="none" w:sz="0" w:space="0" w:color="auto"/>
        <w:right w:val="none" w:sz="0" w:space="0" w:color="auto"/>
      </w:divBdr>
    </w:div>
    <w:div w:id="101998061">
      <w:bodyDiv w:val="1"/>
      <w:marLeft w:val="0"/>
      <w:marRight w:val="0"/>
      <w:marTop w:val="0"/>
      <w:marBottom w:val="0"/>
      <w:divBdr>
        <w:top w:val="none" w:sz="0" w:space="0" w:color="auto"/>
        <w:left w:val="none" w:sz="0" w:space="0" w:color="auto"/>
        <w:bottom w:val="none" w:sz="0" w:space="0" w:color="auto"/>
        <w:right w:val="none" w:sz="0" w:space="0" w:color="auto"/>
      </w:divBdr>
    </w:div>
    <w:div w:id="103698937">
      <w:bodyDiv w:val="1"/>
      <w:marLeft w:val="0"/>
      <w:marRight w:val="0"/>
      <w:marTop w:val="0"/>
      <w:marBottom w:val="0"/>
      <w:divBdr>
        <w:top w:val="none" w:sz="0" w:space="0" w:color="auto"/>
        <w:left w:val="none" w:sz="0" w:space="0" w:color="auto"/>
        <w:bottom w:val="none" w:sz="0" w:space="0" w:color="auto"/>
        <w:right w:val="none" w:sz="0" w:space="0" w:color="auto"/>
      </w:divBdr>
    </w:div>
    <w:div w:id="143469890">
      <w:bodyDiv w:val="1"/>
      <w:marLeft w:val="0"/>
      <w:marRight w:val="0"/>
      <w:marTop w:val="0"/>
      <w:marBottom w:val="0"/>
      <w:divBdr>
        <w:top w:val="none" w:sz="0" w:space="0" w:color="auto"/>
        <w:left w:val="none" w:sz="0" w:space="0" w:color="auto"/>
        <w:bottom w:val="none" w:sz="0" w:space="0" w:color="auto"/>
        <w:right w:val="none" w:sz="0" w:space="0" w:color="auto"/>
      </w:divBdr>
    </w:div>
    <w:div w:id="146169122">
      <w:bodyDiv w:val="1"/>
      <w:marLeft w:val="0"/>
      <w:marRight w:val="0"/>
      <w:marTop w:val="0"/>
      <w:marBottom w:val="0"/>
      <w:divBdr>
        <w:top w:val="none" w:sz="0" w:space="0" w:color="auto"/>
        <w:left w:val="none" w:sz="0" w:space="0" w:color="auto"/>
        <w:bottom w:val="none" w:sz="0" w:space="0" w:color="auto"/>
        <w:right w:val="none" w:sz="0" w:space="0" w:color="auto"/>
      </w:divBdr>
    </w:div>
    <w:div w:id="194969799">
      <w:bodyDiv w:val="1"/>
      <w:marLeft w:val="0"/>
      <w:marRight w:val="0"/>
      <w:marTop w:val="0"/>
      <w:marBottom w:val="0"/>
      <w:divBdr>
        <w:top w:val="none" w:sz="0" w:space="0" w:color="auto"/>
        <w:left w:val="none" w:sz="0" w:space="0" w:color="auto"/>
        <w:bottom w:val="none" w:sz="0" w:space="0" w:color="auto"/>
        <w:right w:val="none" w:sz="0" w:space="0" w:color="auto"/>
      </w:divBdr>
    </w:div>
    <w:div w:id="208105418">
      <w:bodyDiv w:val="1"/>
      <w:marLeft w:val="0"/>
      <w:marRight w:val="0"/>
      <w:marTop w:val="0"/>
      <w:marBottom w:val="0"/>
      <w:divBdr>
        <w:top w:val="none" w:sz="0" w:space="0" w:color="auto"/>
        <w:left w:val="none" w:sz="0" w:space="0" w:color="auto"/>
        <w:bottom w:val="none" w:sz="0" w:space="0" w:color="auto"/>
        <w:right w:val="none" w:sz="0" w:space="0" w:color="auto"/>
      </w:divBdr>
    </w:div>
    <w:div w:id="224877378">
      <w:bodyDiv w:val="1"/>
      <w:marLeft w:val="0"/>
      <w:marRight w:val="0"/>
      <w:marTop w:val="0"/>
      <w:marBottom w:val="0"/>
      <w:divBdr>
        <w:top w:val="none" w:sz="0" w:space="0" w:color="auto"/>
        <w:left w:val="none" w:sz="0" w:space="0" w:color="auto"/>
        <w:bottom w:val="none" w:sz="0" w:space="0" w:color="auto"/>
        <w:right w:val="none" w:sz="0" w:space="0" w:color="auto"/>
      </w:divBdr>
    </w:div>
    <w:div w:id="231816374">
      <w:bodyDiv w:val="1"/>
      <w:marLeft w:val="0"/>
      <w:marRight w:val="0"/>
      <w:marTop w:val="0"/>
      <w:marBottom w:val="0"/>
      <w:divBdr>
        <w:top w:val="none" w:sz="0" w:space="0" w:color="auto"/>
        <w:left w:val="none" w:sz="0" w:space="0" w:color="auto"/>
        <w:bottom w:val="none" w:sz="0" w:space="0" w:color="auto"/>
        <w:right w:val="none" w:sz="0" w:space="0" w:color="auto"/>
      </w:divBdr>
    </w:div>
    <w:div w:id="246382105">
      <w:bodyDiv w:val="1"/>
      <w:marLeft w:val="0"/>
      <w:marRight w:val="0"/>
      <w:marTop w:val="0"/>
      <w:marBottom w:val="0"/>
      <w:divBdr>
        <w:top w:val="none" w:sz="0" w:space="0" w:color="auto"/>
        <w:left w:val="none" w:sz="0" w:space="0" w:color="auto"/>
        <w:bottom w:val="none" w:sz="0" w:space="0" w:color="auto"/>
        <w:right w:val="none" w:sz="0" w:space="0" w:color="auto"/>
      </w:divBdr>
    </w:div>
    <w:div w:id="247929509">
      <w:bodyDiv w:val="1"/>
      <w:marLeft w:val="0"/>
      <w:marRight w:val="0"/>
      <w:marTop w:val="0"/>
      <w:marBottom w:val="0"/>
      <w:divBdr>
        <w:top w:val="none" w:sz="0" w:space="0" w:color="auto"/>
        <w:left w:val="none" w:sz="0" w:space="0" w:color="auto"/>
        <w:bottom w:val="none" w:sz="0" w:space="0" w:color="auto"/>
        <w:right w:val="none" w:sz="0" w:space="0" w:color="auto"/>
      </w:divBdr>
    </w:div>
    <w:div w:id="264849582">
      <w:bodyDiv w:val="1"/>
      <w:marLeft w:val="0"/>
      <w:marRight w:val="0"/>
      <w:marTop w:val="0"/>
      <w:marBottom w:val="0"/>
      <w:divBdr>
        <w:top w:val="none" w:sz="0" w:space="0" w:color="auto"/>
        <w:left w:val="none" w:sz="0" w:space="0" w:color="auto"/>
        <w:bottom w:val="none" w:sz="0" w:space="0" w:color="auto"/>
        <w:right w:val="none" w:sz="0" w:space="0" w:color="auto"/>
      </w:divBdr>
    </w:div>
    <w:div w:id="275064370">
      <w:bodyDiv w:val="1"/>
      <w:marLeft w:val="0"/>
      <w:marRight w:val="0"/>
      <w:marTop w:val="0"/>
      <w:marBottom w:val="0"/>
      <w:divBdr>
        <w:top w:val="none" w:sz="0" w:space="0" w:color="auto"/>
        <w:left w:val="none" w:sz="0" w:space="0" w:color="auto"/>
        <w:bottom w:val="none" w:sz="0" w:space="0" w:color="auto"/>
        <w:right w:val="none" w:sz="0" w:space="0" w:color="auto"/>
      </w:divBdr>
    </w:div>
    <w:div w:id="275912586">
      <w:bodyDiv w:val="1"/>
      <w:marLeft w:val="0"/>
      <w:marRight w:val="0"/>
      <w:marTop w:val="0"/>
      <w:marBottom w:val="0"/>
      <w:divBdr>
        <w:top w:val="none" w:sz="0" w:space="0" w:color="auto"/>
        <w:left w:val="none" w:sz="0" w:space="0" w:color="auto"/>
        <w:bottom w:val="none" w:sz="0" w:space="0" w:color="auto"/>
        <w:right w:val="none" w:sz="0" w:space="0" w:color="auto"/>
      </w:divBdr>
    </w:div>
    <w:div w:id="279454801">
      <w:bodyDiv w:val="1"/>
      <w:marLeft w:val="0"/>
      <w:marRight w:val="0"/>
      <w:marTop w:val="0"/>
      <w:marBottom w:val="0"/>
      <w:divBdr>
        <w:top w:val="none" w:sz="0" w:space="0" w:color="auto"/>
        <w:left w:val="none" w:sz="0" w:space="0" w:color="auto"/>
        <w:bottom w:val="none" w:sz="0" w:space="0" w:color="auto"/>
        <w:right w:val="none" w:sz="0" w:space="0" w:color="auto"/>
      </w:divBdr>
    </w:div>
    <w:div w:id="285083991">
      <w:bodyDiv w:val="1"/>
      <w:marLeft w:val="0"/>
      <w:marRight w:val="0"/>
      <w:marTop w:val="0"/>
      <w:marBottom w:val="0"/>
      <w:divBdr>
        <w:top w:val="none" w:sz="0" w:space="0" w:color="auto"/>
        <w:left w:val="none" w:sz="0" w:space="0" w:color="auto"/>
        <w:bottom w:val="none" w:sz="0" w:space="0" w:color="auto"/>
        <w:right w:val="none" w:sz="0" w:space="0" w:color="auto"/>
      </w:divBdr>
    </w:div>
    <w:div w:id="285084719">
      <w:bodyDiv w:val="1"/>
      <w:marLeft w:val="0"/>
      <w:marRight w:val="0"/>
      <w:marTop w:val="0"/>
      <w:marBottom w:val="0"/>
      <w:divBdr>
        <w:top w:val="none" w:sz="0" w:space="0" w:color="auto"/>
        <w:left w:val="none" w:sz="0" w:space="0" w:color="auto"/>
        <w:bottom w:val="none" w:sz="0" w:space="0" w:color="auto"/>
        <w:right w:val="none" w:sz="0" w:space="0" w:color="auto"/>
      </w:divBdr>
    </w:div>
    <w:div w:id="310718710">
      <w:bodyDiv w:val="1"/>
      <w:marLeft w:val="0"/>
      <w:marRight w:val="0"/>
      <w:marTop w:val="0"/>
      <w:marBottom w:val="0"/>
      <w:divBdr>
        <w:top w:val="none" w:sz="0" w:space="0" w:color="auto"/>
        <w:left w:val="none" w:sz="0" w:space="0" w:color="auto"/>
        <w:bottom w:val="none" w:sz="0" w:space="0" w:color="auto"/>
        <w:right w:val="none" w:sz="0" w:space="0" w:color="auto"/>
      </w:divBdr>
    </w:div>
    <w:div w:id="333263798">
      <w:bodyDiv w:val="1"/>
      <w:marLeft w:val="0"/>
      <w:marRight w:val="0"/>
      <w:marTop w:val="0"/>
      <w:marBottom w:val="0"/>
      <w:divBdr>
        <w:top w:val="none" w:sz="0" w:space="0" w:color="auto"/>
        <w:left w:val="none" w:sz="0" w:space="0" w:color="auto"/>
        <w:bottom w:val="none" w:sz="0" w:space="0" w:color="auto"/>
        <w:right w:val="none" w:sz="0" w:space="0" w:color="auto"/>
      </w:divBdr>
    </w:div>
    <w:div w:id="334767095">
      <w:bodyDiv w:val="1"/>
      <w:marLeft w:val="0"/>
      <w:marRight w:val="0"/>
      <w:marTop w:val="0"/>
      <w:marBottom w:val="0"/>
      <w:divBdr>
        <w:top w:val="none" w:sz="0" w:space="0" w:color="auto"/>
        <w:left w:val="none" w:sz="0" w:space="0" w:color="auto"/>
        <w:bottom w:val="none" w:sz="0" w:space="0" w:color="auto"/>
        <w:right w:val="none" w:sz="0" w:space="0" w:color="auto"/>
      </w:divBdr>
    </w:div>
    <w:div w:id="349918181">
      <w:bodyDiv w:val="1"/>
      <w:marLeft w:val="0"/>
      <w:marRight w:val="0"/>
      <w:marTop w:val="0"/>
      <w:marBottom w:val="0"/>
      <w:divBdr>
        <w:top w:val="none" w:sz="0" w:space="0" w:color="auto"/>
        <w:left w:val="none" w:sz="0" w:space="0" w:color="auto"/>
        <w:bottom w:val="none" w:sz="0" w:space="0" w:color="auto"/>
        <w:right w:val="none" w:sz="0" w:space="0" w:color="auto"/>
      </w:divBdr>
    </w:div>
    <w:div w:id="354237863">
      <w:bodyDiv w:val="1"/>
      <w:marLeft w:val="0"/>
      <w:marRight w:val="0"/>
      <w:marTop w:val="0"/>
      <w:marBottom w:val="0"/>
      <w:divBdr>
        <w:top w:val="none" w:sz="0" w:space="0" w:color="auto"/>
        <w:left w:val="none" w:sz="0" w:space="0" w:color="auto"/>
        <w:bottom w:val="none" w:sz="0" w:space="0" w:color="auto"/>
        <w:right w:val="none" w:sz="0" w:space="0" w:color="auto"/>
      </w:divBdr>
    </w:div>
    <w:div w:id="365833616">
      <w:bodyDiv w:val="1"/>
      <w:marLeft w:val="0"/>
      <w:marRight w:val="0"/>
      <w:marTop w:val="0"/>
      <w:marBottom w:val="0"/>
      <w:divBdr>
        <w:top w:val="none" w:sz="0" w:space="0" w:color="auto"/>
        <w:left w:val="none" w:sz="0" w:space="0" w:color="auto"/>
        <w:bottom w:val="none" w:sz="0" w:space="0" w:color="auto"/>
        <w:right w:val="none" w:sz="0" w:space="0" w:color="auto"/>
      </w:divBdr>
      <w:divsChild>
        <w:div w:id="664089029">
          <w:marLeft w:val="0"/>
          <w:marRight w:val="0"/>
          <w:marTop w:val="0"/>
          <w:marBottom w:val="75"/>
          <w:divBdr>
            <w:top w:val="none" w:sz="0" w:space="0" w:color="auto"/>
            <w:left w:val="none" w:sz="0" w:space="0" w:color="auto"/>
            <w:bottom w:val="none" w:sz="0" w:space="0" w:color="auto"/>
            <w:right w:val="none" w:sz="0" w:space="0" w:color="auto"/>
          </w:divBdr>
        </w:div>
        <w:div w:id="292978213">
          <w:marLeft w:val="0"/>
          <w:marRight w:val="0"/>
          <w:marTop w:val="0"/>
          <w:marBottom w:val="0"/>
          <w:divBdr>
            <w:top w:val="none" w:sz="0" w:space="0" w:color="auto"/>
            <w:left w:val="none" w:sz="0" w:space="0" w:color="auto"/>
            <w:bottom w:val="none" w:sz="0" w:space="0" w:color="auto"/>
            <w:right w:val="none" w:sz="0" w:space="0" w:color="auto"/>
          </w:divBdr>
          <w:divsChild>
            <w:div w:id="1842426815">
              <w:marLeft w:val="0"/>
              <w:marRight w:val="0"/>
              <w:marTop w:val="0"/>
              <w:marBottom w:val="0"/>
              <w:divBdr>
                <w:top w:val="none" w:sz="0" w:space="0" w:color="auto"/>
                <w:left w:val="none" w:sz="0" w:space="0" w:color="auto"/>
                <w:bottom w:val="none" w:sz="0" w:space="0" w:color="auto"/>
                <w:right w:val="none" w:sz="0" w:space="0" w:color="auto"/>
              </w:divBdr>
            </w:div>
            <w:div w:id="794057288">
              <w:marLeft w:val="0"/>
              <w:marRight w:val="0"/>
              <w:marTop w:val="60"/>
              <w:marBottom w:val="0"/>
              <w:divBdr>
                <w:top w:val="none" w:sz="0" w:space="0" w:color="auto"/>
                <w:left w:val="none" w:sz="0" w:space="0" w:color="auto"/>
                <w:bottom w:val="none" w:sz="0" w:space="0" w:color="auto"/>
                <w:right w:val="none" w:sz="0" w:space="0" w:color="auto"/>
              </w:divBdr>
            </w:div>
          </w:divsChild>
        </w:div>
        <w:div w:id="1205405078">
          <w:marLeft w:val="0"/>
          <w:marRight w:val="0"/>
          <w:marTop w:val="0"/>
          <w:marBottom w:val="75"/>
          <w:divBdr>
            <w:top w:val="none" w:sz="0" w:space="0" w:color="auto"/>
            <w:left w:val="none" w:sz="0" w:space="0" w:color="auto"/>
            <w:bottom w:val="none" w:sz="0" w:space="0" w:color="auto"/>
            <w:right w:val="none" w:sz="0" w:space="0" w:color="auto"/>
          </w:divBdr>
          <w:divsChild>
            <w:div w:id="2126999478">
              <w:marLeft w:val="0"/>
              <w:marRight w:val="0"/>
              <w:marTop w:val="0"/>
              <w:marBottom w:val="120"/>
              <w:divBdr>
                <w:top w:val="none" w:sz="0" w:space="0" w:color="auto"/>
                <w:left w:val="none" w:sz="0" w:space="0" w:color="auto"/>
                <w:bottom w:val="none" w:sz="0" w:space="0" w:color="auto"/>
                <w:right w:val="none" w:sz="0" w:space="0" w:color="auto"/>
              </w:divBdr>
            </w:div>
          </w:divsChild>
        </w:div>
        <w:div w:id="1434089267">
          <w:marLeft w:val="0"/>
          <w:marRight w:val="0"/>
          <w:marTop w:val="0"/>
          <w:marBottom w:val="0"/>
          <w:divBdr>
            <w:top w:val="none" w:sz="0" w:space="0" w:color="auto"/>
            <w:left w:val="none" w:sz="0" w:space="0" w:color="auto"/>
            <w:bottom w:val="none" w:sz="0" w:space="0" w:color="auto"/>
            <w:right w:val="none" w:sz="0" w:space="0" w:color="auto"/>
          </w:divBdr>
          <w:divsChild>
            <w:div w:id="1622109467">
              <w:marLeft w:val="0"/>
              <w:marRight w:val="0"/>
              <w:marTop w:val="0"/>
              <w:marBottom w:val="0"/>
              <w:divBdr>
                <w:top w:val="none" w:sz="0" w:space="0" w:color="auto"/>
                <w:left w:val="none" w:sz="0" w:space="0" w:color="auto"/>
                <w:bottom w:val="none" w:sz="0" w:space="0" w:color="auto"/>
                <w:right w:val="none" w:sz="0" w:space="0" w:color="auto"/>
              </w:divBdr>
            </w:div>
            <w:div w:id="11934235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30395336">
      <w:bodyDiv w:val="1"/>
      <w:marLeft w:val="0"/>
      <w:marRight w:val="0"/>
      <w:marTop w:val="0"/>
      <w:marBottom w:val="0"/>
      <w:divBdr>
        <w:top w:val="none" w:sz="0" w:space="0" w:color="auto"/>
        <w:left w:val="none" w:sz="0" w:space="0" w:color="auto"/>
        <w:bottom w:val="none" w:sz="0" w:space="0" w:color="auto"/>
        <w:right w:val="none" w:sz="0" w:space="0" w:color="auto"/>
      </w:divBdr>
    </w:div>
    <w:div w:id="435710690">
      <w:bodyDiv w:val="1"/>
      <w:marLeft w:val="0"/>
      <w:marRight w:val="0"/>
      <w:marTop w:val="0"/>
      <w:marBottom w:val="0"/>
      <w:divBdr>
        <w:top w:val="none" w:sz="0" w:space="0" w:color="auto"/>
        <w:left w:val="none" w:sz="0" w:space="0" w:color="auto"/>
        <w:bottom w:val="none" w:sz="0" w:space="0" w:color="auto"/>
        <w:right w:val="none" w:sz="0" w:space="0" w:color="auto"/>
      </w:divBdr>
    </w:div>
    <w:div w:id="447507929">
      <w:bodyDiv w:val="1"/>
      <w:marLeft w:val="0"/>
      <w:marRight w:val="0"/>
      <w:marTop w:val="0"/>
      <w:marBottom w:val="0"/>
      <w:divBdr>
        <w:top w:val="none" w:sz="0" w:space="0" w:color="auto"/>
        <w:left w:val="none" w:sz="0" w:space="0" w:color="auto"/>
        <w:bottom w:val="none" w:sz="0" w:space="0" w:color="auto"/>
        <w:right w:val="none" w:sz="0" w:space="0" w:color="auto"/>
      </w:divBdr>
    </w:div>
    <w:div w:id="508059449">
      <w:bodyDiv w:val="1"/>
      <w:marLeft w:val="0"/>
      <w:marRight w:val="0"/>
      <w:marTop w:val="0"/>
      <w:marBottom w:val="0"/>
      <w:divBdr>
        <w:top w:val="none" w:sz="0" w:space="0" w:color="auto"/>
        <w:left w:val="none" w:sz="0" w:space="0" w:color="auto"/>
        <w:bottom w:val="none" w:sz="0" w:space="0" w:color="auto"/>
        <w:right w:val="none" w:sz="0" w:space="0" w:color="auto"/>
      </w:divBdr>
    </w:div>
    <w:div w:id="532965250">
      <w:bodyDiv w:val="1"/>
      <w:marLeft w:val="0"/>
      <w:marRight w:val="0"/>
      <w:marTop w:val="0"/>
      <w:marBottom w:val="0"/>
      <w:divBdr>
        <w:top w:val="none" w:sz="0" w:space="0" w:color="auto"/>
        <w:left w:val="none" w:sz="0" w:space="0" w:color="auto"/>
        <w:bottom w:val="none" w:sz="0" w:space="0" w:color="auto"/>
        <w:right w:val="none" w:sz="0" w:space="0" w:color="auto"/>
      </w:divBdr>
    </w:div>
    <w:div w:id="559248105">
      <w:bodyDiv w:val="1"/>
      <w:marLeft w:val="0"/>
      <w:marRight w:val="0"/>
      <w:marTop w:val="0"/>
      <w:marBottom w:val="0"/>
      <w:divBdr>
        <w:top w:val="none" w:sz="0" w:space="0" w:color="auto"/>
        <w:left w:val="none" w:sz="0" w:space="0" w:color="auto"/>
        <w:bottom w:val="none" w:sz="0" w:space="0" w:color="auto"/>
        <w:right w:val="none" w:sz="0" w:space="0" w:color="auto"/>
      </w:divBdr>
    </w:div>
    <w:div w:id="563443314">
      <w:bodyDiv w:val="1"/>
      <w:marLeft w:val="0"/>
      <w:marRight w:val="0"/>
      <w:marTop w:val="0"/>
      <w:marBottom w:val="0"/>
      <w:divBdr>
        <w:top w:val="none" w:sz="0" w:space="0" w:color="auto"/>
        <w:left w:val="none" w:sz="0" w:space="0" w:color="auto"/>
        <w:bottom w:val="none" w:sz="0" w:space="0" w:color="auto"/>
        <w:right w:val="none" w:sz="0" w:space="0" w:color="auto"/>
      </w:divBdr>
    </w:div>
    <w:div w:id="565841885">
      <w:bodyDiv w:val="1"/>
      <w:marLeft w:val="0"/>
      <w:marRight w:val="0"/>
      <w:marTop w:val="0"/>
      <w:marBottom w:val="0"/>
      <w:divBdr>
        <w:top w:val="none" w:sz="0" w:space="0" w:color="auto"/>
        <w:left w:val="none" w:sz="0" w:space="0" w:color="auto"/>
        <w:bottom w:val="none" w:sz="0" w:space="0" w:color="auto"/>
        <w:right w:val="none" w:sz="0" w:space="0" w:color="auto"/>
      </w:divBdr>
    </w:div>
    <w:div w:id="571891901">
      <w:bodyDiv w:val="1"/>
      <w:marLeft w:val="0"/>
      <w:marRight w:val="0"/>
      <w:marTop w:val="0"/>
      <w:marBottom w:val="0"/>
      <w:divBdr>
        <w:top w:val="none" w:sz="0" w:space="0" w:color="auto"/>
        <w:left w:val="none" w:sz="0" w:space="0" w:color="auto"/>
        <w:bottom w:val="none" w:sz="0" w:space="0" w:color="auto"/>
        <w:right w:val="none" w:sz="0" w:space="0" w:color="auto"/>
      </w:divBdr>
    </w:div>
    <w:div w:id="598831173">
      <w:bodyDiv w:val="1"/>
      <w:marLeft w:val="0"/>
      <w:marRight w:val="0"/>
      <w:marTop w:val="0"/>
      <w:marBottom w:val="0"/>
      <w:divBdr>
        <w:top w:val="none" w:sz="0" w:space="0" w:color="auto"/>
        <w:left w:val="none" w:sz="0" w:space="0" w:color="auto"/>
        <w:bottom w:val="none" w:sz="0" w:space="0" w:color="auto"/>
        <w:right w:val="none" w:sz="0" w:space="0" w:color="auto"/>
      </w:divBdr>
    </w:div>
    <w:div w:id="642078800">
      <w:bodyDiv w:val="1"/>
      <w:marLeft w:val="0"/>
      <w:marRight w:val="0"/>
      <w:marTop w:val="0"/>
      <w:marBottom w:val="0"/>
      <w:divBdr>
        <w:top w:val="none" w:sz="0" w:space="0" w:color="auto"/>
        <w:left w:val="none" w:sz="0" w:space="0" w:color="auto"/>
        <w:bottom w:val="none" w:sz="0" w:space="0" w:color="auto"/>
        <w:right w:val="none" w:sz="0" w:space="0" w:color="auto"/>
      </w:divBdr>
    </w:div>
    <w:div w:id="650672680">
      <w:bodyDiv w:val="1"/>
      <w:marLeft w:val="0"/>
      <w:marRight w:val="0"/>
      <w:marTop w:val="0"/>
      <w:marBottom w:val="0"/>
      <w:divBdr>
        <w:top w:val="none" w:sz="0" w:space="0" w:color="auto"/>
        <w:left w:val="none" w:sz="0" w:space="0" w:color="auto"/>
        <w:bottom w:val="none" w:sz="0" w:space="0" w:color="auto"/>
        <w:right w:val="none" w:sz="0" w:space="0" w:color="auto"/>
      </w:divBdr>
    </w:div>
    <w:div w:id="681200938">
      <w:bodyDiv w:val="1"/>
      <w:marLeft w:val="0"/>
      <w:marRight w:val="0"/>
      <w:marTop w:val="0"/>
      <w:marBottom w:val="0"/>
      <w:divBdr>
        <w:top w:val="none" w:sz="0" w:space="0" w:color="auto"/>
        <w:left w:val="none" w:sz="0" w:space="0" w:color="auto"/>
        <w:bottom w:val="none" w:sz="0" w:space="0" w:color="auto"/>
        <w:right w:val="none" w:sz="0" w:space="0" w:color="auto"/>
      </w:divBdr>
    </w:div>
    <w:div w:id="710420937">
      <w:bodyDiv w:val="1"/>
      <w:marLeft w:val="0"/>
      <w:marRight w:val="0"/>
      <w:marTop w:val="0"/>
      <w:marBottom w:val="0"/>
      <w:divBdr>
        <w:top w:val="none" w:sz="0" w:space="0" w:color="auto"/>
        <w:left w:val="none" w:sz="0" w:space="0" w:color="auto"/>
        <w:bottom w:val="none" w:sz="0" w:space="0" w:color="auto"/>
        <w:right w:val="none" w:sz="0" w:space="0" w:color="auto"/>
      </w:divBdr>
    </w:div>
    <w:div w:id="734551426">
      <w:bodyDiv w:val="1"/>
      <w:marLeft w:val="0"/>
      <w:marRight w:val="0"/>
      <w:marTop w:val="0"/>
      <w:marBottom w:val="0"/>
      <w:divBdr>
        <w:top w:val="none" w:sz="0" w:space="0" w:color="auto"/>
        <w:left w:val="none" w:sz="0" w:space="0" w:color="auto"/>
        <w:bottom w:val="none" w:sz="0" w:space="0" w:color="auto"/>
        <w:right w:val="none" w:sz="0" w:space="0" w:color="auto"/>
      </w:divBdr>
    </w:div>
    <w:div w:id="740560106">
      <w:bodyDiv w:val="1"/>
      <w:marLeft w:val="0"/>
      <w:marRight w:val="0"/>
      <w:marTop w:val="0"/>
      <w:marBottom w:val="0"/>
      <w:divBdr>
        <w:top w:val="none" w:sz="0" w:space="0" w:color="auto"/>
        <w:left w:val="none" w:sz="0" w:space="0" w:color="auto"/>
        <w:bottom w:val="none" w:sz="0" w:space="0" w:color="auto"/>
        <w:right w:val="none" w:sz="0" w:space="0" w:color="auto"/>
      </w:divBdr>
    </w:div>
    <w:div w:id="751782971">
      <w:bodyDiv w:val="1"/>
      <w:marLeft w:val="0"/>
      <w:marRight w:val="0"/>
      <w:marTop w:val="0"/>
      <w:marBottom w:val="0"/>
      <w:divBdr>
        <w:top w:val="none" w:sz="0" w:space="0" w:color="auto"/>
        <w:left w:val="none" w:sz="0" w:space="0" w:color="auto"/>
        <w:bottom w:val="none" w:sz="0" w:space="0" w:color="auto"/>
        <w:right w:val="none" w:sz="0" w:space="0" w:color="auto"/>
      </w:divBdr>
    </w:div>
    <w:div w:id="777722053">
      <w:bodyDiv w:val="1"/>
      <w:marLeft w:val="0"/>
      <w:marRight w:val="0"/>
      <w:marTop w:val="0"/>
      <w:marBottom w:val="0"/>
      <w:divBdr>
        <w:top w:val="none" w:sz="0" w:space="0" w:color="auto"/>
        <w:left w:val="none" w:sz="0" w:space="0" w:color="auto"/>
        <w:bottom w:val="none" w:sz="0" w:space="0" w:color="auto"/>
        <w:right w:val="none" w:sz="0" w:space="0" w:color="auto"/>
      </w:divBdr>
    </w:div>
    <w:div w:id="778990784">
      <w:bodyDiv w:val="1"/>
      <w:marLeft w:val="0"/>
      <w:marRight w:val="0"/>
      <w:marTop w:val="0"/>
      <w:marBottom w:val="0"/>
      <w:divBdr>
        <w:top w:val="none" w:sz="0" w:space="0" w:color="auto"/>
        <w:left w:val="none" w:sz="0" w:space="0" w:color="auto"/>
        <w:bottom w:val="none" w:sz="0" w:space="0" w:color="auto"/>
        <w:right w:val="none" w:sz="0" w:space="0" w:color="auto"/>
      </w:divBdr>
    </w:div>
    <w:div w:id="779837582">
      <w:bodyDiv w:val="1"/>
      <w:marLeft w:val="0"/>
      <w:marRight w:val="0"/>
      <w:marTop w:val="0"/>
      <w:marBottom w:val="0"/>
      <w:divBdr>
        <w:top w:val="none" w:sz="0" w:space="0" w:color="auto"/>
        <w:left w:val="none" w:sz="0" w:space="0" w:color="auto"/>
        <w:bottom w:val="none" w:sz="0" w:space="0" w:color="auto"/>
        <w:right w:val="none" w:sz="0" w:space="0" w:color="auto"/>
      </w:divBdr>
    </w:div>
    <w:div w:id="803154956">
      <w:bodyDiv w:val="1"/>
      <w:marLeft w:val="0"/>
      <w:marRight w:val="0"/>
      <w:marTop w:val="0"/>
      <w:marBottom w:val="0"/>
      <w:divBdr>
        <w:top w:val="none" w:sz="0" w:space="0" w:color="auto"/>
        <w:left w:val="none" w:sz="0" w:space="0" w:color="auto"/>
        <w:bottom w:val="none" w:sz="0" w:space="0" w:color="auto"/>
        <w:right w:val="none" w:sz="0" w:space="0" w:color="auto"/>
      </w:divBdr>
    </w:div>
    <w:div w:id="807164814">
      <w:bodyDiv w:val="1"/>
      <w:marLeft w:val="0"/>
      <w:marRight w:val="0"/>
      <w:marTop w:val="0"/>
      <w:marBottom w:val="0"/>
      <w:divBdr>
        <w:top w:val="none" w:sz="0" w:space="0" w:color="auto"/>
        <w:left w:val="none" w:sz="0" w:space="0" w:color="auto"/>
        <w:bottom w:val="none" w:sz="0" w:space="0" w:color="auto"/>
        <w:right w:val="none" w:sz="0" w:space="0" w:color="auto"/>
      </w:divBdr>
    </w:div>
    <w:div w:id="850341002">
      <w:bodyDiv w:val="1"/>
      <w:marLeft w:val="0"/>
      <w:marRight w:val="0"/>
      <w:marTop w:val="0"/>
      <w:marBottom w:val="0"/>
      <w:divBdr>
        <w:top w:val="none" w:sz="0" w:space="0" w:color="auto"/>
        <w:left w:val="none" w:sz="0" w:space="0" w:color="auto"/>
        <w:bottom w:val="none" w:sz="0" w:space="0" w:color="auto"/>
        <w:right w:val="none" w:sz="0" w:space="0" w:color="auto"/>
      </w:divBdr>
    </w:div>
    <w:div w:id="872694300">
      <w:bodyDiv w:val="1"/>
      <w:marLeft w:val="0"/>
      <w:marRight w:val="0"/>
      <w:marTop w:val="0"/>
      <w:marBottom w:val="0"/>
      <w:divBdr>
        <w:top w:val="none" w:sz="0" w:space="0" w:color="auto"/>
        <w:left w:val="none" w:sz="0" w:space="0" w:color="auto"/>
        <w:bottom w:val="none" w:sz="0" w:space="0" w:color="auto"/>
        <w:right w:val="none" w:sz="0" w:space="0" w:color="auto"/>
      </w:divBdr>
    </w:div>
    <w:div w:id="877282315">
      <w:bodyDiv w:val="1"/>
      <w:marLeft w:val="0"/>
      <w:marRight w:val="0"/>
      <w:marTop w:val="0"/>
      <w:marBottom w:val="0"/>
      <w:divBdr>
        <w:top w:val="none" w:sz="0" w:space="0" w:color="auto"/>
        <w:left w:val="none" w:sz="0" w:space="0" w:color="auto"/>
        <w:bottom w:val="none" w:sz="0" w:space="0" w:color="auto"/>
        <w:right w:val="none" w:sz="0" w:space="0" w:color="auto"/>
      </w:divBdr>
    </w:div>
    <w:div w:id="890920370">
      <w:bodyDiv w:val="1"/>
      <w:marLeft w:val="0"/>
      <w:marRight w:val="0"/>
      <w:marTop w:val="0"/>
      <w:marBottom w:val="0"/>
      <w:divBdr>
        <w:top w:val="none" w:sz="0" w:space="0" w:color="auto"/>
        <w:left w:val="none" w:sz="0" w:space="0" w:color="auto"/>
        <w:bottom w:val="none" w:sz="0" w:space="0" w:color="auto"/>
        <w:right w:val="none" w:sz="0" w:space="0" w:color="auto"/>
      </w:divBdr>
    </w:div>
    <w:div w:id="892890770">
      <w:bodyDiv w:val="1"/>
      <w:marLeft w:val="0"/>
      <w:marRight w:val="0"/>
      <w:marTop w:val="0"/>
      <w:marBottom w:val="0"/>
      <w:divBdr>
        <w:top w:val="none" w:sz="0" w:space="0" w:color="auto"/>
        <w:left w:val="none" w:sz="0" w:space="0" w:color="auto"/>
        <w:bottom w:val="none" w:sz="0" w:space="0" w:color="auto"/>
        <w:right w:val="none" w:sz="0" w:space="0" w:color="auto"/>
      </w:divBdr>
    </w:div>
    <w:div w:id="920866300">
      <w:bodyDiv w:val="1"/>
      <w:marLeft w:val="0"/>
      <w:marRight w:val="0"/>
      <w:marTop w:val="0"/>
      <w:marBottom w:val="0"/>
      <w:divBdr>
        <w:top w:val="none" w:sz="0" w:space="0" w:color="auto"/>
        <w:left w:val="none" w:sz="0" w:space="0" w:color="auto"/>
        <w:bottom w:val="none" w:sz="0" w:space="0" w:color="auto"/>
        <w:right w:val="none" w:sz="0" w:space="0" w:color="auto"/>
      </w:divBdr>
    </w:div>
    <w:div w:id="924726215">
      <w:bodyDiv w:val="1"/>
      <w:marLeft w:val="0"/>
      <w:marRight w:val="0"/>
      <w:marTop w:val="0"/>
      <w:marBottom w:val="0"/>
      <w:divBdr>
        <w:top w:val="none" w:sz="0" w:space="0" w:color="auto"/>
        <w:left w:val="none" w:sz="0" w:space="0" w:color="auto"/>
        <w:bottom w:val="none" w:sz="0" w:space="0" w:color="auto"/>
        <w:right w:val="none" w:sz="0" w:space="0" w:color="auto"/>
      </w:divBdr>
    </w:div>
    <w:div w:id="948046150">
      <w:bodyDiv w:val="1"/>
      <w:marLeft w:val="0"/>
      <w:marRight w:val="0"/>
      <w:marTop w:val="0"/>
      <w:marBottom w:val="0"/>
      <w:divBdr>
        <w:top w:val="none" w:sz="0" w:space="0" w:color="auto"/>
        <w:left w:val="none" w:sz="0" w:space="0" w:color="auto"/>
        <w:bottom w:val="none" w:sz="0" w:space="0" w:color="auto"/>
        <w:right w:val="none" w:sz="0" w:space="0" w:color="auto"/>
      </w:divBdr>
    </w:div>
    <w:div w:id="962343733">
      <w:bodyDiv w:val="1"/>
      <w:marLeft w:val="0"/>
      <w:marRight w:val="0"/>
      <w:marTop w:val="0"/>
      <w:marBottom w:val="0"/>
      <w:divBdr>
        <w:top w:val="none" w:sz="0" w:space="0" w:color="auto"/>
        <w:left w:val="none" w:sz="0" w:space="0" w:color="auto"/>
        <w:bottom w:val="none" w:sz="0" w:space="0" w:color="auto"/>
        <w:right w:val="none" w:sz="0" w:space="0" w:color="auto"/>
      </w:divBdr>
    </w:div>
    <w:div w:id="964652828">
      <w:bodyDiv w:val="1"/>
      <w:marLeft w:val="0"/>
      <w:marRight w:val="0"/>
      <w:marTop w:val="0"/>
      <w:marBottom w:val="0"/>
      <w:divBdr>
        <w:top w:val="none" w:sz="0" w:space="0" w:color="auto"/>
        <w:left w:val="none" w:sz="0" w:space="0" w:color="auto"/>
        <w:bottom w:val="none" w:sz="0" w:space="0" w:color="auto"/>
        <w:right w:val="none" w:sz="0" w:space="0" w:color="auto"/>
      </w:divBdr>
    </w:div>
    <w:div w:id="989334227">
      <w:bodyDiv w:val="1"/>
      <w:marLeft w:val="0"/>
      <w:marRight w:val="0"/>
      <w:marTop w:val="0"/>
      <w:marBottom w:val="0"/>
      <w:divBdr>
        <w:top w:val="none" w:sz="0" w:space="0" w:color="auto"/>
        <w:left w:val="none" w:sz="0" w:space="0" w:color="auto"/>
        <w:bottom w:val="none" w:sz="0" w:space="0" w:color="auto"/>
        <w:right w:val="none" w:sz="0" w:space="0" w:color="auto"/>
      </w:divBdr>
    </w:div>
    <w:div w:id="989676138">
      <w:bodyDiv w:val="1"/>
      <w:marLeft w:val="0"/>
      <w:marRight w:val="0"/>
      <w:marTop w:val="0"/>
      <w:marBottom w:val="0"/>
      <w:divBdr>
        <w:top w:val="none" w:sz="0" w:space="0" w:color="auto"/>
        <w:left w:val="none" w:sz="0" w:space="0" w:color="auto"/>
        <w:bottom w:val="none" w:sz="0" w:space="0" w:color="auto"/>
        <w:right w:val="none" w:sz="0" w:space="0" w:color="auto"/>
      </w:divBdr>
    </w:div>
    <w:div w:id="1010985175">
      <w:bodyDiv w:val="1"/>
      <w:marLeft w:val="0"/>
      <w:marRight w:val="0"/>
      <w:marTop w:val="0"/>
      <w:marBottom w:val="0"/>
      <w:divBdr>
        <w:top w:val="none" w:sz="0" w:space="0" w:color="auto"/>
        <w:left w:val="none" w:sz="0" w:space="0" w:color="auto"/>
        <w:bottom w:val="none" w:sz="0" w:space="0" w:color="auto"/>
        <w:right w:val="none" w:sz="0" w:space="0" w:color="auto"/>
      </w:divBdr>
    </w:div>
    <w:div w:id="1034385182">
      <w:bodyDiv w:val="1"/>
      <w:marLeft w:val="0"/>
      <w:marRight w:val="0"/>
      <w:marTop w:val="0"/>
      <w:marBottom w:val="0"/>
      <w:divBdr>
        <w:top w:val="none" w:sz="0" w:space="0" w:color="auto"/>
        <w:left w:val="none" w:sz="0" w:space="0" w:color="auto"/>
        <w:bottom w:val="none" w:sz="0" w:space="0" w:color="auto"/>
        <w:right w:val="none" w:sz="0" w:space="0" w:color="auto"/>
      </w:divBdr>
    </w:div>
    <w:div w:id="1038313831">
      <w:bodyDiv w:val="1"/>
      <w:marLeft w:val="0"/>
      <w:marRight w:val="0"/>
      <w:marTop w:val="0"/>
      <w:marBottom w:val="0"/>
      <w:divBdr>
        <w:top w:val="none" w:sz="0" w:space="0" w:color="auto"/>
        <w:left w:val="none" w:sz="0" w:space="0" w:color="auto"/>
        <w:bottom w:val="none" w:sz="0" w:space="0" w:color="auto"/>
        <w:right w:val="none" w:sz="0" w:space="0" w:color="auto"/>
      </w:divBdr>
    </w:div>
    <w:div w:id="1079137443">
      <w:bodyDiv w:val="1"/>
      <w:marLeft w:val="0"/>
      <w:marRight w:val="0"/>
      <w:marTop w:val="0"/>
      <w:marBottom w:val="0"/>
      <w:divBdr>
        <w:top w:val="none" w:sz="0" w:space="0" w:color="auto"/>
        <w:left w:val="none" w:sz="0" w:space="0" w:color="auto"/>
        <w:bottom w:val="none" w:sz="0" w:space="0" w:color="auto"/>
        <w:right w:val="none" w:sz="0" w:space="0" w:color="auto"/>
      </w:divBdr>
    </w:div>
    <w:div w:id="1089354155">
      <w:bodyDiv w:val="1"/>
      <w:marLeft w:val="0"/>
      <w:marRight w:val="0"/>
      <w:marTop w:val="0"/>
      <w:marBottom w:val="0"/>
      <w:divBdr>
        <w:top w:val="none" w:sz="0" w:space="0" w:color="auto"/>
        <w:left w:val="none" w:sz="0" w:space="0" w:color="auto"/>
        <w:bottom w:val="none" w:sz="0" w:space="0" w:color="auto"/>
        <w:right w:val="none" w:sz="0" w:space="0" w:color="auto"/>
      </w:divBdr>
    </w:div>
    <w:div w:id="1092124200">
      <w:bodyDiv w:val="1"/>
      <w:marLeft w:val="0"/>
      <w:marRight w:val="0"/>
      <w:marTop w:val="0"/>
      <w:marBottom w:val="0"/>
      <w:divBdr>
        <w:top w:val="none" w:sz="0" w:space="0" w:color="auto"/>
        <w:left w:val="none" w:sz="0" w:space="0" w:color="auto"/>
        <w:bottom w:val="none" w:sz="0" w:space="0" w:color="auto"/>
        <w:right w:val="none" w:sz="0" w:space="0" w:color="auto"/>
      </w:divBdr>
    </w:div>
    <w:div w:id="1123573772">
      <w:bodyDiv w:val="1"/>
      <w:marLeft w:val="0"/>
      <w:marRight w:val="0"/>
      <w:marTop w:val="0"/>
      <w:marBottom w:val="0"/>
      <w:divBdr>
        <w:top w:val="none" w:sz="0" w:space="0" w:color="auto"/>
        <w:left w:val="none" w:sz="0" w:space="0" w:color="auto"/>
        <w:bottom w:val="none" w:sz="0" w:space="0" w:color="auto"/>
        <w:right w:val="none" w:sz="0" w:space="0" w:color="auto"/>
      </w:divBdr>
    </w:div>
    <w:div w:id="1129398624">
      <w:bodyDiv w:val="1"/>
      <w:marLeft w:val="0"/>
      <w:marRight w:val="0"/>
      <w:marTop w:val="0"/>
      <w:marBottom w:val="0"/>
      <w:divBdr>
        <w:top w:val="none" w:sz="0" w:space="0" w:color="auto"/>
        <w:left w:val="none" w:sz="0" w:space="0" w:color="auto"/>
        <w:bottom w:val="none" w:sz="0" w:space="0" w:color="auto"/>
        <w:right w:val="none" w:sz="0" w:space="0" w:color="auto"/>
      </w:divBdr>
    </w:div>
    <w:div w:id="1136802211">
      <w:bodyDiv w:val="1"/>
      <w:marLeft w:val="0"/>
      <w:marRight w:val="0"/>
      <w:marTop w:val="0"/>
      <w:marBottom w:val="0"/>
      <w:divBdr>
        <w:top w:val="none" w:sz="0" w:space="0" w:color="auto"/>
        <w:left w:val="none" w:sz="0" w:space="0" w:color="auto"/>
        <w:bottom w:val="none" w:sz="0" w:space="0" w:color="auto"/>
        <w:right w:val="none" w:sz="0" w:space="0" w:color="auto"/>
      </w:divBdr>
    </w:div>
    <w:div w:id="1153834581">
      <w:bodyDiv w:val="1"/>
      <w:marLeft w:val="0"/>
      <w:marRight w:val="0"/>
      <w:marTop w:val="0"/>
      <w:marBottom w:val="0"/>
      <w:divBdr>
        <w:top w:val="none" w:sz="0" w:space="0" w:color="auto"/>
        <w:left w:val="none" w:sz="0" w:space="0" w:color="auto"/>
        <w:bottom w:val="none" w:sz="0" w:space="0" w:color="auto"/>
        <w:right w:val="none" w:sz="0" w:space="0" w:color="auto"/>
      </w:divBdr>
    </w:div>
    <w:div w:id="1160388965">
      <w:bodyDiv w:val="1"/>
      <w:marLeft w:val="0"/>
      <w:marRight w:val="0"/>
      <w:marTop w:val="0"/>
      <w:marBottom w:val="0"/>
      <w:divBdr>
        <w:top w:val="none" w:sz="0" w:space="0" w:color="auto"/>
        <w:left w:val="none" w:sz="0" w:space="0" w:color="auto"/>
        <w:bottom w:val="none" w:sz="0" w:space="0" w:color="auto"/>
        <w:right w:val="none" w:sz="0" w:space="0" w:color="auto"/>
      </w:divBdr>
    </w:div>
    <w:div w:id="1175732240">
      <w:bodyDiv w:val="1"/>
      <w:marLeft w:val="0"/>
      <w:marRight w:val="0"/>
      <w:marTop w:val="0"/>
      <w:marBottom w:val="0"/>
      <w:divBdr>
        <w:top w:val="none" w:sz="0" w:space="0" w:color="auto"/>
        <w:left w:val="none" w:sz="0" w:space="0" w:color="auto"/>
        <w:bottom w:val="none" w:sz="0" w:space="0" w:color="auto"/>
        <w:right w:val="none" w:sz="0" w:space="0" w:color="auto"/>
      </w:divBdr>
    </w:div>
    <w:div w:id="1201866274">
      <w:bodyDiv w:val="1"/>
      <w:marLeft w:val="0"/>
      <w:marRight w:val="0"/>
      <w:marTop w:val="0"/>
      <w:marBottom w:val="0"/>
      <w:divBdr>
        <w:top w:val="none" w:sz="0" w:space="0" w:color="auto"/>
        <w:left w:val="none" w:sz="0" w:space="0" w:color="auto"/>
        <w:bottom w:val="none" w:sz="0" w:space="0" w:color="auto"/>
        <w:right w:val="none" w:sz="0" w:space="0" w:color="auto"/>
      </w:divBdr>
    </w:div>
    <w:div w:id="1211117553">
      <w:bodyDiv w:val="1"/>
      <w:marLeft w:val="0"/>
      <w:marRight w:val="0"/>
      <w:marTop w:val="0"/>
      <w:marBottom w:val="0"/>
      <w:divBdr>
        <w:top w:val="none" w:sz="0" w:space="0" w:color="auto"/>
        <w:left w:val="none" w:sz="0" w:space="0" w:color="auto"/>
        <w:bottom w:val="none" w:sz="0" w:space="0" w:color="auto"/>
        <w:right w:val="none" w:sz="0" w:space="0" w:color="auto"/>
      </w:divBdr>
    </w:div>
    <w:div w:id="1216090797">
      <w:bodyDiv w:val="1"/>
      <w:marLeft w:val="0"/>
      <w:marRight w:val="0"/>
      <w:marTop w:val="0"/>
      <w:marBottom w:val="0"/>
      <w:divBdr>
        <w:top w:val="none" w:sz="0" w:space="0" w:color="auto"/>
        <w:left w:val="none" w:sz="0" w:space="0" w:color="auto"/>
        <w:bottom w:val="none" w:sz="0" w:space="0" w:color="auto"/>
        <w:right w:val="none" w:sz="0" w:space="0" w:color="auto"/>
      </w:divBdr>
    </w:div>
    <w:div w:id="1218936708">
      <w:bodyDiv w:val="1"/>
      <w:marLeft w:val="0"/>
      <w:marRight w:val="0"/>
      <w:marTop w:val="0"/>
      <w:marBottom w:val="0"/>
      <w:divBdr>
        <w:top w:val="none" w:sz="0" w:space="0" w:color="auto"/>
        <w:left w:val="none" w:sz="0" w:space="0" w:color="auto"/>
        <w:bottom w:val="none" w:sz="0" w:space="0" w:color="auto"/>
        <w:right w:val="none" w:sz="0" w:space="0" w:color="auto"/>
      </w:divBdr>
    </w:div>
    <w:div w:id="1225096174">
      <w:bodyDiv w:val="1"/>
      <w:marLeft w:val="0"/>
      <w:marRight w:val="0"/>
      <w:marTop w:val="0"/>
      <w:marBottom w:val="0"/>
      <w:divBdr>
        <w:top w:val="none" w:sz="0" w:space="0" w:color="auto"/>
        <w:left w:val="none" w:sz="0" w:space="0" w:color="auto"/>
        <w:bottom w:val="none" w:sz="0" w:space="0" w:color="auto"/>
        <w:right w:val="none" w:sz="0" w:space="0" w:color="auto"/>
      </w:divBdr>
    </w:div>
    <w:div w:id="1241330076">
      <w:bodyDiv w:val="1"/>
      <w:marLeft w:val="0"/>
      <w:marRight w:val="0"/>
      <w:marTop w:val="0"/>
      <w:marBottom w:val="0"/>
      <w:divBdr>
        <w:top w:val="none" w:sz="0" w:space="0" w:color="auto"/>
        <w:left w:val="none" w:sz="0" w:space="0" w:color="auto"/>
        <w:bottom w:val="none" w:sz="0" w:space="0" w:color="auto"/>
        <w:right w:val="none" w:sz="0" w:space="0" w:color="auto"/>
      </w:divBdr>
    </w:div>
    <w:div w:id="1257515889">
      <w:bodyDiv w:val="1"/>
      <w:marLeft w:val="0"/>
      <w:marRight w:val="0"/>
      <w:marTop w:val="0"/>
      <w:marBottom w:val="0"/>
      <w:divBdr>
        <w:top w:val="none" w:sz="0" w:space="0" w:color="auto"/>
        <w:left w:val="none" w:sz="0" w:space="0" w:color="auto"/>
        <w:bottom w:val="none" w:sz="0" w:space="0" w:color="auto"/>
        <w:right w:val="none" w:sz="0" w:space="0" w:color="auto"/>
      </w:divBdr>
    </w:div>
    <w:div w:id="1269966546">
      <w:bodyDiv w:val="1"/>
      <w:marLeft w:val="0"/>
      <w:marRight w:val="0"/>
      <w:marTop w:val="0"/>
      <w:marBottom w:val="0"/>
      <w:divBdr>
        <w:top w:val="none" w:sz="0" w:space="0" w:color="auto"/>
        <w:left w:val="none" w:sz="0" w:space="0" w:color="auto"/>
        <w:bottom w:val="none" w:sz="0" w:space="0" w:color="auto"/>
        <w:right w:val="none" w:sz="0" w:space="0" w:color="auto"/>
      </w:divBdr>
    </w:div>
    <w:div w:id="1298989889">
      <w:bodyDiv w:val="1"/>
      <w:marLeft w:val="0"/>
      <w:marRight w:val="0"/>
      <w:marTop w:val="0"/>
      <w:marBottom w:val="0"/>
      <w:divBdr>
        <w:top w:val="none" w:sz="0" w:space="0" w:color="auto"/>
        <w:left w:val="none" w:sz="0" w:space="0" w:color="auto"/>
        <w:bottom w:val="none" w:sz="0" w:space="0" w:color="auto"/>
        <w:right w:val="none" w:sz="0" w:space="0" w:color="auto"/>
      </w:divBdr>
    </w:div>
    <w:div w:id="1318222594">
      <w:bodyDiv w:val="1"/>
      <w:marLeft w:val="0"/>
      <w:marRight w:val="0"/>
      <w:marTop w:val="0"/>
      <w:marBottom w:val="0"/>
      <w:divBdr>
        <w:top w:val="none" w:sz="0" w:space="0" w:color="auto"/>
        <w:left w:val="none" w:sz="0" w:space="0" w:color="auto"/>
        <w:bottom w:val="none" w:sz="0" w:space="0" w:color="auto"/>
        <w:right w:val="none" w:sz="0" w:space="0" w:color="auto"/>
      </w:divBdr>
    </w:div>
    <w:div w:id="1318994030">
      <w:bodyDiv w:val="1"/>
      <w:marLeft w:val="0"/>
      <w:marRight w:val="0"/>
      <w:marTop w:val="0"/>
      <w:marBottom w:val="0"/>
      <w:divBdr>
        <w:top w:val="none" w:sz="0" w:space="0" w:color="auto"/>
        <w:left w:val="none" w:sz="0" w:space="0" w:color="auto"/>
        <w:bottom w:val="none" w:sz="0" w:space="0" w:color="auto"/>
        <w:right w:val="none" w:sz="0" w:space="0" w:color="auto"/>
      </w:divBdr>
    </w:div>
    <w:div w:id="1335836715">
      <w:bodyDiv w:val="1"/>
      <w:marLeft w:val="0"/>
      <w:marRight w:val="0"/>
      <w:marTop w:val="0"/>
      <w:marBottom w:val="0"/>
      <w:divBdr>
        <w:top w:val="none" w:sz="0" w:space="0" w:color="auto"/>
        <w:left w:val="none" w:sz="0" w:space="0" w:color="auto"/>
        <w:bottom w:val="none" w:sz="0" w:space="0" w:color="auto"/>
        <w:right w:val="none" w:sz="0" w:space="0" w:color="auto"/>
      </w:divBdr>
    </w:div>
    <w:div w:id="1350520212">
      <w:bodyDiv w:val="1"/>
      <w:marLeft w:val="0"/>
      <w:marRight w:val="0"/>
      <w:marTop w:val="0"/>
      <w:marBottom w:val="0"/>
      <w:divBdr>
        <w:top w:val="none" w:sz="0" w:space="0" w:color="auto"/>
        <w:left w:val="none" w:sz="0" w:space="0" w:color="auto"/>
        <w:bottom w:val="none" w:sz="0" w:space="0" w:color="auto"/>
        <w:right w:val="none" w:sz="0" w:space="0" w:color="auto"/>
      </w:divBdr>
    </w:div>
    <w:div w:id="1353995992">
      <w:bodyDiv w:val="1"/>
      <w:marLeft w:val="0"/>
      <w:marRight w:val="0"/>
      <w:marTop w:val="0"/>
      <w:marBottom w:val="0"/>
      <w:divBdr>
        <w:top w:val="none" w:sz="0" w:space="0" w:color="auto"/>
        <w:left w:val="none" w:sz="0" w:space="0" w:color="auto"/>
        <w:bottom w:val="none" w:sz="0" w:space="0" w:color="auto"/>
        <w:right w:val="none" w:sz="0" w:space="0" w:color="auto"/>
      </w:divBdr>
    </w:div>
    <w:div w:id="1382943869">
      <w:bodyDiv w:val="1"/>
      <w:marLeft w:val="0"/>
      <w:marRight w:val="0"/>
      <w:marTop w:val="0"/>
      <w:marBottom w:val="0"/>
      <w:divBdr>
        <w:top w:val="none" w:sz="0" w:space="0" w:color="auto"/>
        <w:left w:val="none" w:sz="0" w:space="0" w:color="auto"/>
        <w:bottom w:val="none" w:sz="0" w:space="0" w:color="auto"/>
        <w:right w:val="none" w:sz="0" w:space="0" w:color="auto"/>
      </w:divBdr>
    </w:div>
    <w:div w:id="1415711302">
      <w:bodyDiv w:val="1"/>
      <w:marLeft w:val="0"/>
      <w:marRight w:val="0"/>
      <w:marTop w:val="0"/>
      <w:marBottom w:val="0"/>
      <w:divBdr>
        <w:top w:val="none" w:sz="0" w:space="0" w:color="auto"/>
        <w:left w:val="none" w:sz="0" w:space="0" w:color="auto"/>
        <w:bottom w:val="none" w:sz="0" w:space="0" w:color="auto"/>
        <w:right w:val="none" w:sz="0" w:space="0" w:color="auto"/>
      </w:divBdr>
    </w:div>
    <w:div w:id="1421755305">
      <w:bodyDiv w:val="1"/>
      <w:marLeft w:val="0"/>
      <w:marRight w:val="0"/>
      <w:marTop w:val="0"/>
      <w:marBottom w:val="0"/>
      <w:divBdr>
        <w:top w:val="none" w:sz="0" w:space="0" w:color="auto"/>
        <w:left w:val="none" w:sz="0" w:space="0" w:color="auto"/>
        <w:bottom w:val="none" w:sz="0" w:space="0" w:color="auto"/>
        <w:right w:val="none" w:sz="0" w:space="0" w:color="auto"/>
      </w:divBdr>
    </w:div>
    <w:div w:id="1424064278">
      <w:bodyDiv w:val="1"/>
      <w:marLeft w:val="0"/>
      <w:marRight w:val="0"/>
      <w:marTop w:val="0"/>
      <w:marBottom w:val="0"/>
      <w:divBdr>
        <w:top w:val="none" w:sz="0" w:space="0" w:color="auto"/>
        <w:left w:val="none" w:sz="0" w:space="0" w:color="auto"/>
        <w:bottom w:val="none" w:sz="0" w:space="0" w:color="auto"/>
        <w:right w:val="none" w:sz="0" w:space="0" w:color="auto"/>
      </w:divBdr>
    </w:div>
    <w:div w:id="1434588044">
      <w:bodyDiv w:val="1"/>
      <w:marLeft w:val="0"/>
      <w:marRight w:val="0"/>
      <w:marTop w:val="0"/>
      <w:marBottom w:val="0"/>
      <w:divBdr>
        <w:top w:val="none" w:sz="0" w:space="0" w:color="auto"/>
        <w:left w:val="none" w:sz="0" w:space="0" w:color="auto"/>
        <w:bottom w:val="none" w:sz="0" w:space="0" w:color="auto"/>
        <w:right w:val="none" w:sz="0" w:space="0" w:color="auto"/>
      </w:divBdr>
    </w:div>
    <w:div w:id="1463382835">
      <w:bodyDiv w:val="1"/>
      <w:marLeft w:val="0"/>
      <w:marRight w:val="0"/>
      <w:marTop w:val="0"/>
      <w:marBottom w:val="0"/>
      <w:divBdr>
        <w:top w:val="none" w:sz="0" w:space="0" w:color="auto"/>
        <w:left w:val="none" w:sz="0" w:space="0" w:color="auto"/>
        <w:bottom w:val="none" w:sz="0" w:space="0" w:color="auto"/>
        <w:right w:val="none" w:sz="0" w:space="0" w:color="auto"/>
      </w:divBdr>
    </w:div>
    <w:div w:id="1475635810">
      <w:bodyDiv w:val="1"/>
      <w:marLeft w:val="0"/>
      <w:marRight w:val="0"/>
      <w:marTop w:val="0"/>
      <w:marBottom w:val="0"/>
      <w:divBdr>
        <w:top w:val="none" w:sz="0" w:space="0" w:color="auto"/>
        <w:left w:val="none" w:sz="0" w:space="0" w:color="auto"/>
        <w:bottom w:val="none" w:sz="0" w:space="0" w:color="auto"/>
        <w:right w:val="none" w:sz="0" w:space="0" w:color="auto"/>
      </w:divBdr>
    </w:div>
    <w:div w:id="1476528045">
      <w:bodyDiv w:val="1"/>
      <w:marLeft w:val="0"/>
      <w:marRight w:val="0"/>
      <w:marTop w:val="0"/>
      <w:marBottom w:val="0"/>
      <w:divBdr>
        <w:top w:val="none" w:sz="0" w:space="0" w:color="auto"/>
        <w:left w:val="none" w:sz="0" w:space="0" w:color="auto"/>
        <w:bottom w:val="none" w:sz="0" w:space="0" w:color="auto"/>
        <w:right w:val="none" w:sz="0" w:space="0" w:color="auto"/>
      </w:divBdr>
    </w:div>
    <w:div w:id="1480995625">
      <w:bodyDiv w:val="1"/>
      <w:marLeft w:val="0"/>
      <w:marRight w:val="0"/>
      <w:marTop w:val="0"/>
      <w:marBottom w:val="0"/>
      <w:divBdr>
        <w:top w:val="none" w:sz="0" w:space="0" w:color="auto"/>
        <w:left w:val="none" w:sz="0" w:space="0" w:color="auto"/>
        <w:bottom w:val="none" w:sz="0" w:space="0" w:color="auto"/>
        <w:right w:val="none" w:sz="0" w:space="0" w:color="auto"/>
      </w:divBdr>
    </w:div>
    <w:div w:id="1497384488">
      <w:bodyDiv w:val="1"/>
      <w:marLeft w:val="0"/>
      <w:marRight w:val="0"/>
      <w:marTop w:val="0"/>
      <w:marBottom w:val="0"/>
      <w:divBdr>
        <w:top w:val="none" w:sz="0" w:space="0" w:color="auto"/>
        <w:left w:val="none" w:sz="0" w:space="0" w:color="auto"/>
        <w:bottom w:val="none" w:sz="0" w:space="0" w:color="auto"/>
        <w:right w:val="none" w:sz="0" w:space="0" w:color="auto"/>
      </w:divBdr>
    </w:div>
    <w:div w:id="1527209198">
      <w:bodyDiv w:val="1"/>
      <w:marLeft w:val="0"/>
      <w:marRight w:val="0"/>
      <w:marTop w:val="0"/>
      <w:marBottom w:val="0"/>
      <w:divBdr>
        <w:top w:val="none" w:sz="0" w:space="0" w:color="auto"/>
        <w:left w:val="none" w:sz="0" w:space="0" w:color="auto"/>
        <w:bottom w:val="none" w:sz="0" w:space="0" w:color="auto"/>
        <w:right w:val="none" w:sz="0" w:space="0" w:color="auto"/>
      </w:divBdr>
    </w:div>
    <w:div w:id="1527794199">
      <w:bodyDiv w:val="1"/>
      <w:marLeft w:val="0"/>
      <w:marRight w:val="0"/>
      <w:marTop w:val="0"/>
      <w:marBottom w:val="0"/>
      <w:divBdr>
        <w:top w:val="none" w:sz="0" w:space="0" w:color="auto"/>
        <w:left w:val="none" w:sz="0" w:space="0" w:color="auto"/>
        <w:bottom w:val="none" w:sz="0" w:space="0" w:color="auto"/>
        <w:right w:val="none" w:sz="0" w:space="0" w:color="auto"/>
      </w:divBdr>
    </w:div>
    <w:div w:id="1529102024">
      <w:bodyDiv w:val="1"/>
      <w:marLeft w:val="0"/>
      <w:marRight w:val="0"/>
      <w:marTop w:val="0"/>
      <w:marBottom w:val="0"/>
      <w:divBdr>
        <w:top w:val="none" w:sz="0" w:space="0" w:color="auto"/>
        <w:left w:val="none" w:sz="0" w:space="0" w:color="auto"/>
        <w:bottom w:val="none" w:sz="0" w:space="0" w:color="auto"/>
        <w:right w:val="none" w:sz="0" w:space="0" w:color="auto"/>
      </w:divBdr>
    </w:div>
    <w:div w:id="1540849308">
      <w:bodyDiv w:val="1"/>
      <w:marLeft w:val="0"/>
      <w:marRight w:val="0"/>
      <w:marTop w:val="0"/>
      <w:marBottom w:val="0"/>
      <w:divBdr>
        <w:top w:val="none" w:sz="0" w:space="0" w:color="auto"/>
        <w:left w:val="none" w:sz="0" w:space="0" w:color="auto"/>
        <w:bottom w:val="none" w:sz="0" w:space="0" w:color="auto"/>
        <w:right w:val="none" w:sz="0" w:space="0" w:color="auto"/>
      </w:divBdr>
    </w:div>
    <w:div w:id="1545219642">
      <w:bodyDiv w:val="1"/>
      <w:marLeft w:val="0"/>
      <w:marRight w:val="0"/>
      <w:marTop w:val="0"/>
      <w:marBottom w:val="0"/>
      <w:divBdr>
        <w:top w:val="none" w:sz="0" w:space="0" w:color="auto"/>
        <w:left w:val="none" w:sz="0" w:space="0" w:color="auto"/>
        <w:bottom w:val="none" w:sz="0" w:space="0" w:color="auto"/>
        <w:right w:val="none" w:sz="0" w:space="0" w:color="auto"/>
      </w:divBdr>
    </w:div>
    <w:div w:id="1546604422">
      <w:bodyDiv w:val="1"/>
      <w:marLeft w:val="0"/>
      <w:marRight w:val="0"/>
      <w:marTop w:val="0"/>
      <w:marBottom w:val="0"/>
      <w:divBdr>
        <w:top w:val="none" w:sz="0" w:space="0" w:color="auto"/>
        <w:left w:val="none" w:sz="0" w:space="0" w:color="auto"/>
        <w:bottom w:val="none" w:sz="0" w:space="0" w:color="auto"/>
        <w:right w:val="none" w:sz="0" w:space="0" w:color="auto"/>
      </w:divBdr>
    </w:div>
    <w:div w:id="1550845050">
      <w:bodyDiv w:val="1"/>
      <w:marLeft w:val="0"/>
      <w:marRight w:val="0"/>
      <w:marTop w:val="0"/>
      <w:marBottom w:val="0"/>
      <w:divBdr>
        <w:top w:val="none" w:sz="0" w:space="0" w:color="auto"/>
        <w:left w:val="none" w:sz="0" w:space="0" w:color="auto"/>
        <w:bottom w:val="none" w:sz="0" w:space="0" w:color="auto"/>
        <w:right w:val="none" w:sz="0" w:space="0" w:color="auto"/>
      </w:divBdr>
    </w:div>
    <w:div w:id="1554271793">
      <w:bodyDiv w:val="1"/>
      <w:marLeft w:val="0"/>
      <w:marRight w:val="0"/>
      <w:marTop w:val="0"/>
      <w:marBottom w:val="0"/>
      <w:divBdr>
        <w:top w:val="none" w:sz="0" w:space="0" w:color="auto"/>
        <w:left w:val="none" w:sz="0" w:space="0" w:color="auto"/>
        <w:bottom w:val="none" w:sz="0" w:space="0" w:color="auto"/>
        <w:right w:val="none" w:sz="0" w:space="0" w:color="auto"/>
      </w:divBdr>
    </w:div>
    <w:div w:id="1574121008">
      <w:bodyDiv w:val="1"/>
      <w:marLeft w:val="0"/>
      <w:marRight w:val="0"/>
      <w:marTop w:val="0"/>
      <w:marBottom w:val="0"/>
      <w:divBdr>
        <w:top w:val="none" w:sz="0" w:space="0" w:color="auto"/>
        <w:left w:val="none" w:sz="0" w:space="0" w:color="auto"/>
        <w:bottom w:val="none" w:sz="0" w:space="0" w:color="auto"/>
        <w:right w:val="none" w:sz="0" w:space="0" w:color="auto"/>
      </w:divBdr>
    </w:div>
    <w:div w:id="1593467834">
      <w:bodyDiv w:val="1"/>
      <w:marLeft w:val="0"/>
      <w:marRight w:val="0"/>
      <w:marTop w:val="0"/>
      <w:marBottom w:val="0"/>
      <w:divBdr>
        <w:top w:val="none" w:sz="0" w:space="0" w:color="auto"/>
        <w:left w:val="none" w:sz="0" w:space="0" w:color="auto"/>
        <w:bottom w:val="none" w:sz="0" w:space="0" w:color="auto"/>
        <w:right w:val="none" w:sz="0" w:space="0" w:color="auto"/>
      </w:divBdr>
    </w:div>
    <w:div w:id="1612736881">
      <w:bodyDiv w:val="1"/>
      <w:marLeft w:val="0"/>
      <w:marRight w:val="0"/>
      <w:marTop w:val="0"/>
      <w:marBottom w:val="0"/>
      <w:divBdr>
        <w:top w:val="none" w:sz="0" w:space="0" w:color="auto"/>
        <w:left w:val="none" w:sz="0" w:space="0" w:color="auto"/>
        <w:bottom w:val="none" w:sz="0" w:space="0" w:color="auto"/>
        <w:right w:val="none" w:sz="0" w:space="0" w:color="auto"/>
      </w:divBdr>
    </w:div>
    <w:div w:id="1617129644">
      <w:bodyDiv w:val="1"/>
      <w:marLeft w:val="0"/>
      <w:marRight w:val="0"/>
      <w:marTop w:val="0"/>
      <w:marBottom w:val="0"/>
      <w:divBdr>
        <w:top w:val="none" w:sz="0" w:space="0" w:color="auto"/>
        <w:left w:val="none" w:sz="0" w:space="0" w:color="auto"/>
        <w:bottom w:val="none" w:sz="0" w:space="0" w:color="auto"/>
        <w:right w:val="none" w:sz="0" w:space="0" w:color="auto"/>
      </w:divBdr>
    </w:div>
    <w:div w:id="1618560761">
      <w:bodyDiv w:val="1"/>
      <w:marLeft w:val="0"/>
      <w:marRight w:val="0"/>
      <w:marTop w:val="0"/>
      <w:marBottom w:val="0"/>
      <w:divBdr>
        <w:top w:val="none" w:sz="0" w:space="0" w:color="auto"/>
        <w:left w:val="none" w:sz="0" w:space="0" w:color="auto"/>
        <w:bottom w:val="none" w:sz="0" w:space="0" w:color="auto"/>
        <w:right w:val="none" w:sz="0" w:space="0" w:color="auto"/>
      </w:divBdr>
    </w:div>
    <w:div w:id="1660309085">
      <w:bodyDiv w:val="1"/>
      <w:marLeft w:val="0"/>
      <w:marRight w:val="0"/>
      <w:marTop w:val="0"/>
      <w:marBottom w:val="0"/>
      <w:divBdr>
        <w:top w:val="none" w:sz="0" w:space="0" w:color="auto"/>
        <w:left w:val="none" w:sz="0" w:space="0" w:color="auto"/>
        <w:bottom w:val="none" w:sz="0" w:space="0" w:color="auto"/>
        <w:right w:val="none" w:sz="0" w:space="0" w:color="auto"/>
      </w:divBdr>
    </w:div>
    <w:div w:id="1665664997">
      <w:bodyDiv w:val="1"/>
      <w:marLeft w:val="0"/>
      <w:marRight w:val="0"/>
      <w:marTop w:val="0"/>
      <w:marBottom w:val="0"/>
      <w:divBdr>
        <w:top w:val="none" w:sz="0" w:space="0" w:color="auto"/>
        <w:left w:val="none" w:sz="0" w:space="0" w:color="auto"/>
        <w:bottom w:val="none" w:sz="0" w:space="0" w:color="auto"/>
        <w:right w:val="none" w:sz="0" w:space="0" w:color="auto"/>
      </w:divBdr>
    </w:div>
    <w:div w:id="1673222542">
      <w:bodyDiv w:val="1"/>
      <w:marLeft w:val="0"/>
      <w:marRight w:val="0"/>
      <w:marTop w:val="0"/>
      <w:marBottom w:val="0"/>
      <w:divBdr>
        <w:top w:val="none" w:sz="0" w:space="0" w:color="auto"/>
        <w:left w:val="none" w:sz="0" w:space="0" w:color="auto"/>
        <w:bottom w:val="none" w:sz="0" w:space="0" w:color="auto"/>
        <w:right w:val="none" w:sz="0" w:space="0" w:color="auto"/>
      </w:divBdr>
    </w:div>
    <w:div w:id="1673873737">
      <w:bodyDiv w:val="1"/>
      <w:marLeft w:val="0"/>
      <w:marRight w:val="0"/>
      <w:marTop w:val="0"/>
      <w:marBottom w:val="0"/>
      <w:divBdr>
        <w:top w:val="none" w:sz="0" w:space="0" w:color="auto"/>
        <w:left w:val="none" w:sz="0" w:space="0" w:color="auto"/>
        <w:bottom w:val="none" w:sz="0" w:space="0" w:color="auto"/>
        <w:right w:val="none" w:sz="0" w:space="0" w:color="auto"/>
      </w:divBdr>
    </w:div>
    <w:div w:id="1679775674">
      <w:bodyDiv w:val="1"/>
      <w:marLeft w:val="0"/>
      <w:marRight w:val="0"/>
      <w:marTop w:val="0"/>
      <w:marBottom w:val="0"/>
      <w:divBdr>
        <w:top w:val="none" w:sz="0" w:space="0" w:color="auto"/>
        <w:left w:val="none" w:sz="0" w:space="0" w:color="auto"/>
        <w:bottom w:val="none" w:sz="0" w:space="0" w:color="auto"/>
        <w:right w:val="none" w:sz="0" w:space="0" w:color="auto"/>
      </w:divBdr>
    </w:div>
    <w:div w:id="1684866006">
      <w:bodyDiv w:val="1"/>
      <w:marLeft w:val="0"/>
      <w:marRight w:val="0"/>
      <w:marTop w:val="0"/>
      <w:marBottom w:val="0"/>
      <w:divBdr>
        <w:top w:val="none" w:sz="0" w:space="0" w:color="auto"/>
        <w:left w:val="none" w:sz="0" w:space="0" w:color="auto"/>
        <w:bottom w:val="none" w:sz="0" w:space="0" w:color="auto"/>
        <w:right w:val="none" w:sz="0" w:space="0" w:color="auto"/>
      </w:divBdr>
    </w:div>
    <w:div w:id="1706559386">
      <w:bodyDiv w:val="1"/>
      <w:marLeft w:val="0"/>
      <w:marRight w:val="0"/>
      <w:marTop w:val="0"/>
      <w:marBottom w:val="0"/>
      <w:divBdr>
        <w:top w:val="none" w:sz="0" w:space="0" w:color="auto"/>
        <w:left w:val="none" w:sz="0" w:space="0" w:color="auto"/>
        <w:bottom w:val="none" w:sz="0" w:space="0" w:color="auto"/>
        <w:right w:val="none" w:sz="0" w:space="0" w:color="auto"/>
      </w:divBdr>
    </w:div>
    <w:div w:id="1710643509">
      <w:bodyDiv w:val="1"/>
      <w:marLeft w:val="0"/>
      <w:marRight w:val="0"/>
      <w:marTop w:val="0"/>
      <w:marBottom w:val="0"/>
      <w:divBdr>
        <w:top w:val="none" w:sz="0" w:space="0" w:color="auto"/>
        <w:left w:val="none" w:sz="0" w:space="0" w:color="auto"/>
        <w:bottom w:val="none" w:sz="0" w:space="0" w:color="auto"/>
        <w:right w:val="none" w:sz="0" w:space="0" w:color="auto"/>
      </w:divBdr>
    </w:div>
    <w:div w:id="1715033516">
      <w:bodyDiv w:val="1"/>
      <w:marLeft w:val="0"/>
      <w:marRight w:val="0"/>
      <w:marTop w:val="0"/>
      <w:marBottom w:val="0"/>
      <w:divBdr>
        <w:top w:val="none" w:sz="0" w:space="0" w:color="auto"/>
        <w:left w:val="none" w:sz="0" w:space="0" w:color="auto"/>
        <w:bottom w:val="none" w:sz="0" w:space="0" w:color="auto"/>
        <w:right w:val="none" w:sz="0" w:space="0" w:color="auto"/>
      </w:divBdr>
    </w:div>
    <w:div w:id="1723677863">
      <w:bodyDiv w:val="1"/>
      <w:marLeft w:val="0"/>
      <w:marRight w:val="0"/>
      <w:marTop w:val="0"/>
      <w:marBottom w:val="0"/>
      <w:divBdr>
        <w:top w:val="none" w:sz="0" w:space="0" w:color="auto"/>
        <w:left w:val="none" w:sz="0" w:space="0" w:color="auto"/>
        <w:bottom w:val="none" w:sz="0" w:space="0" w:color="auto"/>
        <w:right w:val="none" w:sz="0" w:space="0" w:color="auto"/>
      </w:divBdr>
    </w:div>
    <w:div w:id="1724211932">
      <w:bodyDiv w:val="1"/>
      <w:marLeft w:val="0"/>
      <w:marRight w:val="0"/>
      <w:marTop w:val="0"/>
      <w:marBottom w:val="0"/>
      <w:divBdr>
        <w:top w:val="none" w:sz="0" w:space="0" w:color="auto"/>
        <w:left w:val="none" w:sz="0" w:space="0" w:color="auto"/>
        <w:bottom w:val="none" w:sz="0" w:space="0" w:color="auto"/>
        <w:right w:val="none" w:sz="0" w:space="0" w:color="auto"/>
      </w:divBdr>
    </w:div>
    <w:div w:id="1731658515">
      <w:bodyDiv w:val="1"/>
      <w:marLeft w:val="0"/>
      <w:marRight w:val="0"/>
      <w:marTop w:val="0"/>
      <w:marBottom w:val="0"/>
      <w:divBdr>
        <w:top w:val="none" w:sz="0" w:space="0" w:color="auto"/>
        <w:left w:val="none" w:sz="0" w:space="0" w:color="auto"/>
        <w:bottom w:val="none" w:sz="0" w:space="0" w:color="auto"/>
        <w:right w:val="none" w:sz="0" w:space="0" w:color="auto"/>
      </w:divBdr>
    </w:div>
    <w:div w:id="1754543561">
      <w:bodyDiv w:val="1"/>
      <w:marLeft w:val="0"/>
      <w:marRight w:val="0"/>
      <w:marTop w:val="0"/>
      <w:marBottom w:val="0"/>
      <w:divBdr>
        <w:top w:val="none" w:sz="0" w:space="0" w:color="auto"/>
        <w:left w:val="none" w:sz="0" w:space="0" w:color="auto"/>
        <w:bottom w:val="none" w:sz="0" w:space="0" w:color="auto"/>
        <w:right w:val="none" w:sz="0" w:space="0" w:color="auto"/>
      </w:divBdr>
    </w:div>
    <w:div w:id="1758600264">
      <w:bodyDiv w:val="1"/>
      <w:marLeft w:val="0"/>
      <w:marRight w:val="0"/>
      <w:marTop w:val="0"/>
      <w:marBottom w:val="0"/>
      <w:divBdr>
        <w:top w:val="none" w:sz="0" w:space="0" w:color="auto"/>
        <w:left w:val="none" w:sz="0" w:space="0" w:color="auto"/>
        <w:bottom w:val="none" w:sz="0" w:space="0" w:color="auto"/>
        <w:right w:val="none" w:sz="0" w:space="0" w:color="auto"/>
      </w:divBdr>
    </w:div>
    <w:div w:id="1782382825">
      <w:bodyDiv w:val="1"/>
      <w:marLeft w:val="0"/>
      <w:marRight w:val="0"/>
      <w:marTop w:val="0"/>
      <w:marBottom w:val="0"/>
      <w:divBdr>
        <w:top w:val="none" w:sz="0" w:space="0" w:color="auto"/>
        <w:left w:val="none" w:sz="0" w:space="0" w:color="auto"/>
        <w:bottom w:val="none" w:sz="0" w:space="0" w:color="auto"/>
        <w:right w:val="none" w:sz="0" w:space="0" w:color="auto"/>
      </w:divBdr>
    </w:div>
    <w:div w:id="1791122291">
      <w:bodyDiv w:val="1"/>
      <w:marLeft w:val="0"/>
      <w:marRight w:val="0"/>
      <w:marTop w:val="0"/>
      <w:marBottom w:val="0"/>
      <w:divBdr>
        <w:top w:val="none" w:sz="0" w:space="0" w:color="auto"/>
        <w:left w:val="none" w:sz="0" w:space="0" w:color="auto"/>
        <w:bottom w:val="none" w:sz="0" w:space="0" w:color="auto"/>
        <w:right w:val="none" w:sz="0" w:space="0" w:color="auto"/>
      </w:divBdr>
    </w:div>
    <w:div w:id="1798601761">
      <w:bodyDiv w:val="1"/>
      <w:marLeft w:val="0"/>
      <w:marRight w:val="0"/>
      <w:marTop w:val="0"/>
      <w:marBottom w:val="0"/>
      <w:divBdr>
        <w:top w:val="none" w:sz="0" w:space="0" w:color="auto"/>
        <w:left w:val="none" w:sz="0" w:space="0" w:color="auto"/>
        <w:bottom w:val="none" w:sz="0" w:space="0" w:color="auto"/>
        <w:right w:val="none" w:sz="0" w:space="0" w:color="auto"/>
      </w:divBdr>
    </w:div>
    <w:div w:id="1799765297">
      <w:bodyDiv w:val="1"/>
      <w:marLeft w:val="0"/>
      <w:marRight w:val="0"/>
      <w:marTop w:val="0"/>
      <w:marBottom w:val="0"/>
      <w:divBdr>
        <w:top w:val="none" w:sz="0" w:space="0" w:color="auto"/>
        <w:left w:val="none" w:sz="0" w:space="0" w:color="auto"/>
        <w:bottom w:val="none" w:sz="0" w:space="0" w:color="auto"/>
        <w:right w:val="none" w:sz="0" w:space="0" w:color="auto"/>
      </w:divBdr>
    </w:div>
    <w:div w:id="1810200729">
      <w:bodyDiv w:val="1"/>
      <w:marLeft w:val="0"/>
      <w:marRight w:val="0"/>
      <w:marTop w:val="0"/>
      <w:marBottom w:val="0"/>
      <w:divBdr>
        <w:top w:val="none" w:sz="0" w:space="0" w:color="auto"/>
        <w:left w:val="none" w:sz="0" w:space="0" w:color="auto"/>
        <w:bottom w:val="none" w:sz="0" w:space="0" w:color="auto"/>
        <w:right w:val="none" w:sz="0" w:space="0" w:color="auto"/>
      </w:divBdr>
    </w:div>
    <w:div w:id="1811365981">
      <w:bodyDiv w:val="1"/>
      <w:marLeft w:val="0"/>
      <w:marRight w:val="0"/>
      <w:marTop w:val="0"/>
      <w:marBottom w:val="0"/>
      <w:divBdr>
        <w:top w:val="none" w:sz="0" w:space="0" w:color="auto"/>
        <w:left w:val="none" w:sz="0" w:space="0" w:color="auto"/>
        <w:bottom w:val="none" w:sz="0" w:space="0" w:color="auto"/>
        <w:right w:val="none" w:sz="0" w:space="0" w:color="auto"/>
      </w:divBdr>
    </w:div>
    <w:div w:id="1833527480">
      <w:bodyDiv w:val="1"/>
      <w:marLeft w:val="0"/>
      <w:marRight w:val="0"/>
      <w:marTop w:val="0"/>
      <w:marBottom w:val="0"/>
      <w:divBdr>
        <w:top w:val="none" w:sz="0" w:space="0" w:color="auto"/>
        <w:left w:val="none" w:sz="0" w:space="0" w:color="auto"/>
        <w:bottom w:val="none" w:sz="0" w:space="0" w:color="auto"/>
        <w:right w:val="none" w:sz="0" w:space="0" w:color="auto"/>
      </w:divBdr>
    </w:div>
    <w:div w:id="1839539503">
      <w:bodyDiv w:val="1"/>
      <w:marLeft w:val="0"/>
      <w:marRight w:val="0"/>
      <w:marTop w:val="0"/>
      <w:marBottom w:val="0"/>
      <w:divBdr>
        <w:top w:val="none" w:sz="0" w:space="0" w:color="auto"/>
        <w:left w:val="none" w:sz="0" w:space="0" w:color="auto"/>
        <w:bottom w:val="none" w:sz="0" w:space="0" w:color="auto"/>
        <w:right w:val="none" w:sz="0" w:space="0" w:color="auto"/>
      </w:divBdr>
    </w:div>
    <w:div w:id="1872834696">
      <w:bodyDiv w:val="1"/>
      <w:marLeft w:val="0"/>
      <w:marRight w:val="0"/>
      <w:marTop w:val="0"/>
      <w:marBottom w:val="0"/>
      <w:divBdr>
        <w:top w:val="none" w:sz="0" w:space="0" w:color="auto"/>
        <w:left w:val="none" w:sz="0" w:space="0" w:color="auto"/>
        <w:bottom w:val="none" w:sz="0" w:space="0" w:color="auto"/>
        <w:right w:val="none" w:sz="0" w:space="0" w:color="auto"/>
      </w:divBdr>
    </w:div>
    <w:div w:id="1884561843">
      <w:bodyDiv w:val="1"/>
      <w:marLeft w:val="0"/>
      <w:marRight w:val="0"/>
      <w:marTop w:val="0"/>
      <w:marBottom w:val="0"/>
      <w:divBdr>
        <w:top w:val="none" w:sz="0" w:space="0" w:color="auto"/>
        <w:left w:val="none" w:sz="0" w:space="0" w:color="auto"/>
        <w:bottom w:val="none" w:sz="0" w:space="0" w:color="auto"/>
        <w:right w:val="none" w:sz="0" w:space="0" w:color="auto"/>
      </w:divBdr>
    </w:div>
    <w:div w:id="1910649795">
      <w:bodyDiv w:val="1"/>
      <w:marLeft w:val="0"/>
      <w:marRight w:val="0"/>
      <w:marTop w:val="0"/>
      <w:marBottom w:val="0"/>
      <w:divBdr>
        <w:top w:val="none" w:sz="0" w:space="0" w:color="auto"/>
        <w:left w:val="none" w:sz="0" w:space="0" w:color="auto"/>
        <w:bottom w:val="none" w:sz="0" w:space="0" w:color="auto"/>
        <w:right w:val="none" w:sz="0" w:space="0" w:color="auto"/>
      </w:divBdr>
    </w:div>
    <w:div w:id="1943801287">
      <w:bodyDiv w:val="1"/>
      <w:marLeft w:val="0"/>
      <w:marRight w:val="0"/>
      <w:marTop w:val="0"/>
      <w:marBottom w:val="0"/>
      <w:divBdr>
        <w:top w:val="none" w:sz="0" w:space="0" w:color="auto"/>
        <w:left w:val="none" w:sz="0" w:space="0" w:color="auto"/>
        <w:bottom w:val="none" w:sz="0" w:space="0" w:color="auto"/>
        <w:right w:val="none" w:sz="0" w:space="0" w:color="auto"/>
      </w:divBdr>
    </w:div>
    <w:div w:id="1964532808">
      <w:bodyDiv w:val="1"/>
      <w:marLeft w:val="0"/>
      <w:marRight w:val="0"/>
      <w:marTop w:val="0"/>
      <w:marBottom w:val="0"/>
      <w:divBdr>
        <w:top w:val="none" w:sz="0" w:space="0" w:color="auto"/>
        <w:left w:val="none" w:sz="0" w:space="0" w:color="auto"/>
        <w:bottom w:val="none" w:sz="0" w:space="0" w:color="auto"/>
        <w:right w:val="none" w:sz="0" w:space="0" w:color="auto"/>
      </w:divBdr>
    </w:div>
    <w:div w:id="1967807326">
      <w:bodyDiv w:val="1"/>
      <w:marLeft w:val="0"/>
      <w:marRight w:val="0"/>
      <w:marTop w:val="0"/>
      <w:marBottom w:val="0"/>
      <w:divBdr>
        <w:top w:val="none" w:sz="0" w:space="0" w:color="auto"/>
        <w:left w:val="none" w:sz="0" w:space="0" w:color="auto"/>
        <w:bottom w:val="none" w:sz="0" w:space="0" w:color="auto"/>
        <w:right w:val="none" w:sz="0" w:space="0" w:color="auto"/>
      </w:divBdr>
    </w:div>
    <w:div w:id="1972133015">
      <w:bodyDiv w:val="1"/>
      <w:marLeft w:val="0"/>
      <w:marRight w:val="0"/>
      <w:marTop w:val="0"/>
      <w:marBottom w:val="0"/>
      <w:divBdr>
        <w:top w:val="none" w:sz="0" w:space="0" w:color="auto"/>
        <w:left w:val="none" w:sz="0" w:space="0" w:color="auto"/>
        <w:bottom w:val="none" w:sz="0" w:space="0" w:color="auto"/>
        <w:right w:val="none" w:sz="0" w:space="0" w:color="auto"/>
      </w:divBdr>
    </w:div>
    <w:div w:id="2022660566">
      <w:bodyDiv w:val="1"/>
      <w:marLeft w:val="0"/>
      <w:marRight w:val="0"/>
      <w:marTop w:val="0"/>
      <w:marBottom w:val="0"/>
      <w:divBdr>
        <w:top w:val="none" w:sz="0" w:space="0" w:color="auto"/>
        <w:left w:val="none" w:sz="0" w:space="0" w:color="auto"/>
        <w:bottom w:val="none" w:sz="0" w:space="0" w:color="auto"/>
        <w:right w:val="none" w:sz="0" w:space="0" w:color="auto"/>
      </w:divBdr>
    </w:div>
    <w:div w:id="2022970748">
      <w:bodyDiv w:val="1"/>
      <w:marLeft w:val="0"/>
      <w:marRight w:val="0"/>
      <w:marTop w:val="0"/>
      <w:marBottom w:val="0"/>
      <w:divBdr>
        <w:top w:val="none" w:sz="0" w:space="0" w:color="auto"/>
        <w:left w:val="none" w:sz="0" w:space="0" w:color="auto"/>
        <w:bottom w:val="none" w:sz="0" w:space="0" w:color="auto"/>
        <w:right w:val="none" w:sz="0" w:space="0" w:color="auto"/>
      </w:divBdr>
    </w:div>
    <w:div w:id="2027365704">
      <w:bodyDiv w:val="1"/>
      <w:marLeft w:val="0"/>
      <w:marRight w:val="0"/>
      <w:marTop w:val="0"/>
      <w:marBottom w:val="0"/>
      <w:divBdr>
        <w:top w:val="none" w:sz="0" w:space="0" w:color="auto"/>
        <w:left w:val="none" w:sz="0" w:space="0" w:color="auto"/>
        <w:bottom w:val="none" w:sz="0" w:space="0" w:color="auto"/>
        <w:right w:val="none" w:sz="0" w:space="0" w:color="auto"/>
      </w:divBdr>
    </w:div>
    <w:div w:id="2077123702">
      <w:bodyDiv w:val="1"/>
      <w:marLeft w:val="0"/>
      <w:marRight w:val="0"/>
      <w:marTop w:val="0"/>
      <w:marBottom w:val="0"/>
      <w:divBdr>
        <w:top w:val="none" w:sz="0" w:space="0" w:color="auto"/>
        <w:left w:val="none" w:sz="0" w:space="0" w:color="auto"/>
        <w:bottom w:val="none" w:sz="0" w:space="0" w:color="auto"/>
        <w:right w:val="none" w:sz="0" w:space="0" w:color="auto"/>
      </w:divBdr>
    </w:div>
    <w:div w:id="2106656571">
      <w:bodyDiv w:val="1"/>
      <w:marLeft w:val="0"/>
      <w:marRight w:val="0"/>
      <w:marTop w:val="0"/>
      <w:marBottom w:val="0"/>
      <w:divBdr>
        <w:top w:val="none" w:sz="0" w:space="0" w:color="auto"/>
        <w:left w:val="none" w:sz="0" w:space="0" w:color="auto"/>
        <w:bottom w:val="none" w:sz="0" w:space="0" w:color="auto"/>
        <w:right w:val="none" w:sz="0" w:space="0" w:color="auto"/>
      </w:divBdr>
    </w:div>
    <w:div w:id="2115707654">
      <w:bodyDiv w:val="1"/>
      <w:marLeft w:val="0"/>
      <w:marRight w:val="0"/>
      <w:marTop w:val="0"/>
      <w:marBottom w:val="0"/>
      <w:divBdr>
        <w:top w:val="none" w:sz="0" w:space="0" w:color="auto"/>
        <w:left w:val="none" w:sz="0" w:space="0" w:color="auto"/>
        <w:bottom w:val="none" w:sz="0" w:space="0" w:color="auto"/>
        <w:right w:val="none" w:sz="0" w:space="0" w:color="auto"/>
      </w:divBdr>
    </w:div>
    <w:div w:id="213490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doi.org/10.1016/j.poetic.2012.08.001" TargetMode="External"/><Relationship Id="rId2" Type="http://schemas.openxmlformats.org/officeDocument/2006/relationships/numbering" Target="numbering.xml"/><Relationship Id="rId16" Type="http://schemas.openxmlformats.org/officeDocument/2006/relationships/hyperlink" Target="https://doi.org/10.1016/j.poetic.2004.02.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endnotes.xml.rels><?xml version="1.0" encoding="UTF-8" standalone="yes"?>
<Relationships xmlns="http://schemas.openxmlformats.org/package/2006/relationships"><Relationship Id="rId2" Type="http://schemas.openxmlformats.org/officeDocument/2006/relationships/hyperlink" Target="https://slks.dk/fileadmin/user_upload/dokumenter/KS/Boern/Mapping_of_Nordic_Research_on_Culture_and_Creativity.pdf" TargetMode="External"/><Relationship Id="rId1" Type="http://schemas.openxmlformats.org/officeDocument/2006/relationships/hyperlink" Target="https://culturallearningalliance.org.uk/wp-content/uploads/2015/03/Patterns-in-GCSE-entries-2010-to-2017-England-only.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Hoja_de_c_lculo_de_Microsoft_Excel1.xlsx"/></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Hoja_de_c_lculo_de_Microsoft_Excel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Hoja_de_c_lculo_de_Microsoft_Excel4.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Hoja_de_c_lculo_de_Microsoft_Excel5.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Hoja_de_c_lculo_de_Microsoft_Excel6.xlsx"/></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7.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Galerias y museos</c:v>
          </c:tx>
          <c:spPr>
            <a:solidFill>
              <a:schemeClr val="accent1"/>
            </a:solidFill>
            <a:ln>
              <a:noFill/>
            </a:ln>
            <a:effectLst/>
          </c:spPr>
          <c:invertIfNegative val="0"/>
          <c:cat>
            <c:strRef>
              <c:f>Hoja2!$X$181:$X$188</c:f>
              <c:strCache>
                <c:ptCount val="8"/>
                <c:pt idx="0">
                  <c:v>Media UE</c:v>
                </c:pt>
                <c:pt idx="1">
                  <c:v>GRE</c:v>
                </c:pt>
                <c:pt idx="2">
                  <c:v>ESP</c:v>
                </c:pt>
                <c:pt idx="3">
                  <c:v>ITA</c:v>
                </c:pt>
                <c:pt idx="4">
                  <c:v>POR</c:v>
                </c:pt>
                <c:pt idx="5">
                  <c:v>Nordic (DK)</c:v>
                </c:pt>
                <c:pt idx="6">
                  <c:v>Liberal (UK)</c:v>
                </c:pt>
                <c:pt idx="7">
                  <c:v>CENTER (DE)</c:v>
                </c:pt>
              </c:strCache>
            </c:strRef>
          </c:cat>
          <c:val>
            <c:numRef>
              <c:f>Hoja2!$Y$181:$Y$188</c:f>
              <c:numCache>
                <c:formatCode>General</c:formatCode>
                <c:ptCount val="8"/>
                <c:pt idx="0">
                  <c:v>37</c:v>
                </c:pt>
                <c:pt idx="1">
                  <c:v>16</c:v>
                </c:pt>
                <c:pt idx="2">
                  <c:v>29</c:v>
                </c:pt>
                <c:pt idx="3">
                  <c:v>30</c:v>
                </c:pt>
                <c:pt idx="4">
                  <c:v>17</c:v>
                </c:pt>
                <c:pt idx="5">
                  <c:v>62</c:v>
                </c:pt>
                <c:pt idx="6">
                  <c:v>52</c:v>
                </c:pt>
                <c:pt idx="7">
                  <c:v>44</c:v>
                </c:pt>
              </c:numCache>
            </c:numRef>
          </c:val>
          <c:extLst xmlns:c16r2="http://schemas.microsoft.com/office/drawing/2015/06/chart">
            <c:ext xmlns:c16="http://schemas.microsoft.com/office/drawing/2014/chart" uri="{C3380CC4-5D6E-409C-BE32-E72D297353CC}">
              <c16:uniqueId val="{00000000-3E0F-4836-A361-F3E59E6376BA}"/>
            </c:ext>
          </c:extLst>
        </c:ser>
        <c:ser>
          <c:idx val="1"/>
          <c:order val="1"/>
          <c:tx>
            <c:v>Lectura libros</c:v>
          </c:tx>
          <c:spPr>
            <a:solidFill>
              <a:schemeClr val="accent2"/>
            </a:solidFill>
            <a:ln>
              <a:noFill/>
            </a:ln>
            <a:effectLst/>
          </c:spPr>
          <c:invertIfNegative val="0"/>
          <c:cat>
            <c:strRef>
              <c:f>Hoja2!$X$181:$X$188</c:f>
              <c:strCache>
                <c:ptCount val="8"/>
                <c:pt idx="0">
                  <c:v>Media UE</c:v>
                </c:pt>
                <c:pt idx="1">
                  <c:v>GRE</c:v>
                </c:pt>
                <c:pt idx="2">
                  <c:v>ESP</c:v>
                </c:pt>
                <c:pt idx="3">
                  <c:v>ITA</c:v>
                </c:pt>
                <c:pt idx="4">
                  <c:v>POR</c:v>
                </c:pt>
                <c:pt idx="5">
                  <c:v>Nordic (DK)</c:v>
                </c:pt>
                <c:pt idx="6">
                  <c:v>Liberal (UK)</c:v>
                </c:pt>
                <c:pt idx="7">
                  <c:v>CENTER (DE)</c:v>
                </c:pt>
              </c:strCache>
            </c:strRef>
          </c:cat>
          <c:val>
            <c:numRef>
              <c:f>Hoja2!$Z$181:$Z$188</c:f>
              <c:numCache>
                <c:formatCode>General</c:formatCode>
                <c:ptCount val="8"/>
                <c:pt idx="0">
                  <c:v>68</c:v>
                </c:pt>
                <c:pt idx="1">
                  <c:v>50</c:v>
                </c:pt>
                <c:pt idx="2">
                  <c:v>60</c:v>
                </c:pt>
                <c:pt idx="3">
                  <c:v>56</c:v>
                </c:pt>
                <c:pt idx="4">
                  <c:v>40</c:v>
                </c:pt>
                <c:pt idx="5">
                  <c:v>82</c:v>
                </c:pt>
                <c:pt idx="6">
                  <c:v>80</c:v>
                </c:pt>
                <c:pt idx="7">
                  <c:v>79</c:v>
                </c:pt>
              </c:numCache>
            </c:numRef>
          </c:val>
          <c:extLst xmlns:c16r2="http://schemas.microsoft.com/office/drawing/2015/06/chart">
            <c:ext xmlns:c16="http://schemas.microsoft.com/office/drawing/2014/chart" uri="{C3380CC4-5D6E-409C-BE32-E72D297353CC}">
              <c16:uniqueId val="{00000001-3E0F-4836-A361-F3E59E6376BA}"/>
            </c:ext>
          </c:extLst>
        </c:ser>
        <c:ser>
          <c:idx val="2"/>
          <c:order val="2"/>
          <c:tx>
            <c:v>Visita Biblioteca</c:v>
          </c:tx>
          <c:spPr>
            <a:solidFill>
              <a:schemeClr val="accent3"/>
            </a:solidFill>
            <a:ln>
              <a:noFill/>
            </a:ln>
            <a:effectLst/>
          </c:spPr>
          <c:invertIfNegative val="0"/>
          <c:cat>
            <c:strRef>
              <c:f>Hoja2!$X$181:$X$188</c:f>
              <c:strCache>
                <c:ptCount val="8"/>
                <c:pt idx="0">
                  <c:v>Media UE</c:v>
                </c:pt>
                <c:pt idx="1">
                  <c:v>GRE</c:v>
                </c:pt>
                <c:pt idx="2">
                  <c:v>ESP</c:v>
                </c:pt>
                <c:pt idx="3">
                  <c:v>ITA</c:v>
                </c:pt>
                <c:pt idx="4">
                  <c:v>POR</c:v>
                </c:pt>
                <c:pt idx="5">
                  <c:v>Nordic (DK)</c:v>
                </c:pt>
                <c:pt idx="6">
                  <c:v>Liberal (UK)</c:v>
                </c:pt>
                <c:pt idx="7">
                  <c:v>CENTER (DE)</c:v>
                </c:pt>
              </c:strCache>
            </c:strRef>
          </c:cat>
          <c:val>
            <c:numRef>
              <c:f>Hoja2!$AA$181:$AA$188</c:f>
              <c:numCache>
                <c:formatCode>General</c:formatCode>
                <c:ptCount val="8"/>
                <c:pt idx="0">
                  <c:v>31</c:v>
                </c:pt>
                <c:pt idx="1">
                  <c:v>10</c:v>
                </c:pt>
                <c:pt idx="2">
                  <c:v>33</c:v>
                </c:pt>
                <c:pt idx="3">
                  <c:v>24</c:v>
                </c:pt>
                <c:pt idx="4">
                  <c:v>15</c:v>
                </c:pt>
                <c:pt idx="5">
                  <c:v>63</c:v>
                </c:pt>
                <c:pt idx="6">
                  <c:v>47</c:v>
                </c:pt>
                <c:pt idx="7">
                  <c:v>23</c:v>
                </c:pt>
              </c:numCache>
            </c:numRef>
          </c:val>
          <c:extLst xmlns:c16r2="http://schemas.microsoft.com/office/drawing/2015/06/chart">
            <c:ext xmlns:c16="http://schemas.microsoft.com/office/drawing/2014/chart" uri="{C3380CC4-5D6E-409C-BE32-E72D297353CC}">
              <c16:uniqueId val="{00000002-3E0F-4836-A361-F3E59E6376BA}"/>
            </c:ext>
          </c:extLst>
        </c:ser>
        <c:ser>
          <c:idx val="3"/>
          <c:order val="3"/>
          <c:tx>
            <c:v>Conciertos</c:v>
          </c:tx>
          <c:spPr>
            <a:solidFill>
              <a:schemeClr val="accent4"/>
            </a:solidFill>
            <a:ln>
              <a:noFill/>
            </a:ln>
            <a:effectLst/>
          </c:spPr>
          <c:invertIfNegative val="0"/>
          <c:cat>
            <c:strRef>
              <c:f>Hoja2!$X$181:$X$188</c:f>
              <c:strCache>
                <c:ptCount val="8"/>
                <c:pt idx="0">
                  <c:v>Media UE</c:v>
                </c:pt>
                <c:pt idx="1">
                  <c:v>GRE</c:v>
                </c:pt>
                <c:pt idx="2">
                  <c:v>ESP</c:v>
                </c:pt>
                <c:pt idx="3">
                  <c:v>ITA</c:v>
                </c:pt>
                <c:pt idx="4">
                  <c:v>POR</c:v>
                </c:pt>
                <c:pt idx="5">
                  <c:v>Nordic (DK)</c:v>
                </c:pt>
                <c:pt idx="6">
                  <c:v>Liberal (UK)</c:v>
                </c:pt>
                <c:pt idx="7">
                  <c:v>CENTER (DE)</c:v>
                </c:pt>
              </c:strCache>
            </c:strRef>
          </c:cat>
          <c:val>
            <c:numRef>
              <c:f>Hoja2!$AB$181:$AB$188</c:f>
              <c:numCache>
                <c:formatCode>General</c:formatCode>
                <c:ptCount val="8"/>
                <c:pt idx="0">
                  <c:v>35</c:v>
                </c:pt>
                <c:pt idx="1">
                  <c:v>23</c:v>
                </c:pt>
                <c:pt idx="2">
                  <c:v>31</c:v>
                </c:pt>
                <c:pt idx="3">
                  <c:v>26</c:v>
                </c:pt>
                <c:pt idx="4">
                  <c:v>19</c:v>
                </c:pt>
                <c:pt idx="5">
                  <c:v>60</c:v>
                </c:pt>
                <c:pt idx="6">
                  <c:v>37</c:v>
                </c:pt>
                <c:pt idx="7">
                  <c:v>45</c:v>
                </c:pt>
              </c:numCache>
            </c:numRef>
          </c:val>
          <c:extLst xmlns:c16r2="http://schemas.microsoft.com/office/drawing/2015/06/chart">
            <c:ext xmlns:c16="http://schemas.microsoft.com/office/drawing/2014/chart" uri="{C3380CC4-5D6E-409C-BE32-E72D297353CC}">
              <c16:uniqueId val="{00000003-3E0F-4836-A361-F3E59E6376BA}"/>
            </c:ext>
          </c:extLst>
        </c:ser>
        <c:ser>
          <c:idx val="4"/>
          <c:order val="4"/>
          <c:tx>
            <c:v>Teatro</c:v>
          </c:tx>
          <c:spPr>
            <a:solidFill>
              <a:schemeClr val="accent5"/>
            </a:solidFill>
            <a:ln>
              <a:noFill/>
            </a:ln>
            <a:effectLst/>
          </c:spPr>
          <c:invertIfNegative val="0"/>
          <c:cat>
            <c:strRef>
              <c:f>Hoja2!$X$181:$X$188</c:f>
              <c:strCache>
                <c:ptCount val="8"/>
                <c:pt idx="0">
                  <c:v>Media UE</c:v>
                </c:pt>
                <c:pt idx="1">
                  <c:v>GRE</c:v>
                </c:pt>
                <c:pt idx="2">
                  <c:v>ESP</c:v>
                </c:pt>
                <c:pt idx="3">
                  <c:v>ITA</c:v>
                </c:pt>
                <c:pt idx="4">
                  <c:v>POR</c:v>
                </c:pt>
                <c:pt idx="5">
                  <c:v>Nordic (DK)</c:v>
                </c:pt>
                <c:pt idx="6">
                  <c:v>Liberal (UK)</c:v>
                </c:pt>
                <c:pt idx="7">
                  <c:v>CENTER (DE)</c:v>
                </c:pt>
              </c:strCache>
            </c:strRef>
          </c:cat>
          <c:val>
            <c:numRef>
              <c:f>Hoja2!$AC$181:$AC$188</c:f>
              <c:numCache>
                <c:formatCode>General</c:formatCode>
                <c:ptCount val="8"/>
                <c:pt idx="0">
                  <c:v>28</c:v>
                </c:pt>
                <c:pt idx="1">
                  <c:v>24</c:v>
                </c:pt>
                <c:pt idx="2">
                  <c:v>21</c:v>
                </c:pt>
                <c:pt idx="3">
                  <c:v>24</c:v>
                </c:pt>
                <c:pt idx="4">
                  <c:v>13</c:v>
                </c:pt>
                <c:pt idx="5">
                  <c:v>38</c:v>
                </c:pt>
                <c:pt idx="6">
                  <c:v>39</c:v>
                </c:pt>
                <c:pt idx="7">
                  <c:v>30</c:v>
                </c:pt>
              </c:numCache>
            </c:numRef>
          </c:val>
          <c:extLst xmlns:c16r2="http://schemas.microsoft.com/office/drawing/2015/06/chart">
            <c:ext xmlns:c16="http://schemas.microsoft.com/office/drawing/2014/chart" uri="{C3380CC4-5D6E-409C-BE32-E72D297353CC}">
              <c16:uniqueId val="{00000004-3E0F-4836-A361-F3E59E6376BA}"/>
            </c:ext>
          </c:extLst>
        </c:ser>
        <c:ser>
          <c:idx val="5"/>
          <c:order val="5"/>
          <c:tx>
            <c:v>Ballet y opera</c:v>
          </c:tx>
          <c:spPr>
            <a:solidFill>
              <a:schemeClr val="accent6"/>
            </a:solidFill>
            <a:ln>
              <a:noFill/>
            </a:ln>
            <a:effectLst/>
          </c:spPr>
          <c:invertIfNegative val="0"/>
          <c:cat>
            <c:strRef>
              <c:f>Hoja2!$X$181:$X$188</c:f>
              <c:strCache>
                <c:ptCount val="8"/>
                <c:pt idx="0">
                  <c:v>Media UE</c:v>
                </c:pt>
                <c:pt idx="1">
                  <c:v>GRE</c:v>
                </c:pt>
                <c:pt idx="2">
                  <c:v>ESP</c:v>
                </c:pt>
                <c:pt idx="3">
                  <c:v>ITA</c:v>
                </c:pt>
                <c:pt idx="4">
                  <c:v>POR</c:v>
                </c:pt>
                <c:pt idx="5">
                  <c:v>Nordic (DK)</c:v>
                </c:pt>
                <c:pt idx="6">
                  <c:v>Liberal (UK)</c:v>
                </c:pt>
                <c:pt idx="7">
                  <c:v>CENTER (DE)</c:v>
                </c:pt>
              </c:strCache>
            </c:strRef>
          </c:cat>
          <c:val>
            <c:numRef>
              <c:f>Hoja2!$AD$181:$AD$188</c:f>
              <c:numCache>
                <c:formatCode>General</c:formatCode>
                <c:ptCount val="8"/>
                <c:pt idx="0">
                  <c:v>18</c:v>
                </c:pt>
                <c:pt idx="1">
                  <c:v>9</c:v>
                </c:pt>
                <c:pt idx="2">
                  <c:v>15</c:v>
                </c:pt>
                <c:pt idx="3">
                  <c:v>17</c:v>
                </c:pt>
                <c:pt idx="4">
                  <c:v>8</c:v>
                </c:pt>
                <c:pt idx="5">
                  <c:v>25</c:v>
                </c:pt>
                <c:pt idx="6">
                  <c:v>22</c:v>
                </c:pt>
                <c:pt idx="7">
                  <c:v>19</c:v>
                </c:pt>
              </c:numCache>
            </c:numRef>
          </c:val>
          <c:extLst xmlns:c16r2="http://schemas.microsoft.com/office/drawing/2015/06/chart">
            <c:ext xmlns:c16="http://schemas.microsoft.com/office/drawing/2014/chart" uri="{C3380CC4-5D6E-409C-BE32-E72D297353CC}">
              <c16:uniqueId val="{00000005-3E0F-4836-A361-F3E59E6376BA}"/>
            </c:ext>
          </c:extLst>
        </c:ser>
        <c:ser>
          <c:idx val="6"/>
          <c:order val="6"/>
          <c:tx>
            <c:v>Cine</c:v>
          </c:tx>
          <c:spPr>
            <a:solidFill>
              <a:schemeClr val="accent1">
                <a:lumMod val="60000"/>
              </a:schemeClr>
            </a:solidFill>
            <a:ln>
              <a:noFill/>
            </a:ln>
            <a:effectLst/>
          </c:spPr>
          <c:invertIfNegative val="0"/>
          <c:cat>
            <c:strRef>
              <c:f>Hoja2!$X$181:$X$188</c:f>
              <c:strCache>
                <c:ptCount val="8"/>
                <c:pt idx="0">
                  <c:v>Media UE</c:v>
                </c:pt>
                <c:pt idx="1">
                  <c:v>GRE</c:v>
                </c:pt>
                <c:pt idx="2">
                  <c:v>ESP</c:v>
                </c:pt>
                <c:pt idx="3">
                  <c:v>ITA</c:v>
                </c:pt>
                <c:pt idx="4">
                  <c:v>POR</c:v>
                </c:pt>
                <c:pt idx="5">
                  <c:v>Nordic (DK)</c:v>
                </c:pt>
                <c:pt idx="6">
                  <c:v>Liberal (UK)</c:v>
                </c:pt>
                <c:pt idx="7">
                  <c:v>CENTER (DE)</c:v>
                </c:pt>
              </c:strCache>
            </c:strRef>
          </c:cat>
          <c:val>
            <c:numRef>
              <c:f>Hoja2!$AE$181:$AE$188</c:f>
              <c:numCache>
                <c:formatCode>General</c:formatCode>
                <c:ptCount val="8"/>
                <c:pt idx="0">
                  <c:v>52</c:v>
                </c:pt>
                <c:pt idx="1">
                  <c:v>36</c:v>
                </c:pt>
                <c:pt idx="2">
                  <c:v>49</c:v>
                </c:pt>
                <c:pt idx="3">
                  <c:v>53</c:v>
                </c:pt>
                <c:pt idx="4">
                  <c:v>29</c:v>
                </c:pt>
                <c:pt idx="5">
                  <c:v>76</c:v>
                </c:pt>
                <c:pt idx="6">
                  <c:v>61</c:v>
                </c:pt>
                <c:pt idx="7">
                  <c:v>54</c:v>
                </c:pt>
              </c:numCache>
            </c:numRef>
          </c:val>
          <c:extLst xmlns:c16r2="http://schemas.microsoft.com/office/drawing/2015/06/chart">
            <c:ext xmlns:c16="http://schemas.microsoft.com/office/drawing/2014/chart" uri="{C3380CC4-5D6E-409C-BE32-E72D297353CC}">
              <c16:uniqueId val="{00000006-3E0F-4836-A361-F3E59E6376BA}"/>
            </c:ext>
          </c:extLst>
        </c:ser>
        <c:dLbls>
          <c:showLegendKey val="0"/>
          <c:showVal val="0"/>
          <c:showCatName val="0"/>
          <c:showSerName val="0"/>
          <c:showPercent val="0"/>
          <c:showBubbleSize val="0"/>
        </c:dLbls>
        <c:gapWidth val="219"/>
        <c:overlap val="-27"/>
        <c:axId val="607016488"/>
        <c:axId val="607013352"/>
      </c:barChart>
      <c:catAx>
        <c:axId val="607016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7013352"/>
        <c:crosses val="autoZero"/>
        <c:auto val="1"/>
        <c:lblAlgn val="ctr"/>
        <c:lblOffset val="100"/>
        <c:noMultiLvlLbl val="0"/>
      </c:catAx>
      <c:valAx>
        <c:axId val="607013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7016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Indicador</a:t>
            </a:r>
            <a:r>
              <a:rPr lang="es-ES" baseline="0"/>
              <a:t> sintético caida consumo cultural: 2007-2013</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manualLayout>
          <c:layoutTarget val="inner"/>
          <c:xMode val="edge"/>
          <c:yMode val="edge"/>
          <c:x val="6.1567147856517936E-2"/>
          <c:y val="0.276330927384077"/>
          <c:w val="0.90787729658792649"/>
          <c:h val="0.69824074074074072"/>
        </c:manualLayout>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Hoja2!$W$118:$W$125</c:f>
              <c:strCache>
                <c:ptCount val="8"/>
                <c:pt idx="0">
                  <c:v>UE-27</c:v>
                </c:pt>
                <c:pt idx="1">
                  <c:v>GRE</c:v>
                </c:pt>
                <c:pt idx="2">
                  <c:v>ESP</c:v>
                </c:pt>
                <c:pt idx="3">
                  <c:v>ITA</c:v>
                </c:pt>
                <c:pt idx="4">
                  <c:v>POR</c:v>
                </c:pt>
                <c:pt idx="5">
                  <c:v>Nordic (DK)</c:v>
                </c:pt>
                <c:pt idx="6">
                  <c:v>Liberal (UK)</c:v>
                </c:pt>
                <c:pt idx="7">
                  <c:v>CENTER(DE)</c:v>
                </c:pt>
              </c:strCache>
            </c:strRef>
          </c:cat>
          <c:val>
            <c:numRef>
              <c:f>Hoja2!$X$118:$X$125</c:f>
              <c:numCache>
                <c:formatCode>General</c:formatCode>
                <c:ptCount val="8"/>
                <c:pt idx="0">
                  <c:v>-2.6</c:v>
                </c:pt>
                <c:pt idx="1">
                  <c:v>-5.7</c:v>
                </c:pt>
                <c:pt idx="2">
                  <c:v>-2.1</c:v>
                </c:pt>
                <c:pt idx="3">
                  <c:v>-3.9</c:v>
                </c:pt>
                <c:pt idx="4">
                  <c:v>-6.7</c:v>
                </c:pt>
                <c:pt idx="5">
                  <c:v>-0.5</c:v>
                </c:pt>
                <c:pt idx="6">
                  <c:v>0</c:v>
                </c:pt>
                <c:pt idx="7">
                  <c:v>-2</c:v>
                </c:pt>
              </c:numCache>
            </c:numRef>
          </c:val>
          <c:smooth val="0"/>
        </c:ser>
        <c:dLbls>
          <c:showLegendKey val="0"/>
          <c:showVal val="0"/>
          <c:showCatName val="0"/>
          <c:showSerName val="0"/>
          <c:showPercent val="0"/>
          <c:showBubbleSize val="0"/>
        </c:dLbls>
        <c:marker val="1"/>
        <c:smooth val="0"/>
        <c:axId val="659827016"/>
        <c:axId val="659829760"/>
      </c:lineChart>
      <c:catAx>
        <c:axId val="659827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59829760"/>
        <c:crosses val="autoZero"/>
        <c:auto val="1"/>
        <c:lblAlgn val="ctr"/>
        <c:lblOffset val="100"/>
        <c:noMultiLvlLbl val="0"/>
      </c:catAx>
      <c:valAx>
        <c:axId val="659829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59827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cat>
            <c:strRef>
              <c:f>Hoja2!$O$72:$O$79</c:f>
              <c:strCache>
                <c:ptCount val="8"/>
                <c:pt idx="0">
                  <c:v>UE-27</c:v>
                </c:pt>
                <c:pt idx="1">
                  <c:v>GRE</c:v>
                </c:pt>
                <c:pt idx="2">
                  <c:v>ESP</c:v>
                </c:pt>
                <c:pt idx="3">
                  <c:v>ITA</c:v>
                </c:pt>
                <c:pt idx="4">
                  <c:v>POR</c:v>
                </c:pt>
                <c:pt idx="5">
                  <c:v>Liberal (UK)</c:v>
                </c:pt>
                <c:pt idx="6">
                  <c:v>Centro (DE)</c:v>
                </c:pt>
                <c:pt idx="7">
                  <c:v>Nordic (DK)</c:v>
                </c:pt>
              </c:strCache>
            </c:strRef>
          </c:cat>
          <c:val>
            <c:numRef>
              <c:f>Hoja2!$P$72:$P$79</c:f>
              <c:numCache>
                <c:formatCode>General</c:formatCode>
                <c:ptCount val="8"/>
                <c:pt idx="0">
                  <c:v>34.71</c:v>
                </c:pt>
                <c:pt idx="1">
                  <c:v>36.42</c:v>
                </c:pt>
                <c:pt idx="2">
                  <c:v>34.71</c:v>
                </c:pt>
                <c:pt idx="3">
                  <c:v>39.28</c:v>
                </c:pt>
                <c:pt idx="4">
                  <c:v>46.86</c:v>
                </c:pt>
                <c:pt idx="5">
                  <c:v>31.71</c:v>
                </c:pt>
                <c:pt idx="6">
                  <c:v>38</c:v>
                </c:pt>
                <c:pt idx="7">
                  <c:v>34.28</c:v>
                </c:pt>
              </c:numCache>
            </c:numRef>
          </c:val>
          <c:extLst xmlns:c16r2="http://schemas.microsoft.com/office/drawing/2015/06/chart">
            <c:ext xmlns:c16="http://schemas.microsoft.com/office/drawing/2014/chart" uri="{C3380CC4-5D6E-409C-BE32-E72D297353CC}">
              <c16:uniqueId val="{00000000-CCAA-4DE5-928F-DE7A62863ADB}"/>
            </c:ext>
          </c:extLst>
        </c:ser>
        <c:dLbls>
          <c:showLegendKey val="0"/>
          <c:showVal val="0"/>
          <c:showCatName val="0"/>
          <c:showSerName val="0"/>
          <c:showPercent val="0"/>
          <c:showBubbleSize val="0"/>
        </c:dLbls>
        <c:gapWidth val="219"/>
        <c:overlap val="-27"/>
        <c:axId val="659828976"/>
        <c:axId val="659829368"/>
      </c:barChart>
      <c:catAx>
        <c:axId val="65982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59829368"/>
        <c:crosses val="autoZero"/>
        <c:auto val="1"/>
        <c:lblAlgn val="ctr"/>
        <c:lblOffset val="100"/>
        <c:noMultiLvlLbl val="0"/>
      </c:catAx>
      <c:valAx>
        <c:axId val="659829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59828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cat>
            <c:strRef>
              <c:f>Hoja2!$E$81:$E$88</c:f>
              <c:strCache>
                <c:ptCount val="8"/>
                <c:pt idx="0">
                  <c:v>UE-27</c:v>
                </c:pt>
                <c:pt idx="1">
                  <c:v>GRE</c:v>
                </c:pt>
                <c:pt idx="2">
                  <c:v>ESP</c:v>
                </c:pt>
                <c:pt idx="3">
                  <c:v>ITA</c:v>
                </c:pt>
                <c:pt idx="4">
                  <c:v>POR</c:v>
                </c:pt>
                <c:pt idx="5">
                  <c:v>Liberal (UK)</c:v>
                </c:pt>
                <c:pt idx="6">
                  <c:v>Centro (DE)</c:v>
                </c:pt>
                <c:pt idx="7">
                  <c:v>Nordic (DK)</c:v>
                </c:pt>
              </c:strCache>
            </c:strRef>
          </c:cat>
          <c:val>
            <c:numRef>
              <c:f>Hoja2!$M$81:$M$88</c:f>
              <c:numCache>
                <c:formatCode>General</c:formatCode>
                <c:ptCount val="8"/>
                <c:pt idx="0">
                  <c:v>14</c:v>
                </c:pt>
                <c:pt idx="1">
                  <c:v>19.71</c:v>
                </c:pt>
                <c:pt idx="2">
                  <c:v>18.57</c:v>
                </c:pt>
                <c:pt idx="3">
                  <c:v>14.42</c:v>
                </c:pt>
                <c:pt idx="4">
                  <c:v>16.399999999999999</c:v>
                </c:pt>
                <c:pt idx="5">
                  <c:v>6.86</c:v>
                </c:pt>
                <c:pt idx="6">
                  <c:v>8.42</c:v>
                </c:pt>
                <c:pt idx="7">
                  <c:v>8.2799999999999994</c:v>
                </c:pt>
              </c:numCache>
            </c:numRef>
          </c:val>
          <c:extLst xmlns:c16r2="http://schemas.microsoft.com/office/drawing/2015/06/chart">
            <c:ext xmlns:c16="http://schemas.microsoft.com/office/drawing/2014/chart" uri="{C3380CC4-5D6E-409C-BE32-E72D297353CC}">
              <c16:uniqueId val="{00000000-D223-49EE-98C5-720AB6D55CAC}"/>
            </c:ext>
          </c:extLst>
        </c:ser>
        <c:dLbls>
          <c:showLegendKey val="0"/>
          <c:showVal val="0"/>
          <c:showCatName val="0"/>
          <c:showSerName val="0"/>
          <c:showPercent val="0"/>
          <c:showBubbleSize val="0"/>
        </c:dLbls>
        <c:gapWidth val="219"/>
        <c:overlap val="-27"/>
        <c:axId val="659826624"/>
        <c:axId val="659827800"/>
      </c:barChart>
      <c:catAx>
        <c:axId val="659826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59827800"/>
        <c:crosses val="autoZero"/>
        <c:auto val="1"/>
        <c:lblAlgn val="ctr"/>
        <c:lblOffset val="100"/>
        <c:noMultiLvlLbl val="0"/>
      </c:catAx>
      <c:valAx>
        <c:axId val="659827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59826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v>Muy alta</c:v>
          </c:tx>
          <c:spPr>
            <a:solidFill>
              <a:schemeClr val="accent1"/>
            </a:solidFill>
            <a:ln>
              <a:noFill/>
            </a:ln>
            <a:effectLst/>
          </c:spPr>
          <c:invertIfNegative val="0"/>
          <c:cat>
            <c:strRef>
              <c:f>Hoja4!$B$13:$B$20</c:f>
              <c:strCache>
                <c:ptCount val="8"/>
                <c:pt idx="0">
                  <c:v>UE-27</c:v>
                </c:pt>
                <c:pt idx="1">
                  <c:v>GRE</c:v>
                </c:pt>
                <c:pt idx="2">
                  <c:v>ESP</c:v>
                </c:pt>
                <c:pt idx="3">
                  <c:v>ITA</c:v>
                </c:pt>
                <c:pt idx="4">
                  <c:v>POR</c:v>
                </c:pt>
                <c:pt idx="5">
                  <c:v>Liberal (UK)</c:v>
                </c:pt>
                <c:pt idx="6">
                  <c:v>Centro (DE)</c:v>
                </c:pt>
                <c:pt idx="7">
                  <c:v>Nordic (DK)</c:v>
                </c:pt>
              </c:strCache>
            </c:strRef>
          </c:cat>
          <c:val>
            <c:numRef>
              <c:f>Hoja4!$C$13:$C$20</c:f>
              <c:numCache>
                <c:formatCode>General</c:formatCode>
                <c:ptCount val="8"/>
                <c:pt idx="0">
                  <c:v>5</c:v>
                </c:pt>
                <c:pt idx="1">
                  <c:v>1</c:v>
                </c:pt>
                <c:pt idx="2">
                  <c:v>6</c:v>
                </c:pt>
                <c:pt idx="3">
                  <c:v>3</c:v>
                </c:pt>
                <c:pt idx="4">
                  <c:v>1</c:v>
                </c:pt>
                <c:pt idx="5">
                  <c:v>7</c:v>
                </c:pt>
                <c:pt idx="6">
                  <c:v>5</c:v>
                </c:pt>
                <c:pt idx="7">
                  <c:v>10</c:v>
                </c:pt>
              </c:numCache>
            </c:numRef>
          </c:val>
          <c:extLst xmlns:c16r2="http://schemas.microsoft.com/office/drawing/2015/06/chart">
            <c:ext xmlns:c16="http://schemas.microsoft.com/office/drawing/2014/chart" uri="{C3380CC4-5D6E-409C-BE32-E72D297353CC}">
              <c16:uniqueId val="{00000000-2872-4964-8E3F-7596E350FF26}"/>
            </c:ext>
          </c:extLst>
        </c:ser>
        <c:ser>
          <c:idx val="1"/>
          <c:order val="1"/>
          <c:tx>
            <c:v>Alta</c:v>
          </c:tx>
          <c:spPr>
            <a:solidFill>
              <a:schemeClr val="accent2"/>
            </a:solidFill>
            <a:ln>
              <a:noFill/>
            </a:ln>
            <a:effectLst/>
          </c:spPr>
          <c:invertIfNegative val="0"/>
          <c:cat>
            <c:strRef>
              <c:f>Hoja4!$B$13:$B$20</c:f>
              <c:strCache>
                <c:ptCount val="8"/>
                <c:pt idx="0">
                  <c:v>UE-27</c:v>
                </c:pt>
                <c:pt idx="1">
                  <c:v>GRE</c:v>
                </c:pt>
                <c:pt idx="2">
                  <c:v>ESP</c:v>
                </c:pt>
                <c:pt idx="3">
                  <c:v>ITA</c:v>
                </c:pt>
                <c:pt idx="4">
                  <c:v>POR</c:v>
                </c:pt>
                <c:pt idx="5">
                  <c:v>Liberal (UK)</c:v>
                </c:pt>
                <c:pt idx="6">
                  <c:v>Centro (DE)</c:v>
                </c:pt>
                <c:pt idx="7">
                  <c:v>Nordic (DK)</c:v>
                </c:pt>
              </c:strCache>
            </c:strRef>
          </c:cat>
          <c:val>
            <c:numRef>
              <c:f>Hoja4!$D$13:$D$20</c:f>
              <c:numCache>
                <c:formatCode>General</c:formatCode>
                <c:ptCount val="8"/>
                <c:pt idx="0">
                  <c:v>13</c:v>
                </c:pt>
                <c:pt idx="1">
                  <c:v>4</c:v>
                </c:pt>
                <c:pt idx="2">
                  <c:v>13</c:v>
                </c:pt>
                <c:pt idx="3">
                  <c:v>5</c:v>
                </c:pt>
                <c:pt idx="4">
                  <c:v>5</c:v>
                </c:pt>
                <c:pt idx="5">
                  <c:v>19</c:v>
                </c:pt>
                <c:pt idx="6">
                  <c:v>13</c:v>
                </c:pt>
                <c:pt idx="7">
                  <c:v>26</c:v>
                </c:pt>
              </c:numCache>
            </c:numRef>
          </c:val>
          <c:extLst xmlns:c16r2="http://schemas.microsoft.com/office/drawing/2015/06/chart">
            <c:ext xmlns:c16="http://schemas.microsoft.com/office/drawing/2014/chart" uri="{C3380CC4-5D6E-409C-BE32-E72D297353CC}">
              <c16:uniqueId val="{00000001-2872-4964-8E3F-7596E350FF26}"/>
            </c:ext>
          </c:extLst>
        </c:ser>
        <c:ser>
          <c:idx val="2"/>
          <c:order val="2"/>
          <c:tx>
            <c:v>Media</c:v>
          </c:tx>
          <c:spPr>
            <a:solidFill>
              <a:schemeClr val="accent3"/>
            </a:solidFill>
            <a:ln>
              <a:noFill/>
            </a:ln>
            <a:effectLst/>
          </c:spPr>
          <c:invertIfNegative val="0"/>
          <c:cat>
            <c:strRef>
              <c:f>Hoja4!$B$13:$B$20</c:f>
              <c:strCache>
                <c:ptCount val="8"/>
                <c:pt idx="0">
                  <c:v>UE-27</c:v>
                </c:pt>
                <c:pt idx="1">
                  <c:v>GRE</c:v>
                </c:pt>
                <c:pt idx="2">
                  <c:v>ESP</c:v>
                </c:pt>
                <c:pt idx="3">
                  <c:v>ITA</c:v>
                </c:pt>
                <c:pt idx="4">
                  <c:v>POR</c:v>
                </c:pt>
                <c:pt idx="5">
                  <c:v>Liberal (UK)</c:v>
                </c:pt>
                <c:pt idx="6">
                  <c:v>Centro (DE)</c:v>
                </c:pt>
                <c:pt idx="7">
                  <c:v>Nordic (DK)</c:v>
                </c:pt>
              </c:strCache>
            </c:strRef>
          </c:cat>
          <c:val>
            <c:numRef>
              <c:f>Hoja4!$E$13:$E$20</c:f>
              <c:numCache>
                <c:formatCode>General</c:formatCode>
                <c:ptCount val="8"/>
                <c:pt idx="0">
                  <c:v>48</c:v>
                </c:pt>
                <c:pt idx="1">
                  <c:v>32</c:v>
                </c:pt>
                <c:pt idx="2">
                  <c:v>44</c:v>
                </c:pt>
                <c:pt idx="3">
                  <c:v>43</c:v>
                </c:pt>
                <c:pt idx="4">
                  <c:v>35</c:v>
                </c:pt>
                <c:pt idx="5">
                  <c:v>53</c:v>
                </c:pt>
                <c:pt idx="6">
                  <c:v>51</c:v>
                </c:pt>
                <c:pt idx="7">
                  <c:v>47</c:v>
                </c:pt>
              </c:numCache>
            </c:numRef>
          </c:val>
          <c:extLst xmlns:c16r2="http://schemas.microsoft.com/office/drawing/2015/06/chart">
            <c:ext xmlns:c16="http://schemas.microsoft.com/office/drawing/2014/chart" uri="{C3380CC4-5D6E-409C-BE32-E72D297353CC}">
              <c16:uniqueId val="{00000002-2872-4964-8E3F-7596E350FF26}"/>
            </c:ext>
          </c:extLst>
        </c:ser>
        <c:ser>
          <c:idx val="3"/>
          <c:order val="3"/>
          <c:tx>
            <c:v>Baja</c:v>
          </c:tx>
          <c:spPr>
            <a:solidFill>
              <a:schemeClr val="accent4"/>
            </a:solidFill>
            <a:ln>
              <a:noFill/>
            </a:ln>
            <a:effectLst/>
          </c:spPr>
          <c:invertIfNegative val="0"/>
          <c:cat>
            <c:strRef>
              <c:f>Hoja4!$B$13:$B$20</c:f>
              <c:strCache>
                <c:ptCount val="8"/>
                <c:pt idx="0">
                  <c:v>UE-27</c:v>
                </c:pt>
                <c:pt idx="1">
                  <c:v>GRE</c:v>
                </c:pt>
                <c:pt idx="2">
                  <c:v>ESP</c:v>
                </c:pt>
                <c:pt idx="3">
                  <c:v>ITA</c:v>
                </c:pt>
                <c:pt idx="4">
                  <c:v>POR</c:v>
                </c:pt>
                <c:pt idx="5">
                  <c:v>Liberal (UK)</c:v>
                </c:pt>
                <c:pt idx="6">
                  <c:v>Centro (DE)</c:v>
                </c:pt>
                <c:pt idx="7">
                  <c:v>Nordic (DK)</c:v>
                </c:pt>
              </c:strCache>
            </c:strRef>
          </c:cat>
          <c:val>
            <c:numRef>
              <c:f>Hoja4!$F$13:$F$20</c:f>
              <c:numCache>
                <c:formatCode>General</c:formatCode>
                <c:ptCount val="8"/>
                <c:pt idx="0">
                  <c:v>34</c:v>
                </c:pt>
                <c:pt idx="1">
                  <c:v>63</c:v>
                </c:pt>
                <c:pt idx="2">
                  <c:v>37</c:v>
                </c:pt>
                <c:pt idx="3">
                  <c:v>49</c:v>
                </c:pt>
                <c:pt idx="4">
                  <c:v>59</c:v>
                </c:pt>
                <c:pt idx="5">
                  <c:v>21</c:v>
                </c:pt>
                <c:pt idx="6">
                  <c:v>31</c:v>
                </c:pt>
                <c:pt idx="7">
                  <c:v>17</c:v>
                </c:pt>
              </c:numCache>
            </c:numRef>
          </c:val>
          <c:extLst xmlns:c16r2="http://schemas.microsoft.com/office/drawing/2015/06/chart">
            <c:ext xmlns:c16="http://schemas.microsoft.com/office/drawing/2014/chart" uri="{C3380CC4-5D6E-409C-BE32-E72D297353CC}">
              <c16:uniqueId val="{00000003-2872-4964-8E3F-7596E350FF26}"/>
            </c:ext>
          </c:extLst>
        </c:ser>
        <c:dLbls>
          <c:showLegendKey val="0"/>
          <c:showVal val="0"/>
          <c:showCatName val="0"/>
          <c:showSerName val="0"/>
          <c:showPercent val="0"/>
          <c:showBubbleSize val="0"/>
        </c:dLbls>
        <c:gapWidth val="150"/>
        <c:overlap val="100"/>
        <c:axId val="664036216"/>
        <c:axId val="664038568"/>
      </c:barChart>
      <c:catAx>
        <c:axId val="664036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64038568"/>
        <c:crosses val="autoZero"/>
        <c:auto val="1"/>
        <c:lblAlgn val="ctr"/>
        <c:lblOffset val="100"/>
        <c:noMultiLvlLbl val="0"/>
      </c:catAx>
      <c:valAx>
        <c:axId val="664038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64036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Indice de práctica cultural. Porcentaje de la poblacion que es bajo</c:v>
          </c:tx>
          <c:spPr>
            <a:solidFill>
              <a:schemeClr val="accent1"/>
            </a:solidFill>
            <a:ln>
              <a:noFill/>
            </a:ln>
            <a:effectLst/>
          </c:spPr>
          <c:invertIfNegative val="0"/>
          <c:cat>
            <c:strRef>
              <c:f>Hoja4!$B$3:$B$10</c:f>
              <c:strCache>
                <c:ptCount val="8"/>
                <c:pt idx="0">
                  <c:v>UE</c:v>
                </c:pt>
                <c:pt idx="1">
                  <c:v>GRE</c:v>
                </c:pt>
                <c:pt idx="2">
                  <c:v>ESP</c:v>
                </c:pt>
                <c:pt idx="3">
                  <c:v>ITA</c:v>
                </c:pt>
                <c:pt idx="4">
                  <c:v>POR</c:v>
                </c:pt>
                <c:pt idx="5">
                  <c:v>Liberal (UK)</c:v>
                </c:pt>
                <c:pt idx="6">
                  <c:v>Centro (DE)</c:v>
                </c:pt>
                <c:pt idx="7">
                  <c:v>Nordic (DK)</c:v>
                </c:pt>
              </c:strCache>
            </c:strRef>
          </c:cat>
          <c:val>
            <c:numRef>
              <c:f>Hoja4!$I$3:$I$10</c:f>
              <c:numCache>
                <c:formatCode>General</c:formatCode>
                <c:ptCount val="8"/>
                <c:pt idx="0">
                  <c:v>34</c:v>
                </c:pt>
                <c:pt idx="1">
                  <c:v>63</c:v>
                </c:pt>
                <c:pt idx="2">
                  <c:v>37</c:v>
                </c:pt>
                <c:pt idx="3">
                  <c:v>49</c:v>
                </c:pt>
                <c:pt idx="4">
                  <c:v>59</c:v>
                </c:pt>
                <c:pt idx="5">
                  <c:v>21</c:v>
                </c:pt>
                <c:pt idx="6">
                  <c:v>31</c:v>
                </c:pt>
                <c:pt idx="7">
                  <c:v>17</c:v>
                </c:pt>
              </c:numCache>
            </c:numRef>
          </c:val>
          <c:extLst xmlns:c16r2="http://schemas.microsoft.com/office/drawing/2015/06/chart">
            <c:ext xmlns:c16="http://schemas.microsoft.com/office/drawing/2014/chart" uri="{C3380CC4-5D6E-409C-BE32-E72D297353CC}">
              <c16:uniqueId val="{00000000-D675-4C97-97AC-6ED535769CE5}"/>
            </c:ext>
          </c:extLst>
        </c:ser>
        <c:ser>
          <c:idx val="1"/>
          <c:order val="1"/>
          <c:tx>
            <c:v>Diferencia de la encuesta de 2013 respecto 2007</c:v>
          </c:tx>
          <c:spPr>
            <a:solidFill>
              <a:schemeClr val="accent2"/>
            </a:solidFill>
            <a:ln>
              <a:noFill/>
            </a:ln>
            <a:effectLst/>
          </c:spPr>
          <c:invertIfNegative val="0"/>
          <c:cat>
            <c:strRef>
              <c:f>Hoja4!$B$3:$B$10</c:f>
              <c:strCache>
                <c:ptCount val="8"/>
                <c:pt idx="0">
                  <c:v>UE</c:v>
                </c:pt>
                <c:pt idx="1">
                  <c:v>GRE</c:v>
                </c:pt>
                <c:pt idx="2">
                  <c:v>ESP</c:v>
                </c:pt>
                <c:pt idx="3">
                  <c:v>ITA</c:v>
                </c:pt>
                <c:pt idx="4">
                  <c:v>POR</c:v>
                </c:pt>
                <c:pt idx="5">
                  <c:v>Liberal (UK)</c:v>
                </c:pt>
                <c:pt idx="6">
                  <c:v>Centro (DE)</c:v>
                </c:pt>
                <c:pt idx="7">
                  <c:v>Nordic (DK)</c:v>
                </c:pt>
              </c:strCache>
            </c:strRef>
          </c:cat>
          <c:val>
            <c:numRef>
              <c:f>Hoja4!$J$3:$J$10</c:f>
              <c:numCache>
                <c:formatCode>General</c:formatCode>
                <c:ptCount val="8"/>
                <c:pt idx="0">
                  <c:v>4</c:v>
                </c:pt>
                <c:pt idx="1">
                  <c:v>8</c:v>
                </c:pt>
                <c:pt idx="2">
                  <c:v>2</c:v>
                </c:pt>
                <c:pt idx="3">
                  <c:v>9</c:v>
                </c:pt>
                <c:pt idx="4">
                  <c:v>7</c:v>
                </c:pt>
                <c:pt idx="5">
                  <c:v>1</c:v>
                </c:pt>
                <c:pt idx="6">
                  <c:v>4</c:v>
                </c:pt>
                <c:pt idx="7">
                  <c:v>6</c:v>
                </c:pt>
              </c:numCache>
            </c:numRef>
          </c:val>
          <c:extLst xmlns:c16r2="http://schemas.microsoft.com/office/drawing/2015/06/chart">
            <c:ext xmlns:c16="http://schemas.microsoft.com/office/drawing/2014/chart" uri="{C3380CC4-5D6E-409C-BE32-E72D297353CC}">
              <c16:uniqueId val="{00000001-D675-4C97-97AC-6ED535769CE5}"/>
            </c:ext>
          </c:extLst>
        </c:ser>
        <c:dLbls>
          <c:showLegendKey val="0"/>
          <c:showVal val="0"/>
          <c:showCatName val="0"/>
          <c:showSerName val="0"/>
          <c:showPercent val="0"/>
          <c:showBubbleSize val="0"/>
        </c:dLbls>
        <c:gapWidth val="219"/>
        <c:overlap val="-27"/>
        <c:axId val="707752752"/>
        <c:axId val="707753928"/>
      </c:barChart>
      <c:catAx>
        <c:axId val="707752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707753928"/>
        <c:crosses val="autoZero"/>
        <c:auto val="1"/>
        <c:lblAlgn val="ctr"/>
        <c:lblOffset val="100"/>
        <c:noMultiLvlLbl val="0"/>
      </c:catAx>
      <c:valAx>
        <c:axId val="707753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707752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Hoja2!$W$147:$W$154</c:f>
              <c:strCache>
                <c:ptCount val="8"/>
                <c:pt idx="0">
                  <c:v>GRE</c:v>
                </c:pt>
                <c:pt idx="1">
                  <c:v>ESP</c:v>
                </c:pt>
                <c:pt idx="2">
                  <c:v>ITA</c:v>
                </c:pt>
                <c:pt idx="3">
                  <c:v>POR</c:v>
                </c:pt>
                <c:pt idx="4">
                  <c:v>Nordic (DEN)</c:v>
                </c:pt>
                <c:pt idx="5">
                  <c:v>Liberal (UK)</c:v>
                </c:pt>
                <c:pt idx="6">
                  <c:v>CENTRO(DE)</c:v>
                </c:pt>
                <c:pt idx="7">
                  <c:v>media OCDE</c:v>
                </c:pt>
              </c:strCache>
            </c:strRef>
          </c:cat>
          <c:val>
            <c:numRef>
              <c:f>Hoja2!$X$147:$X$154</c:f>
              <c:numCache>
                <c:formatCode>General</c:formatCode>
                <c:ptCount val="8"/>
                <c:pt idx="0">
                  <c:v>32</c:v>
                </c:pt>
                <c:pt idx="1">
                  <c:v>33.700000000000003</c:v>
                </c:pt>
                <c:pt idx="2">
                  <c:v>27</c:v>
                </c:pt>
                <c:pt idx="3">
                  <c:v>32.799999999999997</c:v>
                </c:pt>
                <c:pt idx="4">
                  <c:v>20.399999999999999</c:v>
                </c:pt>
                <c:pt idx="5">
                  <c:v>22.5</c:v>
                </c:pt>
                <c:pt idx="6">
                  <c:v>17.2</c:v>
                </c:pt>
                <c:pt idx="7">
                  <c:v>25.5</c:v>
                </c:pt>
              </c:numCache>
            </c:numRef>
          </c:val>
          <c:extLst xmlns:c16r2="http://schemas.microsoft.com/office/drawing/2015/06/chart">
            <c:ext xmlns:c16="http://schemas.microsoft.com/office/drawing/2014/chart" uri="{C3380CC4-5D6E-409C-BE32-E72D297353CC}">
              <c16:uniqueId val="{00000000-60F7-4E73-91E1-7B3A7E7F5ED1}"/>
            </c:ext>
          </c:extLst>
        </c:ser>
        <c:dLbls>
          <c:showLegendKey val="0"/>
          <c:showVal val="0"/>
          <c:showCatName val="0"/>
          <c:showSerName val="0"/>
          <c:showPercent val="0"/>
          <c:showBubbleSize val="0"/>
        </c:dLbls>
        <c:gapWidth val="219"/>
        <c:overlap val="-27"/>
        <c:axId val="387807544"/>
        <c:axId val="712220160"/>
      </c:barChart>
      <c:catAx>
        <c:axId val="387807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712220160"/>
        <c:crosses val="autoZero"/>
        <c:auto val="1"/>
        <c:lblAlgn val="ctr"/>
        <c:lblOffset val="100"/>
        <c:noMultiLvlLbl val="0"/>
      </c:catAx>
      <c:valAx>
        <c:axId val="712220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87807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0B586-7FB2-4CAF-88D7-65C5023F2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30</Pages>
  <Words>8254</Words>
  <Characters>45403</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vt:lpstr>
    </vt:vector>
  </TitlesOfParts>
  <Company/>
  <LinksUpToDate>false</LinksUpToDate>
  <CharactersWithSpaces>53550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JOAQUIM</dc:creator>
  <cp:keywords/>
  <dc:description/>
  <cp:lastModifiedBy>Juan A Rubio Arostegui</cp:lastModifiedBy>
  <cp:revision>7</cp:revision>
  <dcterms:created xsi:type="dcterms:W3CDTF">2019-08-17T16:18:00Z</dcterms:created>
  <dcterms:modified xsi:type="dcterms:W3CDTF">2019-08-19T20:22:00Z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10788</vt:lpwstr>
  </property>
  <property fmtid="{D5CDD505-2E9C-101B-9397-08002B2CF9AE}" pid="3" name="WnCSubscriberId">
    <vt:lpwstr>3809</vt:lpwstr>
  </property>
  <property fmtid="{D5CDD505-2E9C-101B-9397-08002B2CF9AE}" pid="4" name="WnCOutputStyleId">
    <vt:lpwstr>12332</vt:lpwstr>
  </property>
  <property fmtid="{D5CDD505-2E9C-101B-9397-08002B2CF9AE}" pid="5" name="RWProductId">
    <vt:lpwstr>WnC</vt:lpwstr>
  </property>
  <property fmtid="{D5CDD505-2E9C-101B-9397-08002B2CF9AE}" pid="6" name="WnC4Folder">
    <vt:lpwstr/>
  </property>
</Properties>
</file>