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6D" w:rsidRPr="003726A3" w:rsidRDefault="00FD69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26A3">
        <w:rPr>
          <w:rFonts w:ascii="Times New Roman" w:hAnsi="Times New Roman" w:cs="Times New Roman"/>
          <w:color w:val="000000"/>
          <w:sz w:val="24"/>
          <w:szCs w:val="24"/>
        </w:rPr>
        <w:t xml:space="preserve">A/A </w:t>
      </w:r>
      <w:r w:rsidR="00037CA3">
        <w:rPr>
          <w:rFonts w:ascii="Times New Roman" w:hAnsi="Times New Roman" w:cs="Times New Roman"/>
          <w:color w:val="000000"/>
          <w:sz w:val="24"/>
          <w:szCs w:val="24"/>
        </w:rPr>
        <w:t>Edit</w:t>
      </w:r>
      <w:bookmarkStart w:id="0" w:name="_GoBack"/>
      <w:bookmarkEnd w:id="0"/>
      <w:r w:rsidR="00037CA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726A3">
        <w:rPr>
          <w:rFonts w:ascii="Times New Roman" w:hAnsi="Times New Roman" w:cs="Times New Roman"/>
          <w:color w:val="000000"/>
          <w:sz w:val="24"/>
          <w:szCs w:val="24"/>
        </w:rPr>
        <w:t>res/as.</w:t>
      </w:r>
    </w:p>
    <w:p w:rsidR="00FD696D" w:rsidRPr="003726A3" w:rsidRDefault="00FD696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D696D" w:rsidRPr="003726A3" w:rsidRDefault="00FD69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26A3">
        <w:rPr>
          <w:rFonts w:ascii="Times New Roman" w:hAnsi="Times New Roman" w:cs="Times New Roman"/>
          <w:color w:val="000000"/>
          <w:sz w:val="24"/>
          <w:szCs w:val="24"/>
        </w:rPr>
        <w:t xml:space="preserve">Los autores del presente artículo agradecen las </w:t>
      </w:r>
      <w:r w:rsidR="0064506E" w:rsidRPr="003726A3">
        <w:rPr>
          <w:rFonts w:ascii="Times New Roman" w:hAnsi="Times New Roman" w:cs="Times New Roman"/>
          <w:color w:val="000000"/>
          <w:sz w:val="24"/>
          <w:szCs w:val="24"/>
        </w:rPr>
        <w:t xml:space="preserve">indicaciones realizadas por las personas </w:t>
      </w:r>
      <w:r w:rsidR="00037CA3">
        <w:rPr>
          <w:rFonts w:ascii="Times New Roman" w:hAnsi="Times New Roman" w:cs="Times New Roman"/>
          <w:color w:val="000000"/>
          <w:sz w:val="24"/>
          <w:szCs w:val="24"/>
        </w:rPr>
        <w:t>evaluadoras</w:t>
      </w:r>
      <w:r w:rsidR="0064506E" w:rsidRPr="003726A3">
        <w:rPr>
          <w:rFonts w:ascii="Times New Roman" w:hAnsi="Times New Roman" w:cs="Times New Roman"/>
          <w:color w:val="000000"/>
          <w:sz w:val="24"/>
          <w:szCs w:val="24"/>
        </w:rPr>
        <w:t xml:space="preserve"> del mismo, </w:t>
      </w:r>
      <w:r w:rsidR="003726A3">
        <w:rPr>
          <w:rFonts w:ascii="Times New Roman" w:hAnsi="Times New Roman" w:cs="Times New Roman"/>
          <w:color w:val="000000"/>
          <w:sz w:val="24"/>
          <w:szCs w:val="24"/>
        </w:rPr>
        <w:t xml:space="preserve">cuyas </w:t>
      </w:r>
      <w:r w:rsidR="0064506E" w:rsidRPr="003726A3">
        <w:rPr>
          <w:rFonts w:ascii="Times New Roman" w:hAnsi="Times New Roman" w:cs="Times New Roman"/>
          <w:color w:val="000000"/>
          <w:sz w:val="24"/>
          <w:szCs w:val="24"/>
        </w:rPr>
        <w:t xml:space="preserve">pautas han permitido una mejora significativa del texto y, con ello, de sus aportaciones a la investigación sociológica. </w:t>
      </w:r>
    </w:p>
    <w:p w:rsidR="0064506E" w:rsidRPr="003726A3" w:rsidRDefault="0064506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26A3">
        <w:rPr>
          <w:rFonts w:ascii="Times New Roman" w:hAnsi="Times New Roman" w:cs="Times New Roman"/>
          <w:color w:val="000000"/>
          <w:sz w:val="24"/>
          <w:szCs w:val="24"/>
        </w:rPr>
        <w:t xml:space="preserve">A nivel general, podríamos indicar que se han hecho referencias al papel del artículo dentro de un número monográfico sobre Bienestar Ocupacional y que, por ello, adquiere mayor complejidad y coherencia en coordinación con el resto de artículos incluidos en el mismo. Del mismo modo, y siguiendo las recomendaciones de los revisores/as A y D, se hace referencia en las conclusiones a la relación del artículo con aquellas áreas de la investigación sociológica que podrían beneficiarse del trabajo realizado. </w:t>
      </w:r>
    </w:p>
    <w:p w:rsidR="0064506E" w:rsidRPr="003726A3" w:rsidRDefault="0064506E" w:rsidP="0064506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26A3">
        <w:rPr>
          <w:rFonts w:ascii="Times New Roman" w:hAnsi="Times New Roman" w:cs="Times New Roman"/>
          <w:color w:val="000000"/>
          <w:sz w:val="24"/>
          <w:szCs w:val="24"/>
        </w:rPr>
        <w:t xml:space="preserve">En respuesta a las recomendaciones aportadas por el </w:t>
      </w:r>
      <w:r w:rsidR="00037CA3">
        <w:rPr>
          <w:rFonts w:ascii="Times New Roman" w:hAnsi="Times New Roman" w:cs="Times New Roman"/>
          <w:color w:val="000000"/>
          <w:sz w:val="24"/>
          <w:szCs w:val="24"/>
        </w:rPr>
        <w:t>evaluad</w:t>
      </w:r>
      <w:r w:rsidRPr="003726A3">
        <w:rPr>
          <w:rFonts w:ascii="Times New Roman" w:hAnsi="Times New Roman" w:cs="Times New Roman"/>
          <w:color w:val="000000"/>
          <w:sz w:val="24"/>
          <w:szCs w:val="24"/>
        </w:rPr>
        <w:t xml:space="preserve">or/a B, se ha eliminado el texto y la tabla resumen que diferenciaba productos o servicios de bienestar ocupacional vinculantes de los “casi vinculantes", por la confusión que podía producir en el texto y la dificultad para la explicación del caso español, en el que las mejoras voluntarias tienden a articularse a través de la negociación colectiva y, por tanto, </w:t>
      </w:r>
      <w:r w:rsidR="003726A3">
        <w:rPr>
          <w:rFonts w:ascii="Times New Roman" w:hAnsi="Times New Roman" w:cs="Times New Roman"/>
          <w:color w:val="000000"/>
          <w:sz w:val="24"/>
          <w:szCs w:val="24"/>
        </w:rPr>
        <w:t xml:space="preserve">ser </w:t>
      </w:r>
      <w:r w:rsidRPr="003726A3">
        <w:rPr>
          <w:rFonts w:ascii="Times New Roman" w:hAnsi="Times New Roman" w:cs="Times New Roman"/>
          <w:color w:val="000000"/>
          <w:sz w:val="24"/>
          <w:szCs w:val="24"/>
        </w:rPr>
        <w:t>vinculante</w:t>
      </w:r>
      <w:r w:rsidR="003726A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726A3">
        <w:rPr>
          <w:rFonts w:ascii="Times New Roman" w:hAnsi="Times New Roman" w:cs="Times New Roman"/>
          <w:color w:val="000000"/>
          <w:sz w:val="24"/>
          <w:szCs w:val="24"/>
        </w:rPr>
        <w:t xml:space="preserve">. Por otro lado, determinados servicios de bienestar ocupacional pueden a su vez, y dependiendo del sector o la empresa, interpretarse como vinculantes por negociación colectiva o como acción voluntaria de responsabilidad social.   </w:t>
      </w:r>
    </w:p>
    <w:p w:rsidR="00F52835" w:rsidRPr="003726A3" w:rsidRDefault="0064506E" w:rsidP="00F5283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26A3">
        <w:rPr>
          <w:rFonts w:ascii="Times New Roman" w:hAnsi="Times New Roman" w:cs="Times New Roman"/>
          <w:color w:val="000000"/>
          <w:sz w:val="24"/>
          <w:szCs w:val="24"/>
        </w:rPr>
        <w:t xml:space="preserve">Del mismo modo, se han eliminado las referencias conceptuales sobre la responsabilidad social empresarial, con objeto de focalizar el tema de estudio en el BO y evitar debates paralelos que pudiesen surgir ante la interpretación “unilateral” de la RSE, así como el papel y presión de los agentes sociales para lograr una mayor exigibilidad en las regulaciones e instrumentos de gestión empleados.  </w:t>
      </w:r>
      <w:r w:rsidR="00F52835" w:rsidRPr="003726A3">
        <w:rPr>
          <w:rFonts w:ascii="Times New Roman" w:hAnsi="Times New Roman" w:cs="Times New Roman"/>
          <w:color w:val="000000"/>
          <w:sz w:val="24"/>
          <w:szCs w:val="24"/>
        </w:rPr>
        <w:t>Así mismo, y p</w:t>
      </w:r>
      <w:r w:rsidRPr="003726A3">
        <w:rPr>
          <w:rFonts w:ascii="Times New Roman" w:hAnsi="Times New Roman" w:cs="Times New Roman"/>
          <w:color w:val="000000"/>
          <w:sz w:val="24"/>
          <w:szCs w:val="24"/>
        </w:rPr>
        <w:t xml:space="preserve">ara evitar una interpretación errónea del texto, que equipare la RSE a sus herramientas de elaboración de informes o memorias de sostenibilidad, se ha incluido un párrafo </w:t>
      </w:r>
      <w:r w:rsidR="003726A3">
        <w:rPr>
          <w:rFonts w:ascii="Times New Roman" w:hAnsi="Times New Roman" w:cs="Times New Roman"/>
          <w:color w:val="000000"/>
          <w:sz w:val="24"/>
          <w:szCs w:val="24"/>
        </w:rPr>
        <w:t xml:space="preserve">aclaratorio de la </w:t>
      </w:r>
      <w:r w:rsidRPr="003726A3">
        <w:rPr>
          <w:rFonts w:ascii="Times New Roman" w:hAnsi="Times New Roman" w:cs="Times New Roman"/>
          <w:color w:val="000000"/>
          <w:sz w:val="24"/>
          <w:szCs w:val="24"/>
        </w:rPr>
        <w:t>cuestión</w:t>
      </w:r>
      <w:r w:rsidR="00F52835" w:rsidRPr="003726A3">
        <w:rPr>
          <w:rFonts w:ascii="Times New Roman" w:hAnsi="Times New Roman" w:cs="Times New Roman"/>
          <w:color w:val="000000"/>
          <w:sz w:val="24"/>
          <w:szCs w:val="24"/>
        </w:rPr>
        <w:t xml:space="preserve"> (página 8)</w:t>
      </w:r>
      <w:r w:rsidRPr="003726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726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26A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52835" w:rsidRPr="003726A3">
        <w:rPr>
          <w:rFonts w:ascii="Times New Roman" w:hAnsi="Times New Roman" w:cs="Times New Roman"/>
          <w:color w:val="000000"/>
          <w:sz w:val="24"/>
          <w:szCs w:val="24"/>
        </w:rPr>
        <w:t>En atención a las indicaciones facilitadas por el revisor/a C, se ha mejorado la redacción de todo el texto, eliminando algunas estructuras complejas y párrafos de difícil justificación dentro de</w:t>
      </w:r>
      <w:r w:rsidR="003726A3">
        <w:rPr>
          <w:rFonts w:ascii="Times New Roman" w:hAnsi="Times New Roman" w:cs="Times New Roman"/>
          <w:color w:val="000000"/>
          <w:sz w:val="24"/>
          <w:szCs w:val="24"/>
        </w:rPr>
        <w:t xml:space="preserve"> diferentes </w:t>
      </w:r>
      <w:r w:rsidR="00F52835" w:rsidRPr="003726A3">
        <w:rPr>
          <w:rFonts w:ascii="Times New Roman" w:hAnsi="Times New Roman" w:cs="Times New Roman"/>
          <w:color w:val="000000"/>
          <w:sz w:val="24"/>
          <w:szCs w:val="24"/>
        </w:rPr>
        <w:t>apartados, especialmente en la conceptualización. Además, en la introducción se ha modificado la cuestión que habrá de orientar el resto del texto, con el fin de lograr mayor claridad conceptual y narrativa.</w:t>
      </w:r>
    </w:p>
    <w:p w:rsidR="00F52835" w:rsidRPr="003726A3" w:rsidRDefault="00F52835" w:rsidP="00F5283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26A3">
        <w:rPr>
          <w:rFonts w:ascii="Times New Roman" w:hAnsi="Times New Roman" w:cs="Times New Roman"/>
          <w:color w:val="000000"/>
          <w:sz w:val="24"/>
          <w:szCs w:val="24"/>
        </w:rPr>
        <w:t>También se han realizado todas las redacciones alternativas propuestas por los revisores/as para mejorar la comprensi</w:t>
      </w:r>
      <w:r w:rsidR="00037CA3">
        <w:rPr>
          <w:rFonts w:ascii="Times New Roman" w:hAnsi="Times New Roman" w:cs="Times New Roman"/>
          <w:color w:val="000000"/>
          <w:sz w:val="24"/>
          <w:szCs w:val="24"/>
        </w:rPr>
        <w:t xml:space="preserve">ón del texto, así como </w:t>
      </w:r>
      <w:proofErr w:type="gramStart"/>
      <w:r w:rsidR="00037CA3">
        <w:rPr>
          <w:rFonts w:ascii="Times New Roman" w:hAnsi="Times New Roman" w:cs="Times New Roman"/>
          <w:color w:val="000000"/>
          <w:sz w:val="24"/>
          <w:szCs w:val="24"/>
        </w:rPr>
        <w:t xml:space="preserve">evitado </w:t>
      </w:r>
      <w:r w:rsidRPr="003726A3">
        <w:rPr>
          <w:rFonts w:ascii="Times New Roman" w:hAnsi="Times New Roman" w:cs="Times New Roman"/>
          <w:color w:val="000000"/>
          <w:sz w:val="24"/>
          <w:szCs w:val="24"/>
        </w:rPr>
        <w:t>reiteraciones</w:t>
      </w:r>
      <w:proofErr w:type="gramEnd"/>
      <w:r w:rsidRPr="003726A3">
        <w:rPr>
          <w:rFonts w:ascii="Times New Roman" w:hAnsi="Times New Roman" w:cs="Times New Roman"/>
          <w:color w:val="000000"/>
          <w:sz w:val="24"/>
          <w:szCs w:val="24"/>
        </w:rPr>
        <w:t xml:space="preserve"> y repeticiones de términos y eliminado frases o párrafos indicados en la revisión como prescindibles o irrelevantes. En relación con estas recomendaciones, se ha eliminado el apartado sobre incentivos indirectos desde la AAPP, al no encontrarse recogido dentro de la estructura principal del texto y considera</w:t>
      </w:r>
      <w:r w:rsidR="003726A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726A3">
        <w:rPr>
          <w:rFonts w:ascii="Times New Roman" w:hAnsi="Times New Roman" w:cs="Times New Roman"/>
          <w:color w:val="000000"/>
          <w:sz w:val="24"/>
          <w:szCs w:val="24"/>
        </w:rPr>
        <w:t xml:space="preserve">do que podría valorarse en otros trabajos. </w:t>
      </w:r>
    </w:p>
    <w:p w:rsidR="00F52835" w:rsidRPr="003726A3" w:rsidRDefault="00F52835" w:rsidP="003726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26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Por último, en referencia a las fuentes de información, se han actualizado determinadas </w:t>
      </w:r>
      <w:r w:rsidR="00037CA3">
        <w:rPr>
          <w:rFonts w:ascii="Times New Roman" w:hAnsi="Times New Roman" w:cs="Times New Roman"/>
          <w:color w:val="000000"/>
          <w:sz w:val="24"/>
          <w:szCs w:val="24"/>
        </w:rPr>
        <w:t>referencias</w:t>
      </w:r>
      <w:r w:rsidRPr="003726A3">
        <w:rPr>
          <w:rFonts w:ascii="Times New Roman" w:hAnsi="Times New Roman" w:cs="Times New Roman"/>
          <w:color w:val="000000"/>
          <w:sz w:val="24"/>
          <w:szCs w:val="24"/>
        </w:rPr>
        <w:t xml:space="preserve"> bibliográficas, siguiendo las recomendaciones de las personas </w:t>
      </w:r>
      <w:r w:rsidR="00037CA3">
        <w:rPr>
          <w:rFonts w:ascii="Times New Roman" w:hAnsi="Times New Roman" w:cs="Times New Roman"/>
          <w:color w:val="000000"/>
          <w:sz w:val="24"/>
          <w:szCs w:val="24"/>
        </w:rPr>
        <w:t>evaluad</w:t>
      </w:r>
      <w:r w:rsidRPr="003726A3">
        <w:rPr>
          <w:rFonts w:ascii="Times New Roman" w:hAnsi="Times New Roman" w:cs="Times New Roman"/>
          <w:color w:val="000000"/>
          <w:sz w:val="24"/>
          <w:szCs w:val="24"/>
        </w:rPr>
        <w:t>oras, incluyendo, entre otras fuentes: Natali, D., Keune, M., Pavolini, E</w:t>
      </w:r>
      <w:r w:rsidR="003726A3">
        <w:rPr>
          <w:rFonts w:ascii="Times New Roman" w:hAnsi="Times New Roman" w:cs="Times New Roman"/>
          <w:color w:val="000000"/>
          <w:sz w:val="24"/>
          <w:szCs w:val="24"/>
        </w:rPr>
        <w:t xml:space="preserve">., y Seeleib-Kaiser, M. (2018). </w:t>
      </w:r>
      <w:r w:rsidRPr="003726A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Sixty years after Titmuss: New findings on </w:t>
      </w:r>
      <w:r w:rsidR="003726A3">
        <w:rPr>
          <w:rFonts w:ascii="Times New Roman" w:hAnsi="Times New Roman" w:cs="Times New Roman"/>
          <w:color w:val="000000"/>
          <w:sz w:val="24"/>
          <w:szCs w:val="24"/>
          <w:lang w:val="en-GB"/>
        </w:rPr>
        <w:t>occupational welfare in Europe</w:t>
      </w:r>
      <w:r w:rsidRPr="003726A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3726A3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Social Policy &amp; Administration</w:t>
      </w:r>
      <w:r w:rsidRPr="003726A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52(2), 435-448; Ispizua, E (2019). </w:t>
      </w:r>
      <w:r w:rsidRPr="003726A3">
        <w:rPr>
          <w:rFonts w:ascii="Times New Roman" w:hAnsi="Times New Roman" w:cs="Times New Roman"/>
          <w:i/>
          <w:color w:val="000000"/>
          <w:sz w:val="24"/>
          <w:szCs w:val="24"/>
        </w:rPr>
        <w:t>Las mejoras voluntarias de la Seguridad Social en España. Un estudio de la negociación colectiva.</w:t>
      </w:r>
      <w:r w:rsidRPr="003726A3">
        <w:rPr>
          <w:rFonts w:ascii="Times New Roman" w:hAnsi="Times New Roman" w:cs="Times New Roman"/>
          <w:color w:val="000000"/>
          <w:sz w:val="24"/>
          <w:szCs w:val="24"/>
        </w:rPr>
        <w:t xml:space="preserve"> Albacete: Bomarzo. También se han incluido referencias a autores que podrían participar en el presente monográfico al formar parte de un proyecto de investigación sobre Bienestar Ocupacional. </w:t>
      </w:r>
    </w:p>
    <w:p w:rsidR="0064506E" w:rsidRPr="003726A3" w:rsidRDefault="0064506E">
      <w:pPr>
        <w:rPr>
          <w:rFonts w:ascii="Times New Roman" w:hAnsi="Times New Roman" w:cs="Times New Roman"/>
          <w:sz w:val="24"/>
          <w:szCs w:val="24"/>
        </w:rPr>
      </w:pPr>
    </w:p>
    <w:sectPr w:rsidR="0064506E" w:rsidRPr="003726A3" w:rsidSect="00242537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12" w:rsidRDefault="00171112" w:rsidP="00EF4691">
      <w:pPr>
        <w:spacing w:after="0" w:line="240" w:lineRule="auto"/>
      </w:pPr>
      <w:r>
        <w:separator/>
      </w:r>
    </w:p>
  </w:endnote>
  <w:endnote w:type="continuationSeparator" w:id="0">
    <w:p w:rsidR="00171112" w:rsidRDefault="00171112" w:rsidP="00EF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65626"/>
      <w:docPartObj>
        <w:docPartGallery w:val="Page Numbers (Bottom of Page)"/>
        <w:docPartUnique/>
      </w:docPartObj>
    </w:sdtPr>
    <w:sdtEndPr/>
    <w:sdtContent>
      <w:p w:rsidR="0064506E" w:rsidRDefault="00037CA3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506E" w:rsidRDefault="006450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12" w:rsidRDefault="00171112" w:rsidP="00EF4691">
      <w:pPr>
        <w:spacing w:after="0" w:line="240" w:lineRule="auto"/>
      </w:pPr>
      <w:r>
        <w:separator/>
      </w:r>
    </w:p>
  </w:footnote>
  <w:footnote w:type="continuationSeparator" w:id="0">
    <w:p w:rsidR="00171112" w:rsidRDefault="00171112" w:rsidP="00EF4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BAC"/>
    <w:multiLevelType w:val="hybridMultilevel"/>
    <w:tmpl w:val="0C440E58"/>
    <w:lvl w:ilvl="0" w:tplc="B972CC6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3CD"/>
    <w:rsid w:val="00027BA2"/>
    <w:rsid w:val="00037CA3"/>
    <w:rsid w:val="00171112"/>
    <w:rsid w:val="001B458C"/>
    <w:rsid w:val="00242537"/>
    <w:rsid w:val="003726A3"/>
    <w:rsid w:val="00622E32"/>
    <w:rsid w:val="0064506E"/>
    <w:rsid w:val="0077662B"/>
    <w:rsid w:val="00DC03CD"/>
    <w:rsid w:val="00EF4691"/>
    <w:rsid w:val="00F52835"/>
    <w:rsid w:val="00FD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C03C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F4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4691"/>
  </w:style>
  <w:style w:type="paragraph" w:styleId="Piedepgina">
    <w:name w:val="footer"/>
    <w:basedOn w:val="Normal"/>
    <w:link w:val="PiedepginaCar"/>
    <w:uiPriority w:val="99"/>
    <w:unhideWhenUsed/>
    <w:rsid w:val="00EF4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691"/>
  </w:style>
  <w:style w:type="paragraph" w:styleId="Prrafodelista">
    <w:name w:val="List Paragraph"/>
    <w:basedOn w:val="Normal"/>
    <w:uiPriority w:val="34"/>
    <w:qFormat/>
    <w:rsid w:val="00F52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19714-1D27-4703-BA0C-79AA7844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antoniobp</dc:creator>
  <cp:lastModifiedBy>Elvira</cp:lastModifiedBy>
  <cp:revision>3</cp:revision>
  <cp:lastPrinted>2019-07-03T12:42:00Z</cp:lastPrinted>
  <dcterms:created xsi:type="dcterms:W3CDTF">2019-07-03T12:25:00Z</dcterms:created>
  <dcterms:modified xsi:type="dcterms:W3CDTF">2019-07-19T08:46:00Z</dcterms:modified>
</cp:coreProperties>
</file>