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18" w:rsidRPr="00246018" w:rsidRDefault="00246018" w:rsidP="00246018">
      <w:pPr>
        <w:spacing w:after="0" w:line="240" w:lineRule="auto"/>
        <w:jc w:val="both"/>
        <w:rPr>
          <w:rFonts w:ascii="Times New Roman" w:eastAsia="MS Mincho" w:hAnsi="Times New Roman" w:cs="Times New Roman"/>
          <w:b/>
          <w:lang w:val="es-ES_tradnl" w:eastAsia="es-ES"/>
        </w:rPr>
      </w:pPr>
      <w:r w:rsidRPr="00246018">
        <w:rPr>
          <w:rFonts w:ascii="Times New Roman" w:eastAsia="MS Mincho" w:hAnsi="Times New Roman" w:cs="Times New Roman"/>
          <w:lang w:val="es-ES_tradnl" w:eastAsia="es-ES"/>
        </w:rPr>
        <w:t>Tabla 1.</w:t>
      </w:r>
      <w:r w:rsidRPr="00246018">
        <w:rPr>
          <w:rFonts w:ascii="Times New Roman" w:eastAsia="MS Mincho" w:hAnsi="Times New Roman" w:cs="Times New Roman"/>
          <w:b/>
          <w:lang w:val="es-ES_tradnl" w:eastAsia="es-ES"/>
        </w:rPr>
        <w:t xml:space="preserve"> </w:t>
      </w:r>
      <w:r w:rsidRPr="00246018">
        <w:rPr>
          <w:rFonts w:ascii="Times New Roman" w:eastAsia="MS Mincho" w:hAnsi="Times New Roman" w:cs="Times New Roman"/>
          <w:lang w:val="es-ES_tradnl" w:eastAsia="es-ES"/>
        </w:rPr>
        <w:t xml:space="preserve">Viejos y nuevos riesgos sociales. </w:t>
      </w:r>
    </w:p>
    <w:tbl>
      <w:tblPr>
        <w:tblStyle w:val="Tablanormal21"/>
        <w:tblW w:w="0" w:type="auto"/>
        <w:tblLook w:val="04A0" w:firstRow="1" w:lastRow="0" w:firstColumn="1" w:lastColumn="0" w:noHBand="0" w:noVBand="1"/>
      </w:tblPr>
      <w:tblGrid>
        <w:gridCol w:w="1074"/>
        <w:gridCol w:w="2469"/>
        <w:gridCol w:w="5177"/>
      </w:tblGrid>
      <w:tr w:rsidR="00246018" w:rsidRPr="00246018" w:rsidTr="00C637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gridSpan w:val="2"/>
          </w:tcPr>
          <w:p w:rsidR="00246018" w:rsidRPr="00246018" w:rsidRDefault="00246018" w:rsidP="00246018">
            <w:pPr>
              <w:rPr>
                <w:rFonts w:ascii="Times New Roman" w:hAnsi="Times New Roman" w:cs="Times New Roman"/>
              </w:rPr>
            </w:pPr>
            <w:r w:rsidRPr="00246018">
              <w:rPr>
                <w:rFonts w:ascii="Times New Roman" w:hAnsi="Times New Roman" w:cs="Times New Roman"/>
              </w:rPr>
              <w:t>Riesgos</w:t>
            </w:r>
          </w:p>
        </w:tc>
        <w:tc>
          <w:tcPr>
            <w:tcW w:w="5978" w:type="dxa"/>
          </w:tcPr>
          <w:p w:rsidR="00246018" w:rsidRPr="00246018" w:rsidRDefault="00246018" w:rsidP="0024601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Ejemplos de beneficios y servicios</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rsidR="00246018" w:rsidRPr="00246018" w:rsidRDefault="00246018" w:rsidP="00246018">
            <w:pPr>
              <w:rPr>
                <w:rFonts w:ascii="Times New Roman" w:hAnsi="Times New Roman" w:cs="Times New Roman"/>
              </w:rPr>
            </w:pPr>
            <w:r w:rsidRPr="00246018">
              <w:rPr>
                <w:rFonts w:ascii="Times New Roman" w:hAnsi="Times New Roman" w:cs="Times New Roman"/>
              </w:rPr>
              <w:t xml:space="preserve">Viejos </w:t>
            </w:r>
          </w:p>
        </w:tc>
        <w:tc>
          <w:tcPr>
            <w:tcW w:w="2693" w:type="dxa"/>
            <w:vAlign w:val="center"/>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Vejez, pensiones</w:t>
            </w:r>
          </w:p>
        </w:tc>
        <w:tc>
          <w:tcPr>
            <w:tcW w:w="5978" w:type="dxa"/>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Planes y fondos de pensiones, seguros de vida, etc.</w:t>
            </w: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1101" w:type="dxa"/>
            <w:vMerge/>
            <w:vAlign w:val="center"/>
          </w:tcPr>
          <w:p w:rsidR="00246018" w:rsidRPr="00246018" w:rsidRDefault="00246018" w:rsidP="00246018">
            <w:pPr>
              <w:rPr>
                <w:rFonts w:ascii="Times New Roman" w:hAnsi="Times New Roman" w:cs="Times New Roman"/>
              </w:rPr>
            </w:pPr>
          </w:p>
        </w:tc>
        <w:tc>
          <w:tcPr>
            <w:tcW w:w="2693" w:type="dxa"/>
            <w:vAlign w:val="center"/>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Salud</w:t>
            </w:r>
          </w:p>
        </w:tc>
        <w:tc>
          <w:tcPr>
            <w:tcW w:w="5978" w:type="dxa"/>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Seguros y ayudas de asistencia sanitaria, de enfermedad o discapacidad, etc.</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ign w:val="center"/>
          </w:tcPr>
          <w:p w:rsidR="00246018" w:rsidRPr="00246018" w:rsidRDefault="00246018" w:rsidP="00246018">
            <w:pPr>
              <w:rPr>
                <w:rFonts w:ascii="Times New Roman" w:hAnsi="Times New Roman" w:cs="Times New Roman"/>
              </w:rPr>
            </w:pPr>
          </w:p>
        </w:tc>
        <w:tc>
          <w:tcPr>
            <w:tcW w:w="2693" w:type="dxa"/>
            <w:vAlign w:val="center"/>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Desempleo</w:t>
            </w:r>
          </w:p>
        </w:tc>
        <w:tc>
          <w:tcPr>
            <w:tcW w:w="5978" w:type="dxa"/>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Servicios de búsqueda de empleo, recualificación y recolocación ante despido (</w:t>
            </w:r>
            <w:r w:rsidRPr="00246018">
              <w:rPr>
                <w:rFonts w:ascii="Times New Roman" w:hAnsi="Times New Roman" w:cs="Times New Roman"/>
                <w:i/>
              </w:rPr>
              <w:t>outplacement</w:t>
            </w:r>
            <w:r w:rsidRPr="00246018">
              <w:rPr>
                <w:rFonts w:ascii="Times New Roman" w:hAnsi="Times New Roman" w:cs="Times New Roman"/>
              </w:rPr>
              <w:t>), etc.</w:t>
            </w: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rsidR="00246018" w:rsidRPr="00246018" w:rsidRDefault="00246018" w:rsidP="00246018">
            <w:pPr>
              <w:rPr>
                <w:rFonts w:ascii="Times New Roman" w:hAnsi="Times New Roman" w:cs="Times New Roman"/>
              </w:rPr>
            </w:pPr>
            <w:r w:rsidRPr="00246018">
              <w:rPr>
                <w:rFonts w:ascii="Times New Roman" w:hAnsi="Times New Roman" w:cs="Times New Roman"/>
              </w:rPr>
              <w:t xml:space="preserve">Nuevos </w:t>
            </w:r>
          </w:p>
        </w:tc>
        <w:tc>
          <w:tcPr>
            <w:tcW w:w="2693" w:type="dxa"/>
            <w:vAlign w:val="center"/>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Formación continua</w:t>
            </w:r>
          </w:p>
        </w:tc>
        <w:tc>
          <w:tcPr>
            <w:tcW w:w="5978" w:type="dxa"/>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xml:space="preserve">Formación y desarrollo de competencias, ayudas y permisos para estudios, etc. </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ign w:val="center"/>
          </w:tcPr>
          <w:p w:rsidR="00246018" w:rsidRPr="00246018" w:rsidRDefault="00246018" w:rsidP="00246018">
            <w:pPr>
              <w:rPr>
                <w:rFonts w:ascii="Times New Roman" w:hAnsi="Times New Roman" w:cs="Times New Roman"/>
              </w:rPr>
            </w:pPr>
          </w:p>
        </w:tc>
        <w:tc>
          <w:tcPr>
            <w:tcW w:w="2693" w:type="dxa"/>
            <w:vAlign w:val="center"/>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Conciliación, flexibilidad horaria</w:t>
            </w:r>
          </w:p>
        </w:tc>
        <w:tc>
          <w:tcPr>
            <w:tcW w:w="5978" w:type="dxa"/>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xml:space="preserve">Horario flexible, programas de gestión del estrés, teletrabajo, servicios de guardería, apoyo a familias, etc. </w:t>
            </w: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1101" w:type="dxa"/>
            <w:vMerge/>
            <w:vAlign w:val="center"/>
          </w:tcPr>
          <w:p w:rsidR="00246018" w:rsidRPr="00246018" w:rsidRDefault="00246018" w:rsidP="00246018">
            <w:pPr>
              <w:rPr>
                <w:rFonts w:ascii="Times New Roman" w:hAnsi="Times New Roman" w:cs="Times New Roman"/>
              </w:rPr>
            </w:pPr>
          </w:p>
        </w:tc>
        <w:tc>
          <w:tcPr>
            <w:tcW w:w="2693" w:type="dxa"/>
            <w:vAlign w:val="center"/>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Otras ayudas sociales</w:t>
            </w:r>
          </w:p>
        </w:tc>
        <w:tc>
          <w:tcPr>
            <w:tcW w:w="5978" w:type="dxa"/>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246018">
              <w:rPr>
                <w:rFonts w:ascii="Times New Roman" w:hAnsi="Times New Roman" w:cs="Times New Roman"/>
              </w:rPr>
              <w:t xml:space="preserve">Transporte, comida, vivienda, actividades de ocio, servicios </w:t>
            </w:r>
            <w:r w:rsidRPr="00246018">
              <w:rPr>
                <w:rFonts w:ascii="Times New Roman" w:hAnsi="Times New Roman" w:cs="Times New Roman"/>
                <w:i/>
              </w:rPr>
              <w:t xml:space="preserve">wellness. </w:t>
            </w:r>
          </w:p>
        </w:tc>
      </w:tr>
    </w:tbl>
    <w:p w:rsidR="00246018" w:rsidRPr="00246018" w:rsidRDefault="00246018" w:rsidP="00246018">
      <w:pPr>
        <w:spacing w:after="0" w:line="240" w:lineRule="auto"/>
        <w:jc w:val="both"/>
        <w:rPr>
          <w:rFonts w:ascii="Times New Roman" w:eastAsia="MS Mincho" w:hAnsi="Times New Roman" w:cs="Times New Roman"/>
          <w:sz w:val="24"/>
          <w:szCs w:val="24"/>
          <w:lang w:val="es-ES_tradnl" w:eastAsia="es-ES"/>
        </w:rPr>
      </w:pPr>
      <w:r w:rsidRPr="00246018">
        <w:rPr>
          <w:rFonts w:ascii="Times New Roman" w:eastAsia="MS Mincho" w:hAnsi="Times New Roman" w:cs="Times New Roman"/>
          <w:i/>
          <w:sz w:val="24"/>
          <w:szCs w:val="24"/>
          <w:lang w:val="es-ES_tradnl" w:eastAsia="es-ES"/>
        </w:rPr>
        <w:t>Fuente</w:t>
      </w:r>
      <w:r w:rsidRPr="00246018">
        <w:rPr>
          <w:rFonts w:ascii="Times New Roman" w:eastAsia="MS Mincho" w:hAnsi="Times New Roman" w:cs="Times New Roman"/>
          <w:sz w:val="24"/>
          <w:szCs w:val="24"/>
          <w:lang w:val="es-ES_tradnl" w:eastAsia="es-ES"/>
        </w:rPr>
        <w:t xml:space="preserve">: Adaptado de </w:t>
      </w:r>
      <w:r w:rsidRPr="00555984">
        <w:rPr>
          <w:rFonts w:ascii="&amp;quot" w:eastAsia="Times New Roman" w:hAnsi="&amp;quot" w:cs="Times New Roman"/>
          <w:b/>
          <w:bCs/>
          <w:color w:val="111111"/>
          <w:sz w:val="18"/>
          <w:szCs w:val="18"/>
          <w:lang w:eastAsia="es-ES"/>
        </w:rPr>
        <w:t>//anonimizado//</w:t>
      </w:r>
      <w:r w:rsidRPr="00246018">
        <w:rPr>
          <w:rFonts w:ascii="Times New Roman" w:eastAsia="MS Mincho" w:hAnsi="Times New Roman" w:cs="Times New Roman"/>
          <w:sz w:val="24"/>
          <w:szCs w:val="24"/>
          <w:lang w:val="es-ES_tradnl" w:eastAsia="es-ES"/>
        </w:rPr>
        <w:t xml:space="preserve"> </w:t>
      </w:r>
      <w:r w:rsidRPr="00246018">
        <w:rPr>
          <w:rFonts w:ascii="Times New Roman" w:eastAsia="MS Mincho" w:hAnsi="Times New Roman" w:cs="Times New Roman"/>
          <w:sz w:val="24"/>
          <w:szCs w:val="24"/>
          <w:lang w:val="es-ES_tradnl" w:eastAsia="es-ES"/>
        </w:rPr>
        <w:t>(2019: 11)</w:t>
      </w:r>
    </w:p>
    <w:p w:rsidR="00246018" w:rsidRDefault="00246018">
      <w:pPr>
        <w:rPr>
          <w:lang w:val="es-ES_tradnl"/>
        </w:rPr>
      </w:pPr>
    </w:p>
    <w:p w:rsidR="00246018" w:rsidRPr="00246018" w:rsidRDefault="00246018" w:rsidP="00246018">
      <w:pPr>
        <w:spacing w:after="0" w:line="240" w:lineRule="auto"/>
        <w:jc w:val="both"/>
        <w:rPr>
          <w:rFonts w:ascii="Times New Roman" w:eastAsia="MS Mincho" w:hAnsi="Times New Roman" w:cs="Times New Roman"/>
          <w:bCs/>
          <w:noProof/>
          <w:lang w:val="es-ES_tradnl" w:eastAsia="es-ES"/>
        </w:rPr>
      </w:pPr>
      <w:r w:rsidRPr="00246018">
        <w:rPr>
          <w:rFonts w:ascii="Times New Roman" w:eastAsia="MS Mincho" w:hAnsi="Times New Roman" w:cs="Times New Roman"/>
          <w:lang w:val="es-ES_tradnl" w:eastAsia="es-ES"/>
        </w:rPr>
        <w:t>Tabla 2</w:t>
      </w:r>
      <w:r w:rsidRPr="00246018">
        <w:rPr>
          <w:rFonts w:ascii="Times New Roman" w:eastAsia="MS Mincho" w:hAnsi="Times New Roman" w:cs="Times New Roman"/>
          <w:b/>
          <w:lang w:val="es-ES_tradnl" w:eastAsia="es-ES"/>
        </w:rPr>
        <w:t xml:space="preserve">. </w:t>
      </w:r>
      <w:r w:rsidRPr="00246018">
        <w:rPr>
          <w:rFonts w:ascii="Times New Roman" w:eastAsia="MS Mincho" w:hAnsi="Times New Roman" w:cs="Times New Roman"/>
          <w:lang w:val="es-ES_tradnl" w:eastAsia="es-ES"/>
        </w:rPr>
        <w:t>Segundo pilar del sistema de previsión social, instrumentos de mejora directa de las prestaciones.</w:t>
      </w:r>
    </w:p>
    <w:tbl>
      <w:tblPr>
        <w:tblStyle w:val="Tablanormal211"/>
        <w:tblW w:w="5000" w:type="pct"/>
        <w:tblLook w:val="04A0" w:firstRow="1" w:lastRow="0" w:firstColumn="1" w:lastColumn="0" w:noHBand="0" w:noVBand="1"/>
      </w:tblPr>
      <w:tblGrid>
        <w:gridCol w:w="674"/>
        <w:gridCol w:w="1205"/>
        <w:gridCol w:w="1493"/>
        <w:gridCol w:w="1561"/>
        <w:gridCol w:w="2128"/>
        <w:gridCol w:w="1659"/>
      </w:tblGrid>
      <w:tr w:rsidR="00246018" w:rsidRPr="00246018" w:rsidTr="00C637B0">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078" w:type="pct"/>
            <w:gridSpan w:val="2"/>
            <w:vMerge w:val="restart"/>
            <w:tcBorders>
              <w:top w:val="single" w:sz="4" w:space="0" w:color="auto"/>
            </w:tcBorders>
          </w:tcPr>
          <w:p w:rsidR="00246018" w:rsidRPr="00246018" w:rsidRDefault="00246018" w:rsidP="00246018">
            <w:pPr>
              <w:jc w:val="center"/>
              <w:rPr>
                <w:rFonts w:ascii="Times New Roman" w:hAnsi="Times New Roman" w:cs="Times New Roman"/>
              </w:rPr>
            </w:pPr>
          </w:p>
        </w:tc>
        <w:tc>
          <w:tcPr>
            <w:tcW w:w="3922" w:type="pct"/>
            <w:gridSpan w:val="4"/>
          </w:tcPr>
          <w:p w:rsidR="00246018" w:rsidRPr="00246018" w:rsidRDefault="00246018" w:rsidP="002460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Instrumentos de mejora directa de las prestaciones</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1078" w:type="pct"/>
            <w:gridSpan w:val="2"/>
            <w:vMerge/>
          </w:tcPr>
          <w:p w:rsidR="00246018" w:rsidRPr="00246018" w:rsidRDefault="00246018" w:rsidP="00246018">
            <w:pPr>
              <w:jc w:val="both"/>
              <w:rPr>
                <w:rFonts w:ascii="Times New Roman" w:hAnsi="Times New Roman" w:cs="Times New Roman"/>
              </w:rPr>
            </w:pPr>
          </w:p>
        </w:tc>
        <w:tc>
          <w:tcPr>
            <w:tcW w:w="85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Planes de pensiones de empleo</w:t>
            </w:r>
          </w:p>
        </w:tc>
        <w:tc>
          <w:tcPr>
            <w:tcW w:w="895"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xml:space="preserve">Seguros colectivos. </w:t>
            </w:r>
          </w:p>
        </w:tc>
        <w:tc>
          <w:tcPr>
            <w:tcW w:w="1220"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Planes de previsión social empresarial</w:t>
            </w:r>
          </w:p>
        </w:tc>
        <w:tc>
          <w:tcPr>
            <w:tcW w:w="951"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Seguros colectivos de dependencia</w:t>
            </w: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387" w:type="pct"/>
            <w:vMerge w:val="restart"/>
            <w:textDirection w:val="btLr"/>
          </w:tcPr>
          <w:p w:rsidR="00246018" w:rsidRPr="00246018" w:rsidRDefault="00246018" w:rsidP="00246018">
            <w:pPr>
              <w:jc w:val="center"/>
              <w:rPr>
                <w:rFonts w:ascii="Times New Roman" w:hAnsi="Times New Roman" w:cs="Times New Roman"/>
              </w:rPr>
            </w:pPr>
            <w:r w:rsidRPr="00246018">
              <w:rPr>
                <w:rFonts w:ascii="Times New Roman" w:hAnsi="Times New Roman" w:cs="Times New Roman"/>
              </w:rPr>
              <w:t>Regulación legislativa</w:t>
            </w:r>
          </w:p>
        </w:tc>
        <w:tc>
          <w:tcPr>
            <w:tcW w:w="691" w:type="pct"/>
          </w:tcPr>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Social  laboral</w:t>
            </w:r>
          </w:p>
        </w:tc>
        <w:tc>
          <w:tcPr>
            <w:tcW w:w="1751" w:type="pct"/>
            <w:gridSpan w:val="2"/>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Directiva Comunitaria 80/987, de 20 de octubre (relativa a la protección de los trabajadores asalariados en caso de insolvencia del empresario), para que éstos y otros derechos no quedaran sin contenido.</w:t>
            </w:r>
          </w:p>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46018">
              <w:rPr>
                <w:rFonts w:ascii="Times New Roman" w:hAnsi="Times New Roman" w:cs="Times New Roman"/>
              </w:rPr>
              <w:t>-</w:t>
            </w:r>
            <w:r w:rsidRPr="00246018">
              <w:rPr>
                <w:rFonts w:ascii="Times New Roman" w:eastAsia="Times New Roman" w:hAnsi="Times New Roman" w:cs="Times New Roman"/>
              </w:rPr>
              <w:t xml:space="preserve"> </w:t>
            </w:r>
            <w:r w:rsidRPr="00246018">
              <w:rPr>
                <w:rFonts w:ascii="Times New Roman" w:hAnsi="Times New Roman" w:cs="Times New Roman"/>
                <w:bCs/>
              </w:rPr>
              <w:t>Real Decreto Legislativo 1/2002, de 29 de noviembre, por el que se aprueba el texto refundido de la Ley de Regulación de los Planes y Fondos de Pensiones</w:t>
            </w:r>
          </w:p>
        </w:tc>
        <w:tc>
          <w:tcPr>
            <w:tcW w:w="1220"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Reglamento de Instrumentación de los compromisos por pensiones de las empresas con los trabajadores y beneficiarios, aprobado por RD 1588/1999, de 15 de octubre, modificado por el RD 1684/2007, de 14 de diciembre.</w:t>
            </w:r>
          </w:p>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RD 8/2015, de 30 de octubre, por el que se aprueba el texto refundido de la Ley General de la SS</w:t>
            </w:r>
          </w:p>
        </w:tc>
        <w:tc>
          <w:tcPr>
            <w:tcW w:w="951"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Ley de promoción de la autonomía personal y atención a las personas en situación de dependencia</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pct"/>
            <w:vMerge/>
          </w:tcPr>
          <w:p w:rsidR="00246018" w:rsidRPr="00246018" w:rsidRDefault="00246018" w:rsidP="00246018">
            <w:pPr>
              <w:jc w:val="both"/>
              <w:rPr>
                <w:rFonts w:ascii="Times New Roman" w:hAnsi="Times New Roman" w:cs="Times New Roman"/>
              </w:rPr>
            </w:pPr>
          </w:p>
        </w:tc>
        <w:tc>
          <w:tcPr>
            <w:tcW w:w="691" w:type="pct"/>
          </w:tcPr>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Mercantil</w:t>
            </w:r>
          </w:p>
        </w:tc>
        <w:tc>
          <w:tcPr>
            <w:tcW w:w="3922" w:type="pct"/>
            <w:gridSpan w:val="4"/>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Ley 2/2011, de 4 de marzo, de Economía Sostenible (Art. 30).</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Reglamento de Planes y Fondos de Pensiones.</w:t>
            </w: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387" w:type="pct"/>
            <w:vMerge/>
          </w:tcPr>
          <w:p w:rsidR="00246018" w:rsidRPr="00246018" w:rsidRDefault="00246018" w:rsidP="00246018">
            <w:pPr>
              <w:jc w:val="both"/>
              <w:rPr>
                <w:rFonts w:ascii="Times New Roman" w:hAnsi="Times New Roman" w:cs="Times New Roman"/>
              </w:rPr>
            </w:pPr>
          </w:p>
        </w:tc>
        <w:tc>
          <w:tcPr>
            <w:tcW w:w="691" w:type="pct"/>
          </w:tcPr>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Fiscal</w:t>
            </w:r>
          </w:p>
        </w:tc>
        <w:tc>
          <w:tcPr>
            <w:tcW w:w="3922" w:type="pct"/>
            <w:gridSpan w:val="4"/>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6018">
              <w:rPr>
                <w:rFonts w:ascii="Times New Roman" w:hAnsi="Times New Roman" w:cs="Times New Roman"/>
              </w:rPr>
              <w:t>- Ley 35/2006, de 28 de noviembre del IRPF (artículo 51)</w:t>
            </w:r>
          </w:p>
        </w:tc>
      </w:tr>
    </w:tbl>
    <w:p w:rsidR="00246018" w:rsidRDefault="00246018" w:rsidP="00246018">
      <w:pPr>
        <w:spacing w:after="0" w:line="240" w:lineRule="auto"/>
        <w:jc w:val="both"/>
        <w:rPr>
          <w:rFonts w:ascii="Times New Roman" w:eastAsia="MS Mincho" w:hAnsi="Times New Roman" w:cs="Times New Roman"/>
          <w:lang w:val="es-ES_tradnl" w:eastAsia="es-ES"/>
        </w:rPr>
      </w:pPr>
      <w:r w:rsidRPr="00246018">
        <w:rPr>
          <w:rFonts w:ascii="Times New Roman" w:eastAsia="MS Mincho" w:hAnsi="Times New Roman" w:cs="Times New Roman"/>
          <w:i/>
          <w:lang w:val="es-ES_tradnl" w:eastAsia="es-ES"/>
        </w:rPr>
        <w:t>Fuente</w:t>
      </w:r>
      <w:r w:rsidRPr="00246018">
        <w:rPr>
          <w:rFonts w:ascii="Times New Roman" w:eastAsia="MS Mincho" w:hAnsi="Times New Roman" w:cs="Times New Roman"/>
          <w:lang w:val="es-ES_tradnl" w:eastAsia="es-ES"/>
        </w:rPr>
        <w:t xml:space="preserve">: Elaboración propia a partir de Ministerio de Economía, Industria y Competitividad (2016).  </w:t>
      </w:r>
    </w:p>
    <w:p w:rsidR="00246018" w:rsidRDefault="00246018" w:rsidP="00246018">
      <w:pPr>
        <w:spacing w:after="0" w:line="240" w:lineRule="auto"/>
        <w:jc w:val="both"/>
        <w:rPr>
          <w:rFonts w:ascii="Times New Roman" w:eastAsia="MS Mincho" w:hAnsi="Times New Roman" w:cs="Times New Roman"/>
          <w:lang w:val="es-ES_tradnl" w:eastAsia="es-ES"/>
        </w:rPr>
      </w:pPr>
    </w:p>
    <w:p w:rsidR="00246018" w:rsidRDefault="00246018" w:rsidP="00246018">
      <w:pPr>
        <w:spacing w:after="0" w:line="240" w:lineRule="auto"/>
        <w:jc w:val="both"/>
        <w:rPr>
          <w:rFonts w:ascii="Times New Roman" w:eastAsia="MS Mincho" w:hAnsi="Times New Roman" w:cs="Times New Roman"/>
          <w:shd w:val="clear" w:color="auto" w:fill="FFFFFF"/>
          <w:lang w:val="es-ES_tradnl" w:eastAsia="es-ES"/>
        </w:rPr>
        <w:sectPr w:rsidR="00246018" w:rsidSect="00246018">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09" w:footer="709" w:gutter="0"/>
          <w:cols w:space="708"/>
          <w:docGrid w:linePitch="360"/>
        </w:sectPr>
      </w:pPr>
    </w:p>
    <w:p w:rsidR="00246018" w:rsidRPr="00246018" w:rsidRDefault="00246018" w:rsidP="00246018">
      <w:pPr>
        <w:spacing w:after="0" w:line="240" w:lineRule="auto"/>
        <w:jc w:val="both"/>
        <w:rPr>
          <w:rFonts w:ascii="Times New Roman" w:eastAsia="MS Mincho" w:hAnsi="Times New Roman" w:cs="Times New Roman"/>
          <w:shd w:val="clear" w:color="auto" w:fill="FFFFFF"/>
          <w:lang w:val="es-ES_tradnl" w:eastAsia="es-ES"/>
        </w:rPr>
      </w:pPr>
      <w:r w:rsidRPr="00246018">
        <w:rPr>
          <w:rFonts w:ascii="Times New Roman" w:eastAsia="MS Mincho" w:hAnsi="Times New Roman" w:cs="Times New Roman"/>
          <w:shd w:val="clear" w:color="auto" w:fill="FFFFFF"/>
          <w:lang w:val="es-ES_tradnl" w:eastAsia="es-ES"/>
        </w:rPr>
        <w:lastRenderedPageBreak/>
        <w:t>Anexo1. Ámbitos del BO. Marco jurídico</w:t>
      </w:r>
    </w:p>
    <w:p w:rsidR="00246018" w:rsidRPr="00246018" w:rsidRDefault="00246018" w:rsidP="00246018">
      <w:pPr>
        <w:spacing w:after="0" w:line="240" w:lineRule="auto"/>
        <w:jc w:val="both"/>
        <w:rPr>
          <w:rFonts w:ascii="Times New Roman" w:eastAsia="MS Mincho" w:hAnsi="Times New Roman" w:cs="Times New Roman"/>
          <w:sz w:val="24"/>
          <w:szCs w:val="24"/>
          <w:shd w:val="clear" w:color="auto" w:fill="FFFFFF"/>
          <w:lang w:val="es-ES_tradnl" w:eastAsia="es-ES"/>
        </w:rPr>
      </w:pPr>
    </w:p>
    <w:tbl>
      <w:tblPr>
        <w:tblStyle w:val="Tablanormal212"/>
        <w:tblW w:w="5000" w:type="pct"/>
        <w:tblLook w:val="04A0" w:firstRow="1" w:lastRow="0" w:firstColumn="1" w:lastColumn="0" w:noHBand="0" w:noVBand="1"/>
      </w:tblPr>
      <w:tblGrid>
        <w:gridCol w:w="2967"/>
        <w:gridCol w:w="5011"/>
        <w:gridCol w:w="6240"/>
      </w:tblGrid>
      <w:tr w:rsidR="00246018" w:rsidRPr="00246018" w:rsidTr="00C637B0">
        <w:trPr>
          <w:cnfStyle w:val="100000000000" w:firstRow="1" w:lastRow="0" w:firstColumn="0" w:lastColumn="0" w:oddVBand="0" w:evenVBand="0" w:oddHBand="0"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043" w:type="pct"/>
          </w:tcPr>
          <w:p w:rsidR="00246018" w:rsidRPr="00246018" w:rsidRDefault="00246018" w:rsidP="00246018">
            <w:pPr>
              <w:jc w:val="center"/>
              <w:rPr>
                <w:rFonts w:ascii="Times New Roman" w:eastAsia="Cambria" w:hAnsi="Times New Roman" w:cs="Times New Roman"/>
              </w:rPr>
            </w:pPr>
            <w:r w:rsidRPr="00246018">
              <w:rPr>
                <w:rFonts w:ascii="Times New Roman" w:eastAsia="Cambria" w:hAnsi="Times New Roman" w:cs="Times New Roman"/>
              </w:rPr>
              <w:t>Ámbitos</w:t>
            </w:r>
          </w:p>
        </w:tc>
        <w:tc>
          <w:tcPr>
            <w:tcW w:w="1762" w:type="pct"/>
            <w:hideMark/>
          </w:tcPr>
          <w:p w:rsidR="00246018" w:rsidRPr="00246018" w:rsidRDefault="00246018" w:rsidP="00246018">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UE</w:t>
            </w:r>
          </w:p>
        </w:tc>
        <w:tc>
          <w:tcPr>
            <w:tcW w:w="2194" w:type="pct"/>
          </w:tcPr>
          <w:p w:rsidR="00246018" w:rsidRPr="00246018" w:rsidRDefault="00246018" w:rsidP="00246018">
            <w:pPr>
              <w:jc w:val="center"/>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España</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hideMark/>
          </w:tcPr>
          <w:p w:rsidR="00246018" w:rsidRPr="00246018" w:rsidRDefault="00246018" w:rsidP="00246018">
            <w:pPr>
              <w:jc w:val="both"/>
              <w:rPr>
                <w:rFonts w:ascii="Times New Roman" w:eastAsia="Cambria" w:hAnsi="Times New Roman" w:cs="Times New Roman"/>
              </w:rPr>
            </w:pPr>
            <w:r w:rsidRPr="00246018">
              <w:rPr>
                <w:rFonts w:ascii="Times New Roman" w:eastAsia="Cambria" w:hAnsi="Times New Roman" w:cs="Times New Roman"/>
              </w:rPr>
              <w:t>Protección social y condiciones de trabajo</w:t>
            </w:r>
          </w:p>
        </w:tc>
        <w:tc>
          <w:tcPr>
            <w:tcW w:w="1762" w:type="pct"/>
          </w:tcPr>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Directiva 80/987/CEE del Consejo, de 20 de octubre de 1980, sobre la aproximación de las legislaciones de los Estados Miembros relativas a la protección de los trabajadores asalariados en caso de insolvencia del empresario.</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Directiva 2003/41/CE sobre actividad y supervisión de fondos pensiones de empleo</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Reglamento comunitario 883/2004 sobre la Coordinación de los Sistemas de SS</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Reglamento comunitario 987/2009 por el que se adoptan las normas de aplicación del Reglamento (CE) nº 883/2004, sobre la coordinación de los sistemas de SS</w:t>
            </w:r>
          </w:p>
        </w:tc>
        <w:tc>
          <w:tcPr>
            <w:tcW w:w="2194" w:type="pct"/>
          </w:tcPr>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RD 2064/1995 de la SS española</w:t>
            </w:r>
            <w:r w:rsidRPr="00246018">
              <w:rPr>
                <w:rFonts w:ascii="Times New Roman" w:hAnsi="Times New Roman" w:cs="Times New Roman"/>
              </w:rPr>
              <w:t xml:space="preserve"> </w:t>
            </w:r>
            <w:r w:rsidRPr="00246018">
              <w:rPr>
                <w:rFonts w:ascii="Times New Roman" w:eastAsia="Cambria" w:hAnsi="Times New Roman" w:cs="Times New Roman"/>
              </w:rPr>
              <w:t xml:space="preserve">por el que se aprueba el Reglamento General sobre Cotización y Liquidación de otros Derechos de la SS. </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Real Decreto Legislativo 1/2002, de 29 de noviembre, por el que se aprueba el texto refundido de la Ley de Regulación de los Planes y Fondos de Pensiones</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RD 8/2015 por el que se aprueba el texto refundido de la Ley General de la SS</w:t>
            </w: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1043" w:type="pct"/>
            <w:hideMark/>
          </w:tcPr>
          <w:p w:rsidR="00246018" w:rsidRPr="00246018" w:rsidRDefault="00246018" w:rsidP="00246018">
            <w:pPr>
              <w:jc w:val="both"/>
              <w:rPr>
                <w:rFonts w:ascii="Times New Roman" w:eastAsia="Cambria" w:hAnsi="Times New Roman" w:cs="Times New Roman"/>
              </w:rPr>
            </w:pPr>
            <w:r w:rsidRPr="00246018">
              <w:rPr>
                <w:rFonts w:ascii="Times New Roman" w:eastAsia="Cambria" w:hAnsi="Times New Roman" w:cs="Times New Roman"/>
              </w:rPr>
              <w:t>Conciliación de la vida laboral, personal y familiar</w:t>
            </w:r>
          </w:p>
        </w:tc>
        <w:tc>
          <w:tcPr>
            <w:tcW w:w="1762" w:type="pct"/>
          </w:tcPr>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Directiva 92/85/CEE del Consejo, de 19 de octubre, relativa a la aplicación de medidas para promover la mejora de la seguridad y de la salud en el trabajo de la trabajadora embarazada, que haya dado a luz o que se encuentre en periodo de lactancia.</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 xml:space="preserve">Directiva 96/34/CE del Consejo, de 3 de junio, relativa al Acuerdo marco sobre el permiso </w:t>
            </w:r>
            <w:r w:rsidRPr="00246018">
              <w:rPr>
                <w:rFonts w:ascii="Times New Roman" w:eastAsia="Cambria" w:hAnsi="Times New Roman" w:cs="Times New Roman"/>
              </w:rPr>
              <w:lastRenderedPageBreak/>
              <w:t>parental, que representa el compromiso de las organizaciones interprofesionales de carácter general.</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Directiva 2002/73/CE del Parlamento Europeo y del Consejo, de 23 de septiembre de 2002, por la que se modifica la Directiva 76/207/CEE relativa a la aplicación del principio de igualdad de trato entre hombres y mujeres</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Estrategia Marco Comunitaria sobre la Igualdad entre Hombres y Mujeres (2001-2005) que establece la conciliación de la vida familiar y laboral como política a desarrollar transversalmente</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Iniciativa de la Comisión Europea COM(2017) 252 final para promover la conciliación de la vida familiar y la vida profesional de los progenitores y los cuidadores</w:t>
            </w:r>
          </w:p>
        </w:tc>
        <w:tc>
          <w:tcPr>
            <w:tcW w:w="2194" w:type="pct"/>
          </w:tcPr>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lastRenderedPageBreak/>
              <w:t>Ley 39/1999, de 5 de noviembre, para promover la conciliación de la vida familiar y laboral de las personas trabajadoras</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Ley Orgánica 3/2007, de 22 de marzo, para la igualdad efectiva de mujeres y hombres</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hideMark/>
          </w:tcPr>
          <w:p w:rsidR="00246018" w:rsidRPr="00246018" w:rsidRDefault="00246018" w:rsidP="00246018">
            <w:pPr>
              <w:jc w:val="both"/>
              <w:rPr>
                <w:rFonts w:ascii="Times New Roman" w:eastAsia="Cambria" w:hAnsi="Times New Roman" w:cs="Times New Roman"/>
              </w:rPr>
            </w:pPr>
            <w:r w:rsidRPr="00246018">
              <w:rPr>
                <w:rFonts w:ascii="Times New Roman" w:eastAsia="Cambria" w:hAnsi="Times New Roman" w:cs="Times New Roman"/>
              </w:rPr>
              <w:lastRenderedPageBreak/>
              <w:t>Salud y seguridad ocupacional</w:t>
            </w:r>
          </w:p>
        </w:tc>
        <w:tc>
          <w:tcPr>
            <w:tcW w:w="1762" w:type="pct"/>
          </w:tcPr>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Acta Única Europea (1986), que revisa los Tratados de Roma, constitutivos de la</w:t>
            </w:r>
            <w:r w:rsidRPr="00246018">
              <w:rPr>
                <w:rFonts w:ascii="Times New Roman" w:hAnsi="Times New Roman" w:cs="Times New Roman"/>
              </w:rPr>
              <w:t xml:space="preserve"> </w:t>
            </w:r>
            <w:r w:rsidRPr="00246018">
              <w:rPr>
                <w:rFonts w:ascii="Times New Roman" w:eastAsia="Cambria" w:hAnsi="Times New Roman" w:cs="Times New Roman"/>
              </w:rPr>
              <w:t>Comunidad Económica Europea (CEE) y la Comunidad Europea de la Energía Atómica.</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Directiva Marco 89/391/CEE del Consejo, de 12 de junio de 1989, relativa a la aplicación de medidas para promover la mejora de la seguridad y de la salud de los trabajadores en el trabajo.</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lastRenderedPageBreak/>
              <w:t>Declaración de Luxemburgo (1997) en la que se establecen en Europa los principios básicos de la gestión de la salud de los trabajadores en la empresa.</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bCs/>
              </w:rPr>
              <w:t>Comunicación COM/2004/0062 final de la Comisión sobre la aplicación práctica de las disposiciones de las Directivas de salud y seguridad en el trabajo 89/31, 89/654, 89/655, 89/656, 90/269 y 90/270.</w:t>
            </w:r>
          </w:p>
        </w:tc>
        <w:tc>
          <w:tcPr>
            <w:tcW w:w="2194" w:type="pct"/>
          </w:tcPr>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lastRenderedPageBreak/>
              <w:t>Ley 31/1995, de 8 de noviembre, de Prevención de Riesgos Laborales</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Real Decreto 39/1997, de 17 de enero, por el que se aprueba el Reglamento de los Servicios de Prevención</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Real Decreto 843/2011, de 17 de junio, por el que se establecen los criterios básicos sobre la organización de recursos para desarrollar la actividad sanitaria de los servicios de prevención.</w:t>
            </w: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1043" w:type="pct"/>
          </w:tcPr>
          <w:p w:rsidR="00246018" w:rsidRPr="00246018" w:rsidRDefault="00246018" w:rsidP="00246018">
            <w:pPr>
              <w:jc w:val="both"/>
              <w:rPr>
                <w:rFonts w:ascii="Times New Roman" w:eastAsia="Cambria" w:hAnsi="Times New Roman" w:cs="Times New Roman"/>
              </w:rPr>
            </w:pPr>
            <w:r w:rsidRPr="00246018">
              <w:rPr>
                <w:rFonts w:ascii="Times New Roman" w:eastAsia="Cambria" w:hAnsi="Times New Roman" w:cs="Times New Roman"/>
              </w:rPr>
              <w:lastRenderedPageBreak/>
              <w:t xml:space="preserve">Desarrollo humano y formación </w:t>
            </w:r>
          </w:p>
        </w:tc>
        <w:tc>
          <w:tcPr>
            <w:tcW w:w="1762" w:type="pct"/>
          </w:tcPr>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Estrategia Europea para el Empleo (1997)</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Agenda Social 2005-2010, una Europa social en la economía global: empleos y oportunidades para todos.</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 xml:space="preserve">Estrategia Europa 2020 </w:t>
            </w:r>
          </w:p>
        </w:tc>
        <w:tc>
          <w:tcPr>
            <w:tcW w:w="2194" w:type="pct"/>
          </w:tcPr>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Ley Orgánica 5/2002, de 19 de junio, de las Cualificaciones y de la Formación Profesional.</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Real Decreto 395/2007, de 23 de marzo, por el que se regula el subsistema de formación profesional para el empleo.</w:t>
            </w: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p>
          <w:p w:rsidR="00246018" w:rsidRPr="00246018" w:rsidRDefault="00246018" w:rsidP="00246018">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rPr>
            </w:pPr>
            <w:r w:rsidRPr="00246018">
              <w:rPr>
                <w:rFonts w:ascii="Times New Roman" w:eastAsia="Cambria" w:hAnsi="Times New Roman" w:cs="Times New Roman"/>
              </w:rPr>
              <w:t>Ley 30/2015, de 9 de septiembre, por la que se regula el Sistema de Formación Profesional para el empleo en el ámbito laboral.</w:t>
            </w:r>
          </w:p>
        </w:tc>
      </w:tr>
    </w:tbl>
    <w:p w:rsidR="00246018" w:rsidRPr="00246018" w:rsidRDefault="00246018" w:rsidP="00246018">
      <w:pPr>
        <w:spacing w:after="0" w:line="240" w:lineRule="auto"/>
        <w:jc w:val="both"/>
        <w:rPr>
          <w:rFonts w:ascii="Times New Roman" w:eastAsia="Calibri" w:hAnsi="Times New Roman" w:cs="Times New Roman"/>
        </w:rPr>
      </w:pPr>
      <w:r w:rsidRPr="00246018">
        <w:rPr>
          <w:rFonts w:ascii="Times New Roman" w:eastAsia="Calibri" w:hAnsi="Times New Roman" w:cs="Times New Roman"/>
          <w:i/>
        </w:rPr>
        <w:t>Fuente</w:t>
      </w:r>
      <w:r w:rsidRPr="00246018">
        <w:rPr>
          <w:rFonts w:ascii="Times New Roman" w:eastAsia="Calibri" w:hAnsi="Times New Roman" w:cs="Times New Roman"/>
        </w:rPr>
        <w:t>: Elaboración propia</w:t>
      </w:r>
    </w:p>
    <w:p w:rsidR="00246018" w:rsidRPr="00246018" w:rsidRDefault="00246018" w:rsidP="00246018">
      <w:pPr>
        <w:spacing w:after="0" w:line="240" w:lineRule="auto"/>
        <w:rPr>
          <w:rFonts w:ascii="Times New Roman" w:eastAsia="MS Mincho" w:hAnsi="Times New Roman" w:cs="Times New Roman"/>
          <w:sz w:val="24"/>
          <w:szCs w:val="24"/>
          <w:lang w:val="es-ES_tradnl" w:eastAsia="es-ES"/>
        </w:rPr>
      </w:pPr>
    </w:p>
    <w:p w:rsidR="00246018" w:rsidRPr="00246018" w:rsidRDefault="00246018" w:rsidP="00246018">
      <w:pPr>
        <w:spacing w:after="0" w:line="240" w:lineRule="auto"/>
        <w:rPr>
          <w:rFonts w:ascii="Times New Roman" w:eastAsia="MS Mincho" w:hAnsi="Times New Roman" w:cs="Times New Roman"/>
          <w:sz w:val="24"/>
          <w:szCs w:val="24"/>
          <w:lang w:val="es-ES_tradnl" w:eastAsia="es-ES"/>
        </w:rPr>
      </w:pPr>
    </w:p>
    <w:p w:rsidR="00246018" w:rsidRPr="00246018" w:rsidRDefault="00246018" w:rsidP="00246018">
      <w:pPr>
        <w:spacing w:after="0" w:line="240" w:lineRule="auto"/>
        <w:rPr>
          <w:rFonts w:ascii="Times New Roman" w:eastAsia="Times New Roman" w:hAnsi="Times New Roman" w:cs="Times New Roman"/>
          <w:lang w:val="es-ES_tradnl" w:eastAsia="es-ES"/>
        </w:rPr>
      </w:pPr>
      <w:r w:rsidRPr="00246018">
        <w:rPr>
          <w:rFonts w:ascii="Times New Roman" w:eastAsia="Times New Roman" w:hAnsi="Times New Roman" w:cs="Times New Roman"/>
          <w:lang w:val="es-ES_tradnl" w:eastAsia="es-ES"/>
        </w:rPr>
        <w:t>Anexo 2. Ámbitos del BO. Sistema de gestión de la RSE</w:t>
      </w:r>
    </w:p>
    <w:p w:rsidR="00246018" w:rsidRPr="00246018" w:rsidRDefault="00246018" w:rsidP="00246018">
      <w:pPr>
        <w:spacing w:after="0" w:line="240" w:lineRule="auto"/>
        <w:rPr>
          <w:rFonts w:ascii="Times New Roman" w:eastAsia="Times New Roman" w:hAnsi="Times New Roman" w:cs="Times New Roman"/>
          <w:lang w:val="es-ES_tradnl" w:eastAsia="es-ES"/>
        </w:rPr>
      </w:pPr>
    </w:p>
    <w:tbl>
      <w:tblPr>
        <w:tblStyle w:val="Tablanormal212"/>
        <w:tblW w:w="5000" w:type="pct"/>
        <w:tblLook w:val="04A0" w:firstRow="1" w:lastRow="0" w:firstColumn="1" w:lastColumn="0" w:noHBand="0" w:noVBand="1"/>
      </w:tblPr>
      <w:tblGrid>
        <w:gridCol w:w="1497"/>
        <w:gridCol w:w="3180"/>
        <w:gridCol w:w="3180"/>
        <w:gridCol w:w="3180"/>
        <w:gridCol w:w="3181"/>
      </w:tblGrid>
      <w:tr w:rsidR="00246018" w:rsidRPr="00246018" w:rsidTr="00C637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rsidR="00246018" w:rsidRPr="00246018" w:rsidRDefault="00246018" w:rsidP="00246018">
            <w:pPr>
              <w:rPr>
                <w:rFonts w:ascii="Times New Roman" w:eastAsia="Times New Roman" w:hAnsi="Times New Roman" w:cs="Times New Roman"/>
              </w:rPr>
            </w:pPr>
            <w:r w:rsidRPr="00246018">
              <w:rPr>
                <w:rFonts w:ascii="Times New Roman" w:eastAsia="Times New Roman" w:hAnsi="Times New Roman" w:cs="Times New Roman"/>
              </w:rPr>
              <w:t>Indicador de gestión</w:t>
            </w:r>
          </w:p>
        </w:tc>
        <w:tc>
          <w:tcPr>
            <w:tcW w:w="1136" w:type="pct"/>
          </w:tcPr>
          <w:p w:rsidR="00246018" w:rsidRPr="00246018" w:rsidRDefault="00246018" w:rsidP="002460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ISO 26000</w:t>
            </w:r>
          </w:p>
        </w:tc>
        <w:tc>
          <w:tcPr>
            <w:tcW w:w="1136" w:type="pct"/>
          </w:tcPr>
          <w:p w:rsidR="00246018" w:rsidRPr="00246018" w:rsidRDefault="00246018" w:rsidP="002460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IQNet SR10</w:t>
            </w:r>
          </w:p>
        </w:tc>
        <w:tc>
          <w:tcPr>
            <w:tcW w:w="1136" w:type="pct"/>
          </w:tcPr>
          <w:p w:rsidR="00246018" w:rsidRPr="00246018" w:rsidRDefault="00246018" w:rsidP="002460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Norma SGE21</w:t>
            </w:r>
          </w:p>
        </w:tc>
        <w:tc>
          <w:tcPr>
            <w:tcW w:w="1136" w:type="pct"/>
          </w:tcPr>
          <w:p w:rsidR="00246018" w:rsidRPr="00246018" w:rsidRDefault="00246018" w:rsidP="002460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GRI  Standards</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rsidR="00246018" w:rsidRPr="00246018" w:rsidRDefault="00246018" w:rsidP="00246018">
            <w:pPr>
              <w:rPr>
                <w:rFonts w:ascii="Times New Roman" w:eastAsia="Times New Roman" w:hAnsi="Times New Roman" w:cs="Times New Roman"/>
              </w:rPr>
            </w:pPr>
            <w:r w:rsidRPr="00246018">
              <w:rPr>
                <w:rFonts w:ascii="Times New Roman" w:eastAsia="Times New Roman" w:hAnsi="Times New Roman" w:cs="Times New Roman"/>
              </w:rPr>
              <w:t xml:space="preserve">Protección social y condiciones de trabajo </w:t>
            </w: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 xml:space="preserve">(6.4.4) Asunto 2: realizar un esfuerzo continuo por mejorar la situación de los trabajadores, incluida la </w:t>
            </w:r>
            <w:r w:rsidRPr="00246018">
              <w:rPr>
                <w:rFonts w:ascii="Times New Roman" w:eastAsia="Times New Roman" w:hAnsi="Times New Roman" w:cs="Times New Roman"/>
              </w:rPr>
              <w:lastRenderedPageBreak/>
              <w:t xml:space="preserve">remuneración, la jornada laboral, las vacaciones, las prácticas de contratación y despido, la protección de la maternidad y el acceso a servicios del bienestar. También invita a garantizar una protección social adecuada, esto es, a ofrecer todas las garantías legales y la implementación de políticas dirigidas a mitigar riesgos de exclusión social. </w:t>
            </w: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lastRenderedPageBreak/>
              <w:t>(7.3.8.) Condiciones de trabajo y salarios.</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(7.3.9.) Acuerdo de trabajo</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 xml:space="preserve"> (7.3.12.) Respeto a la </w:t>
            </w:r>
            <w:r w:rsidRPr="00246018">
              <w:rPr>
                <w:rFonts w:ascii="Times New Roman" w:eastAsia="Times New Roman" w:hAnsi="Times New Roman" w:cs="Times New Roman"/>
              </w:rPr>
              <w:lastRenderedPageBreak/>
              <w:t>dignidad del trabajador</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lastRenderedPageBreak/>
              <w:t xml:space="preserve">(6.2.2.) Igualdad de oportunidades y no discriminación.  Garantizar el respeto del Principio de </w:t>
            </w:r>
            <w:r w:rsidRPr="00246018">
              <w:rPr>
                <w:rFonts w:ascii="Times New Roman" w:eastAsia="Times New Roman" w:hAnsi="Times New Roman" w:cs="Times New Roman"/>
              </w:rPr>
              <w:lastRenderedPageBreak/>
              <w:t>Igualdad de Oportunidades, en el acceso a los puestos de trabajo, la formación, el desarrollo profesional y la retribución de todas las personas que trabajan en la organización.</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36" w:type="pct"/>
          </w:tcPr>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lastRenderedPageBreak/>
              <w:t xml:space="preserve">(201-3). Obligaciones del plan de beneficios definidos y otros planes de jubilación. </w:t>
            </w:r>
          </w:p>
          <w:p w:rsidR="00246018" w:rsidRPr="00246018" w:rsidRDefault="00246018" w:rsidP="002460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 xml:space="preserve">(401-2). Prestaciones sociales </w:t>
            </w:r>
            <w:r w:rsidRPr="00246018">
              <w:rPr>
                <w:rFonts w:ascii="Times New Roman" w:eastAsia="Times New Roman" w:hAnsi="Times New Roman" w:cs="Times New Roman"/>
              </w:rPr>
              <w:lastRenderedPageBreak/>
              <w:t>para empleados a jornada completa. En el listado de presentaciones posibles, se incluyen -sin carácter exhaustivo- el seguro médico; la cobertura por incapacidad o invalidez; el permiso por maternidad o paternidad; el fondo de pensiones; o el reparto de acciones o beneficios.</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456" w:type="pct"/>
          </w:tcPr>
          <w:p w:rsidR="00246018" w:rsidRPr="00246018" w:rsidRDefault="00246018" w:rsidP="00246018">
            <w:pPr>
              <w:rPr>
                <w:rFonts w:ascii="Times New Roman" w:eastAsia="Times New Roman" w:hAnsi="Times New Roman" w:cs="Times New Roman"/>
              </w:rPr>
            </w:pPr>
            <w:r w:rsidRPr="00246018">
              <w:rPr>
                <w:rFonts w:ascii="Times New Roman" w:eastAsia="Times New Roman" w:hAnsi="Times New Roman" w:cs="Times New Roman"/>
              </w:rPr>
              <w:lastRenderedPageBreak/>
              <w:t>Conciliación de la vida personal y laboral</w:t>
            </w:r>
          </w:p>
        </w:tc>
        <w:tc>
          <w:tcPr>
            <w:tcW w:w="1136"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36"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(7.3.11.) Conciliación de la vida personal, familiar y laboral</w:t>
            </w:r>
          </w:p>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36"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 xml:space="preserve">(6.2.4.) Conciliación de la vida personal, familiar y laboral. Definir un plan de conciliación en el que se incluyan aquellas acciones que mejor respondan a las necesidades y expectativas de las personas que trabajan para la organización. </w:t>
            </w:r>
          </w:p>
        </w:tc>
        <w:tc>
          <w:tcPr>
            <w:tcW w:w="1136"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 xml:space="preserve">(401-3). Reincorporación al trabajo y retención tras el permiso por maternidad o paternidad. </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rsidR="00246018" w:rsidRPr="00246018" w:rsidRDefault="00246018" w:rsidP="00246018">
            <w:pPr>
              <w:rPr>
                <w:rFonts w:ascii="Times New Roman" w:eastAsia="Times New Roman" w:hAnsi="Times New Roman" w:cs="Times New Roman"/>
              </w:rPr>
            </w:pPr>
            <w:r w:rsidRPr="00246018">
              <w:rPr>
                <w:rFonts w:ascii="Times New Roman" w:eastAsia="Times New Roman" w:hAnsi="Times New Roman" w:cs="Times New Roman"/>
              </w:rPr>
              <w:t>Salud y seguridad ocupacional</w:t>
            </w: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Asunto 4. Fomentar y garantizar el mayor nivel posible de bienestar mental, físico y social de sus trabajadores, y prevenir daños en la salud que puedan ser ocasionados por las condiciones laborales.</w:t>
            </w: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(7.3.5.) Salud y seguridad</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(6.2.6.) Seguimiento del clima laboral. La organización debe llevar a cabo una evaluación del clima laboral.</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 xml:space="preserve">(6.2.7.) Salud y bienestar en el trabajo. La organización debe garantizar la salud y bienestar de todas las personas que </w:t>
            </w:r>
            <w:r w:rsidRPr="00246018">
              <w:rPr>
                <w:rFonts w:ascii="Times New Roman" w:eastAsia="Times New Roman" w:hAnsi="Times New Roman" w:cs="Times New Roman"/>
              </w:rPr>
              <w:lastRenderedPageBreak/>
              <w:t>trabajan en la organización o en nombre de ella.</w:t>
            </w: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lastRenderedPageBreak/>
              <w:t xml:space="preserve">(403-1). Gestión de la salud y seguridad ocupacional. </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 xml:space="preserve">(403-6). Promoción de la salud de los trabajadores. </w:t>
            </w:r>
          </w:p>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00246018" w:rsidRPr="00246018" w:rsidTr="00C637B0">
        <w:tc>
          <w:tcPr>
            <w:cnfStyle w:val="001000000000" w:firstRow="0" w:lastRow="0" w:firstColumn="1" w:lastColumn="0" w:oddVBand="0" w:evenVBand="0" w:oddHBand="0" w:evenHBand="0" w:firstRowFirstColumn="0" w:firstRowLastColumn="0" w:lastRowFirstColumn="0" w:lastRowLastColumn="0"/>
            <w:tcW w:w="456" w:type="pct"/>
          </w:tcPr>
          <w:p w:rsidR="00246018" w:rsidRPr="00246018" w:rsidRDefault="00246018" w:rsidP="00246018">
            <w:pPr>
              <w:rPr>
                <w:rFonts w:ascii="Times New Roman" w:eastAsia="Times New Roman" w:hAnsi="Times New Roman" w:cs="Times New Roman"/>
              </w:rPr>
            </w:pPr>
            <w:r w:rsidRPr="00246018">
              <w:rPr>
                <w:rFonts w:ascii="Times New Roman" w:eastAsia="Times New Roman" w:hAnsi="Times New Roman" w:cs="Times New Roman"/>
              </w:rPr>
              <w:lastRenderedPageBreak/>
              <w:t>Desarrollo humano y formación</w:t>
            </w:r>
          </w:p>
        </w:tc>
        <w:tc>
          <w:tcPr>
            <w:tcW w:w="1136"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Asunto 5. Necesidad de impulsar al máximo las capacidades humanas en el lugar de trabajo con el objeto de mejorar la calidad de vida de las personas. Ello implica facilitar una vida larga y saludable, con acceso al conocimiento y la información, y con oportunidades políticas, económicas y sociales,</w:t>
            </w:r>
          </w:p>
        </w:tc>
        <w:tc>
          <w:tcPr>
            <w:tcW w:w="1136"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(7.3.10.) Formación, empleabilidad y carrera profesional</w:t>
            </w:r>
          </w:p>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36"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(6.2.8). Formación y fomento de la empleabilidad. La organización ha de evaluar periódicamente las necesidades de formación, estableciendo los programas necesarios para que los empleados actualicen y desarrollen sus competencias y conocimientos, de acuerdo con los objetivos generales de la organización.</w:t>
            </w:r>
          </w:p>
        </w:tc>
        <w:tc>
          <w:tcPr>
            <w:tcW w:w="1136" w:type="pct"/>
          </w:tcPr>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(404-1). Promedio de horas de formación anuales por trabajador.</w:t>
            </w:r>
          </w:p>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(404-2). Programas de gestión de habilidades y formación continua que fomenten la empleabilidad.</w:t>
            </w:r>
          </w:p>
          <w:p w:rsidR="00246018" w:rsidRPr="00246018" w:rsidRDefault="00246018" w:rsidP="002460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(404-3). Empleados que reciben evaluaciones periódicas del desempeño y desarrollo profesional.</w:t>
            </w:r>
          </w:p>
        </w:tc>
      </w:tr>
      <w:tr w:rsidR="00246018" w:rsidRPr="00246018" w:rsidTr="00C63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pct"/>
          </w:tcPr>
          <w:p w:rsidR="00246018" w:rsidRPr="00246018" w:rsidRDefault="00246018" w:rsidP="00246018">
            <w:pPr>
              <w:rPr>
                <w:rFonts w:ascii="Times New Roman" w:eastAsia="Times New Roman" w:hAnsi="Times New Roman" w:cs="Times New Roman"/>
              </w:rPr>
            </w:pP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ISO 26000</w:t>
            </w: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IQNet SR10</w:t>
            </w: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Norma SGE21</w:t>
            </w:r>
          </w:p>
        </w:tc>
        <w:tc>
          <w:tcPr>
            <w:tcW w:w="1136" w:type="pct"/>
          </w:tcPr>
          <w:p w:rsidR="00246018" w:rsidRPr="00246018" w:rsidRDefault="00246018" w:rsidP="002460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6018">
              <w:rPr>
                <w:rFonts w:ascii="Times New Roman" w:eastAsia="Times New Roman" w:hAnsi="Times New Roman" w:cs="Times New Roman"/>
              </w:rPr>
              <w:t>GRI Standards</w:t>
            </w:r>
          </w:p>
        </w:tc>
      </w:tr>
    </w:tbl>
    <w:p w:rsidR="00246018" w:rsidRPr="00246018" w:rsidRDefault="00246018" w:rsidP="00246018">
      <w:pPr>
        <w:spacing w:after="0" w:line="240" w:lineRule="auto"/>
        <w:rPr>
          <w:rFonts w:ascii="Times New Roman" w:eastAsia="Times New Roman" w:hAnsi="Times New Roman" w:cs="Times New Roman"/>
          <w:sz w:val="24"/>
          <w:szCs w:val="24"/>
          <w:lang w:val="es-ES_tradnl" w:eastAsia="es-ES"/>
        </w:rPr>
      </w:pPr>
    </w:p>
    <w:p w:rsidR="00246018" w:rsidRPr="00246018" w:rsidRDefault="00246018" w:rsidP="00246018">
      <w:pPr>
        <w:spacing w:after="0" w:line="240" w:lineRule="auto"/>
        <w:rPr>
          <w:rFonts w:ascii="Times New Roman" w:eastAsia="MS Mincho" w:hAnsi="Times New Roman" w:cs="Times New Roman"/>
          <w:sz w:val="24"/>
          <w:szCs w:val="24"/>
          <w:lang w:val="es-ES_tradnl" w:eastAsia="es-ES"/>
        </w:rPr>
        <w:sectPr w:rsidR="00246018" w:rsidRPr="00246018" w:rsidSect="00246018">
          <w:pgSz w:w="16838" w:h="11906" w:orient="landscape"/>
          <w:pgMar w:top="1701" w:right="1418" w:bottom="1701" w:left="1418" w:header="709" w:footer="709" w:gutter="0"/>
          <w:cols w:space="708"/>
          <w:docGrid w:linePitch="360"/>
        </w:sectPr>
      </w:pPr>
      <w:r w:rsidRPr="00246018">
        <w:rPr>
          <w:rFonts w:ascii="Times New Roman" w:eastAsia="Times New Roman" w:hAnsi="Times New Roman" w:cs="Times New Roman"/>
          <w:i/>
          <w:lang w:val="es-ES_tradnl" w:eastAsia="es-ES"/>
        </w:rPr>
        <w:t>Fuente</w:t>
      </w:r>
      <w:r w:rsidRPr="00246018">
        <w:rPr>
          <w:rFonts w:ascii="Times New Roman" w:eastAsia="Times New Roman" w:hAnsi="Times New Roman" w:cs="Times New Roman"/>
          <w:lang w:val="es-ES_tradnl" w:eastAsia="es-ES"/>
        </w:rPr>
        <w:t>: El</w:t>
      </w:r>
      <w:r>
        <w:rPr>
          <w:rFonts w:ascii="Times New Roman" w:eastAsia="Times New Roman" w:hAnsi="Times New Roman" w:cs="Times New Roman"/>
          <w:lang w:val="es-ES_tradnl" w:eastAsia="es-ES"/>
        </w:rPr>
        <w:t>aboración propi</w:t>
      </w:r>
      <w:bookmarkStart w:id="0" w:name="_GoBack"/>
      <w:bookmarkEnd w:id="0"/>
    </w:p>
    <w:p w:rsidR="00246018" w:rsidRPr="00246018" w:rsidRDefault="00246018" w:rsidP="00246018">
      <w:pPr>
        <w:rPr>
          <w:lang w:val="es-ES_tradnl"/>
        </w:rPr>
      </w:pPr>
    </w:p>
    <w:sectPr w:rsidR="00246018" w:rsidRPr="00246018" w:rsidSect="0024601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C29" w:rsidRDefault="00331C29" w:rsidP="00331C29">
      <w:pPr>
        <w:spacing w:after="0" w:line="240" w:lineRule="auto"/>
      </w:pPr>
      <w:r>
        <w:separator/>
      </w:r>
    </w:p>
  </w:endnote>
  <w:endnote w:type="continuationSeparator" w:id="0">
    <w:p w:rsidR="00331C29" w:rsidRDefault="00331C29" w:rsidP="0033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29" w:rsidRDefault="00331C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29" w:rsidRDefault="00331C2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29" w:rsidRDefault="00331C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C29" w:rsidRDefault="00331C29" w:rsidP="00331C29">
      <w:pPr>
        <w:spacing w:after="0" w:line="240" w:lineRule="auto"/>
      </w:pPr>
      <w:r>
        <w:separator/>
      </w:r>
    </w:p>
  </w:footnote>
  <w:footnote w:type="continuationSeparator" w:id="0">
    <w:p w:rsidR="00331C29" w:rsidRDefault="00331C29" w:rsidP="00331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29" w:rsidRDefault="00331C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29" w:rsidRDefault="00331C2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C29" w:rsidRDefault="00331C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18"/>
    <w:rsid w:val="00246018"/>
    <w:rsid w:val="00331C29"/>
    <w:rsid w:val="00606BB3"/>
    <w:rsid w:val="00D630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normal21">
    <w:name w:val="Tabla normal 21"/>
    <w:basedOn w:val="Tablanormal"/>
    <w:uiPriority w:val="42"/>
    <w:rsid w:val="00246018"/>
    <w:pPr>
      <w:spacing w:after="0" w:line="240" w:lineRule="auto"/>
    </w:pPr>
    <w:rPr>
      <w:rFonts w:eastAsia="MS Mincho"/>
      <w:sz w:val="24"/>
      <w:szCs w:val="24"/>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
    <w:name w:val="Tabla normal 211"/>
    <w:basedOn w:val="Tablanormal"/>
    <w:uiPriority w:val="42"/>
    <w:rsid w:val="00246018"/>
    <w:pPr>
      <w:spacing w:after="0" w:line="240" w:lineRule="auto"/>
    </w:pPr>
    <w:rPr>
      <w:rFonts w:eastAsia="MS Mincho"/>
      <w:sz w:val="24"/>
      <w:szCs w:val="24"/>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2">
    <w:name w:val="Tabla normal 212"/>
    <w:basedOn w:val="Tablanormal"/>
    <w:uiPriority w:val="42"/>
    <w:rsid w:val="00246018"/>
    <w:pPr>
      <w:spacing w:after="0" w:line="240" w:lineRule="auto"/>
    </w:pPr>
    <w:rPr>
      <w:rFonts w:eastAsia="MS Mincho"/>
      <w:sz w:val="24"/>
      <w:szCs w:val="24"/>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cabezado">
    <w:name w:val="header"/>
    <w:basedOn w:val="Normal"/>
    <w:link w:val="EncabezadoCar"/>
    <w:uiPriority w:val="99"/>
    <w:unhideWhenUsed/>
    <w:rsid w:val="00331C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C29"/>
  </w:style>
  <w:style w:type="paragraph" w:styleId="Piedepgina">
    <w:name w:val="footer"/>
    <w:basedOn w:val="Normal"/>
    <w:link w:val="PiedepginaCar"/>
    <w:uiPriority w:val="99"/>
    <w:unhideWhenUsed/>
    <w:rsid w:val="00331C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C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normal21">
    <w:name w:val="Tabla normal 21"/>
    <w:basedOn w:val="Tablanormal"/>
    <w:uiPriority w:val="42"/>
    <w:rsid w:val="00246018"/>
    <w:pPr>
      <w:spacing w:after="0" w:line="240" w:lineRule="auto"/>
    </w:pPr>
    <w:rPr>
      <w:rFonts w:eastAsia="MS Mincho"/>
      <w:sz w:val="24"/>
      <w:szCs w:val="24"/>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1">
    <w:name w:val="Tabla normal 211"/>
    <w:basedOn w:val="Tablanormal"/>
    <w:uiPriority w:val="42"/>
    <w:rsid w:val="00246018"/>
    <w:pPr>
      <w:spacing w:after="0" w:line="240" w:lineRule="auto"/>
    </w:pPr>
    <w:rPr>
      <w:rFonts w:eastAsia="MS Mincho"/>
      <w:sz w:val="24"/>
      <w:szCs w:val="24"/>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12">
    <w:name w:val="Tabla normal 212"/>
    <w:basedOn w:val="Tablanormal"/>
    <w:uiPriority w:val="42"/>
    <w:rsid w:val="00246018"/>
    <w:pPr>
      <w:spacing w:after="0" w:line="240" w:lineRule="auto"/>
    </w:pPr>
    <w:rPr>
      <w:rFonts w:eastAsia="MS Mincho"/>
      <w:sz w:val="24"/>
      <w:szCs w:val="24"/>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cabezado">
    <w:name w:val="header"/>
    <w:basedOn w:val="Normal"/>
    <w:link w:val="EncabezadoCar"/>
    <w:uiPriority w:val="99"/>
    <w:unhideWhenUsed/>
    <w:rsid w:val="00331C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C29"/>
  </w:style>
  <w:style w:type="paragraph" w:styleId="Piedepgina">
    <w:name w:val="footer"/>
    <w:basedOn w:val="Normal"/>
    <w:link w:val="PiedepginaCar"/>
    <w:uiPriority w:val="99"/>
    <w:unhideWhenUsed/>
    <w:rsid w:val="00331C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5F21-7701-413C-9CB6-0A6FA441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1482</Words>
  <Characters>8157</Characters>
  <Application>Microsoft Office Word</Application>
  <DocSecurity>0</DocSecurity>
  <Lines>67</Lines>
  <Paragraphs>19</Paragraphs>
  <ScaleCrop>false</ScaleCrop>
  <Company/>
  <LinksUpToDate>false</LinksUpToDate>
  <CharactersWithSpaces>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2019-07-19T09:05:00Z</dcterms:created>
  <dcterms:modified xsi:type="dcterms:W3CDTF">2019-07-19T09:06:00Z</dcterms:modified>
</cp:coreProperties>
</file>