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160" w:rsidRPr="00B01160" w:rsidRDefault="00B01160" w:rsidP="00B01160">
      <w:pPr>
        <w:pStyle w:val="Descripcin"/>
        <w:keepNext/>
        <w:spacing w:before="120" w:line="240" w:lineRule="auto"/>
        <w:ind w:firstLine="0"/>
        <w:jc w:val="both"/>
        <w:rPr>
          <w:sz w:val="22"/>
          <w:szCs w:val="24"/>
        </w:rPr>
      </w:pPr>
      <w:bookmarkStart w:id="0" w:name="_Ref524340009"/>
      <w:r w:rsidRPr="00B01160">
        <w:rPr>
          <w:sz w:val="22"/>
          <w:szCs w:val="24"/>
        </w:rPr>
        <w:t>Figura</w:t>
      </w:r>
      <w:r w:rsidRPr="00B01160">
        <w:rPr>
          <w:sz w:val="22"/>
          <w:szCs w:val="24"/>
        </w:rPr>
        <w:t xml:space="preserve"> </w:t>
      </w:r>
      <w:r w:rsidRPr="00B01160">
        <w:rPr>
          <w:sz w:val="22"/>
          <w:szCs w:val="24"/>
        </w:rPr>
        <w:fldChar w:fldCharType="begin"/>
      </w:r>
      <w:r w:rsidRPr="00B01160">
        <w:rPr>
          <w:sz w:val="22"/>
          <w:szCs w:val="24"/>
        </w:rPr>
        <w:instrText xml:space="preserve"> SEQ Gráfico \* ARABIC </w:instrText>
      </w:r>
      <w:r w:rsidRPr="00B01160">
        <w:rPr>
          <w:sz w:val="22"/>
          <w:szCs w:val="24"/>
        </w:rPr>
        <w:fldChar w:fldCharType="separate"/>
      </w:r>
      <w:r w:rsidRPr="00B01160">
        <w:rPr>
          <w:noProof/>
          <w:sz w:val="22"/>
          <w:szCs w:val="24"/>
        </w:rPr>
        <w:t>1</w:t>
      </w:r>
      <w:r w:rsidRPr="00B01160">
        <w:rPr>
          <w:sz w:val="22"/>
          <w:szCs w:val="24"/>
        </w:rPr>
        <w:fldChar w:fldCharType="end"/>
      </w:r>
      <w:bookmarkEnd w:id="0"/>
      <w:r w:rsidRPr="00B01160">
        <w:rPr>
          <w:sz w:val="22"/>
          <w:szCs w:val="24"/>
        </w:rPr>
        <w:t xml:space="preserve">. </w:t>
      </w:r>
      <w:r w:rsidRPr="00B01160">
        <w:rPr>
          <w:b w:val="0"/>
          <w:sz w:val="22"/>
          <w:szCs w:val="24"/>
        </w:rPr>
        <w:t>Gasto social privado voluntario total y según área para España y otros países UE</w:t>
      </w:r>
      <w:r w:rsidRPr="00B01160">
        <w:rPr>
          <w:rStyle w:val="Refdenotaalpie"/>
          <w:b w:val="0"/>
          <w:sz w:val="22"/>
          <w:szCs w:val="24"/>
        </w:rPr>
        <w:footnoteReference w:id="1"/>
      </w:r>
      <w:r w:rsidRPr="00B01160">
        <w:rPr>
          <w:b w:val="0"/>
          <w:sz w:val="22"/>
          <w:szCs w:val="24"/>
        </w:rPr>
        <w:t xml:space="preserve"> (2015, cantidades per cápita a paridad poder de compra (</w:t>
      </w:r>
      <w:proofErr w:type="spellStart"/>
      <w:r w:rsidRPr="00B01160">
        <w:rPr>
          <w:b w:val="0"/>
          <w:sz w:val="22"/>
          <w:szCs w:val="24"/>
        </w:rPr>
        <w:t>ppc</w:t>
      </w:r>
      <w:proofErr w:type="spellEnd"/>
      <w:r w:rsidRPr="00B01160">
        <w:rPr>
          <w:b w:val="0"/>
          <w:sz w:val="22"/>
          <w:szCs w:val="24"/>
        </w:rPr>
        <w:t>) en dólares USA de 2010)</w:t>
      </w:r>
    </w:p>
    <w:p w:rsidR="00B01160" w:rsidRDefault="00B1622B" w:rsidP="00B01160">
      <w:pPr>
        <w:keepNext/>
        <w:spacing w:after="120" w:line="240" w:lineRule="auto"/>
        <w:jc w:val="both"/>
        <w:rPr>
          <w:rFonts w:ascii="Calibri" w:hAnsi="Calibri"/>
          <w:sz w:val="16"/>
          <w:szCs w:val="16"/>
        </w:rPr>
      </w:pPr>
      <w:r>
        <w:rPr>
          <w:noProof/>
          <w:sz w:val="20"/>
          <w:szCs w:val="18"/>
          <w:lang w:eastAsia="es-ES" w:bidi="ar-SA"/>
        </w:rPr>
        <w:drawing>
          <wp:inline distT="0" distB="0" distL="0" distR="0" wp14:anchorId="2FAECAC6">
            <wp:extent cx="5414010" cy="2889885"/>
            <wp:effectExtent l="0" t="0" r="0" b="571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288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1" w:name="_GoBack"/>
      <w:r w:rsidR="00B01160" w:rsidRPr="00B1622B">
        <w:rPr>
          <w:i/>
          <w:sz w:val="22"/>
          <w:szCs w:val="22"/>
        </w:rPr>
        <w:t>Fuente:</w:t>
      </w:r>
      <w:r w:rsidR="00B01160" w:rsidRPr="00B1622B">
        <w:rPr>
          <w:sz w:val="22"/>
          <w:szCs w:val="22"/>
        </w:rPr>
        <w:t xml:space="preserve"> </w:t>
      </w:r>
      <w:bookmarkEnd w:id="1"/>
      <w:r w:rsidR="00B01160" w:rsidRPr="00B1622B">
        <w:rPr>
          <w:sz w:val="22"/>
          <w:szCs w:val="22"/>
        </w:rPr>
        <w:t xml:space="preserve">elaboración propia a partir de datos de la </w:t>
      </w:r>
      <w:r w:rsidR="00B01160" w:rsidRPr="00B1622B">
        <w:rPr>
          <w:i/>
          <w:sz w:val="22"/>
          <w:szCs w:val="22"/>
        </w:rPr>
        <w:t xml:space="preserve">Social </w:t>
      </w:r>
      <w:proofErr w:type="spellStart"/>
      <w:r w:rsidR="00B01160" w:rsidRPr="00B1622B">
        <w:rPr>
          <w:i/>
          <w:sz w:val="22"/>
          <w:szCs w:val="22"/>
        </w:rPr>
        <w:t>Expenditure</w:t>
      </w:r>
      <w:proofErr w:type="spellEnd"/>
      <w:r w:rsidR="00B01160" w:rsidRPr="00B1622B">
        <w:rPr>
          <w:i/>
          <w:sz w:val="22"/>
          <w:szCs w:val="22"/>
        </w:rPr>
        <w:t xml:space="preserve"> </w:t>
      </w:r>
      <w:proofErr w:type="spellStart"/>
      <w:r w:rsidR="00B01160" w:rsidRPr="00B1622B">
        <w:rPr>
          <w:i/>
          <w:sz w:val="22"/>
          <w:szCs w:val="22"/>
        </w:rPr>
        <w:t>Database</w:t>
      </w:r>
      <w:proofErr w:type="spellEnd"/>
      <w:r w:rsidR="00B01160" w:rsidRPr="00B1622B">
        <w:rPr>
          <w:sz w:val="22"/>
          <w:szCs w:val="22"/>
        </w:rPr>
        <w:t xml:space="preserve"> (OCDE), [extraído a 21 de febrero de 2019].</w:t>
      </w:r>
      <w:r w:rsidR="00B01160">
        <w:rPr>
          <w:sz w:val="16"/>
          <w:szCs w:val="16"/>
        </w:rPr>
        <w:t xml:space="preserve"> </w:t>
      </w:r>
    </w:p>
    <w:p w:rsidR="00B01160" w:rsidRPr="00B01160" w:rsidRDefault="00B01160" w:rsidP="00B01160">
      <w:pPr>
        <w:pStyle w:val="Descripcin"/>
        <w:keepNext/>
        <w:spacing w:before="120" w:line="240" w:lineRule="auto"/>
        <w:ind w:firstLine="0"/>
        <w:jc w:val="both"/>
        <w:rPr>
          <w:sz w:val="22"/>
          <w:szCs w:val="20"/>
        </w:rPr>
      </w:pPr>
      <w:r w:rsidRPr="00B01160">
        <w:rPr>
          <w:sz w:val="22"/>
          <w:szCs w:val="20"/>
        </w:rPr>
        <w:t>Figura</w:t>
      </w:r>
      <w:r w:rsidRPr="00B01160">
        <w:rPr>
          <w:sz w:val="22"/>
          <w:szCs w:val="20"/>
        </w:rPr>
        <w:t xml:space="preserve"> 2. </w:t>
      </w:r>
      <w:r w:rsidRPr="00B01160">
        <w:rPr>
          <w:b w:val="0"/>
          <w:sz w:val="22"/>
          <w:szCs w:val="20"/>
        </w:rPr>
        <w:t>Relación entre gasto privado/público, total y por áreas para España y otros países UE (2015, cantidades per cápita a paridad poder compra (</w:t>
      </w:r>
      <w:proofErr w:type="spellStart"/>
      <w:r w:rsidRPr="00B01160">
        <w:rPr>
          <w:b w:val="0"/>
          <w:sz w:val="22"/>
          <w:szCs w:val="20"/>
        </w:rPr>
        <w:t>ppc</w:t>
      </w:r>
      <w:proofErr w:type="spellEnd"/>
      <w:r w:rsidRPr="00B01160">
        <w:rPr>
          <w:b w:val="0"/>
          <w:sz w:val="22"/>
          <w:szCs w:val="20"/>
        </w:rPr>
        <w:t>) en dólares USA de 2010)</w:t>
      </w:r>
    </w:p>
    <w:p w:rsidR="00B01160" w:rsidRDefault="00B1622B" w:rsidP="00B01160">
      <w:pPr>
        <w:spacing w:line="240" w:lineRule="auto"/>
        <w:jc w:val="both"/>
        <w:rPr>
          <w:sz w:val="16"/>
          <w:szCs w:val="18"/>
        </w:rPr>
      </w:pPr>
      <w:r>
        <w:rPr>
          <w:rFonts w:eastAsia="Calibri" w:cs="Times New Roman"/>
          <w:bCs/>
          <w:noProof/>
          <w:kern w:val="0"/>
          <w:sz w:val="22"/>
          <w:szCs w:val="20"/>
          <w:lang w:eastAsia="es-ES" w:bidi="ar-SA"/>
        </w:rPr>
        <w:drawing>
          <wp:inline distT="0" distB="0" distL="0" distR="0" wp14:anchorId="19CD8C6B">
            <wp:extent cx="5414010" cy="2889885"/>
            <wp:effectExtent l="0" t="0" r="0" b="571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288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01160" w:rsidRPr="00B1622B">
        <w:rPr>
          <w:rFonts w:eastAsia="Calibri" w:cs="Times New Roman"/>
          <w:bCs/>
          <w:i/>
          <w:kern w:val="0"/>
          <w:sz w:val="22"/>
          <w:szCs w:val="20"/>
          <w:lang w:eastAsia="en-US" w:bidi="ar-SA"/>
        </w:rPr>
        <w:t>Fuente:</w:t>
      </w:r>
      <w:r w:rsidR="00B01160" w:rsidRPr="00B01160">
        <w:rPr>
          <w:rFonts w:eastAsia="Calibri" w:cs="Times New Roman"/>
          <w:bCs/>
          <w:kern w:val="0"/>
          <w:sz w:val="22"/>
          <w:szCs w:val="20"/>
          <w:lang w:eastAsia="en-US" w:bidi="ar-SA"/>
        </w:rPr>
        <w:t xml:space="preserve"> elaboración propia a partir de datos de la Social </w:t>
      </w:r>
      <w:proofErr w:type="spellStart"/>
      <w:r w:rsidR="00B01160" w:rsidRPr="00B01160">
        <w:rPr>
          <w:rFonts w:eastAsia="Calibri" w:cs="Times New Roman"/>
          <w:bCs/>
          <w:kern w:val="0"/>
          <w:sz w:val="22"/>
          <w:szCs w:val="20"/>
          <w:lang w:eastAsia="en-US" w:bidi="ar-SA"/>
        </w:rPr>
        <w:t>Expenditure</w:t>
      </w:r>
      <w:proofErr w:type="spellEnd"/>
      <w:r w:rsidR="00B01160" w:rsidRPr="00B01160">
        <w:rPr>
          <w:rFonts w:eastAsia="Calibri" w:cs="Times New Roman"/>
          <w:bCs/>
          <w:kern w:val="0"/>
          <w:sz w:val="22"/>
          <w:szCs w:val="20"/>
          <w:lang w:eastAsia="en-US" w:bidi="ar-SA"/>
        </w:rPr>
        <w:t xml:space="preserve"> </w:t>
      </w:r>
      <w:proofErr w:type="spellStart"/>
      <w:r w:rsidR="00B01160" w:rsidRPr="00B01160">
        <w:rPr>
          <w:rFonts w:eastAsia="Calibri" w:cs="Times New Roman"/>
          <w:bCs/>
          <w:kern w:val="0"/>
          <w:sz w:val="22"/>
          <w:szCs w:val="20"/>
          <w:lang w:eastAsia="en-US" w:bidi="ar-SA"/>
        </w:rPr>
        <w:t>Database</w:t>
      </w:r>
      <w:proofErr w:type="spellEnd"/>
      <w:r w:rsidR="00B01160" w:rsidRPr="00B01160">
        <w:rPr>
          <w:rFonts w:eastAsia="Calibri" w:cs="Times New Roman"/>
          <w:bCs/>
          <w:kern w:val="0"/>
          <w:sz w:val="22"/>
          <w:szCs w:val="20"/>
          <w:lang w:eastAsia="en-US" w:bidi="ar-SA"/>
        </w:rPr>
        <w:t xml:space="preserve"> (OCDE), [extraído a 21 de febrero de 2019].</w:t>
      </w:r>
    </w:p>
    <w:p w:rsidR="00B01160" w:rsidRPr="00B01160" w:rsidRDefault="00B01160" w:rsidP="00B01160">
      <w:pPr>
        <w:pStyle w:val="Descripcin"/>
        <w:keepNext/>
        <w:spacing w:before="120" w:line="240" w:lineRule="auto"/>
        <w:ind w:firstLine="0"/>
        <w:jc w:val="both"/>
        <w:rPr>
          <w:sz w:val="22"/>
          <w:szCs w:val="24"/>
        </w:rPr>
      </w:pPr>
      <w:r>
        <w:rPr>
          <w:sz w:val="22"/>
          <w:szCs w:val="24"/>
        </w:rPr>
        <w:lastRenderedPageBreak/>
        <w:t>Figura</w:t>
      </w:r>
      <w:r w:rsidRPr="00B01160">
        <w:rPr>
          <w:sz w:val="22"/>
          <w:szCs w:val="24"/>
        </w:rPr>
        <w:t xml:space="preserve"> 3. </w:t>
      </w:r>
      <w:r w:rsidRPr="00B01160">
        <w:rPr>
          <w:b w:val="0"/>
          <w:sz w:val="22"/>
          <w:szCs w:val="24"/>
        </w:rPr>
        <w:t>Gasto social privado voluntario total y en las distintas áreas (1980-2015, en millones de euros a precios constantes de 2010)</w:t>
      </w:r>
    </w:p>
    <w:p w:rsidR="00B01160" w:rsidRDefault="00B1622B" w:rsidP="00B01160">
      <w:pPr>
        <w:spacing w:after="120" w:line="240" w:lineRule="auto"/>
        <w:jc w:val="both"/>
        <w:rPr>
          <w:sz w:val="20"/>
        </w:rPr>
      </w:pPr>
      <w:r>
        <w:rPr>
          <w:noProof/>
          <w:sz w:val="22"/>
          <w:szCs w:val="18"/>
          <w:lang w:eastAsia="es-ES" w:bidi="ar-SA"/>
        </w:rPr>
        <w:drawing>
          <wp:inline distT="0" distB="0" distL="0" distR="0" wp14:anchorId="34D30728">
            <wp:extent cx="5414010" cy="3249295"/>
            <wp:effectExtent l="0" t="0" r="0" b="825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3249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01160" w:rsidRPr="00B1622B">
        <w:rPr>
          <w:i/>
          <w:sz w:val="22"/>
          <w:szCs w:val="22"/>
        </w:rPr>
        <w:t>Fuente:</w:t>
      </w:r>
      <w:r w:rsidR="00B01160" w:rsidRPr="00B1622B">
        <w:rPr>
          <w:sz w:val="22"/>
          <w:szCs w:val="22"/>
        </w:rPr>
        <w:t xml:space="preserve"> Elaboración propia a partir de datos de la </w:t>
      </w:r>
      <w:r w:rsidR="00B01160" w:rsidRPr="00B1622B">
        <w:rPr>
          <w:i/>
          <w:sz w:val="22"/>
          <w:szCs w:val="22"/>
        </w:rPr>
        <w:t xml:space="preserve">Social </w:t>
      </w:r>
      <w:proofErr w:type="spellStart"/>
      <w:r w:rsidR="00B01160" w:rsidRPr="00B1622B">
        <w:rPr>
          <w:i/>
          <w:sz w:val="22"/>
          <w:szCs w:val="22"/>
        </w:rPr>
        <w:t>Expenditure</w:t>
      </w:r>
      <w:proofErr w:type="spellEnd"/>
      <w:r w:rsidR="00B01160" w:rsidRPr="00B1622B">
        <w:rPr>
          <w:i/>
          <w:sz w:val="22"/>
          <w:szCs w:val="22"/>
        </w:rPr>
        <w:t xml:space="preserve"> </w:t>
      </w:r>
      <w:proofErr w:type="spellStart"/>
      <w:r w:rsidR="00B01160" w:rsidRPr="00B1622B">
        <w:rPr>
          <w:i/>
          <w:sz w:val="22"/>
          <w:szCs w:val="22"/>
        </w:rPr>
        <w:t>Database</w:t>
      </w:r>
      <w:proofErr w:type="spellEnd"/>
      <w:r w:rsidR="00B01160" w:rsidRPr="00B1622B">
        <w:rPr>
          <w:sz w:val="22"/>
          <w:szCs w:val="22"/>
        </w:rPr>
        <w:t xml:space="preserve"> (OCDE), [extraído a 21 de febrero de 2019].</w:t>
      </w:r>
    </w:p>
    <w:p w:rsidR="00B01160" w:rsidRPr="00B01160" w:rsidRDefault="00B01160" w:rsidP="00B01160">
      <w:pPr>
        <w:spacing w:after="120" w:line="240" w:lineRule="auto"/>
        <w:jc w:val="both"/>
        <w:rPr>
          <w:iCs/>
          <w:sz w:val="22"/>
          <w:lang w:val="es-ES_tradnl"/>
        </w:rPr>
      </w:pPr>
      <w:r w:rsidRPr="00B01160">
        <w:rPr>
          <w:b/>
          <w:sz w:val="22"/>
          <w:lang w:val="es-ES_tradnl"/>
        </w:rPr>
        <w:t>Figura</w:t>
      </w:r>
      <w:r w:rsidRPr="00B01160">
        <w:rPr>
          <w:b/>
          <w:sz w:val="22"/>
          <w:lang w:val="es-ES_tradnl"/>
        </w:rPr>
        <w:t xml:space="preserve"> 4.</w:t>
      </w:r>
      <w:r w:rsidRPr="00B01160">
        <w:rPr>
          <w:sz w:val="22"/>
          <w:lang w:val="es-ES_tradnl"/>
        </w:rPr>
        <w:t xml:space="preserve"> </w:t>
      </w:r>
      <w:r w:rsidRPr="00B01160">
        <w:rPr>
          <w:iCs/>
          <w:sz w:val="22"/>
          <w:lang w:val="es-ES_tradnl"/>
        </w:rPr>
        <w:t>Coste laboral de las prestaciones de bienestar según tipo en España y otros países europeos,2008 y 2016 (% del coste total bruto)</w:t>
      </w:r>
    </w:p>
    <w:p w:rsidR="00B01160" w:rsidRPr="006B134B" w:rsidRDefault="00B1622B" w:rsidP="00B01160">
      <w:pPr>
        <w:spacing w:line="240" w:lineRule="auto"/>
        <w:jc w:val="both"/>
        <w:rPr>
          <w:sz w:val="22"/>
        </w:rPr>
      </w:pPr>
      <w:r>
        <w:rPr>
          <w:noProof/>
          <w:sz w:val="22"/>
          <w:lang w:eastAsia="es-ES" w:bidi="ar-SA"/>
        </w:rPr>
        <w:drawing>
          <wp:inline distT="0" distB="0" distL="0" distR="0" wp14:anchorId="3AAEFA2C">
            <wp:extent cx="5414010" cy="3523615"/>
            <wp:effectExtent l="0" t="0" r="0" b="63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352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01160" w:rsidRPr="006B134B">
        <w:rPr>
          <w:sz w:val="22"/>
        </w:rPr>
        <w:t xml:space="preserve">Nota: Secciones CNAE-09 de la B a la S, excluyendo la sección O correspondiente a Administración Pública, Defensa y Seguridad Social. Empresas de al menos diez empleados. </w:t>
      </w:r>
    </w:p>
    <w:p w:rsidR="00B01160" w:rsidRPr="006B134B" w:rsidRDefault="00B01160" w:rsidP="00B01160">
      <w:pPr>
        <w:spacing w:line="240" w:lineRule="auto"/>
        <w:jc w:val="both"/>
        <w:rPr>
          <w:sz w:val="22"/>
        </w:rPr>
      </w:pPr>
      <w:r w:rsidRPr="00B1622B">
        <w:rPr>
          <w:i/>
          <w:sz w:val="22"/>
        </w:rPr>
        <w:t>Fuente:</w:t>
      </w:r>
      <w:r w:rsidRPr="006B134B">
        <w:rPr>
          <w:sz w:val="22"/>
        </w:rPr>
        <w:t xml:space="preserve"> EUROSTAT, </w:t>
      </w:r>
      <w:proofErr w:type="spellStart"/>
      <w:r w:rsidRPr="006B134B">
        <w:rPr>
          <w:i/>
          <w:iCs/>
          <w:sz w:val="22"/>
        </w:rPr>
        <w:t>Labour</w:t>
      </w:r>
      <w:proofErr w:type="spellEnd"/>
      <w:r w:rsidRPr="006B134B">
        <w:rPr>
          <w:i/>
          <w:iCs/>
          <w:sz w:val="22"/>
        </w:rPr>
        <w:t xml:space="preserve"> </w:t>
      </w:r>
      <w:proofErr w:type="spellStart"/>
      <w:r w:rsidRPr="006B134B">
        <w:rPr>
          <w:i/>
          <w:iCs/>
          <w:sz w:val="22"/>
        </w:rPr>
        <w:t>Cost</w:t>
      </w:r>
      <w:proofErr w:type="spellEnd"/>
      <w:r w:rsidRPr="006B134B">
        <w:rPr>
          <w:i/>
          <w:iCs/>
          <w:sz w:val="22"/>
        </w:rPr>
        <w:t xml:space="preserve"> </w:t>
      </w:r>
      <w:proofErr w:type="spellStart"/>
      <w:r w:rsidRPr="006B134B">
        <w:rPr>
          <w:i/>
          <w:iCs/>
          <w:sz w:val="22"/>
        </w:rPr>
        <w:t>Survey</w:t>
      </w:r>
      <w:proofErr w:type="spellEnd"/>
      <w:r w:rsidRPr="006B134B">
        <w:rPr>
          <w:sz w:val="22"/>
        </w:rPr>
        <w:t xml:space="preserve"> (LCS).</w:t>
      </w:r>
    </w:p>
    <w:p w:rsidR="00B01160" w:rsidRPr="006B134B" w:rsidRDefault="00B01160" w:rsidP="00B01160">
      <w:pPr>
        <w:keepNext/>
        <w:jc w:val="both"/>
        <w:rPr>
          <w:i/>
          <w:sz w:val="22"/>
        </w:rPr>
      </w:pPr>
      <w:r>
        <w:rPr>
          <w:b/>
          <w:sz w:val="22"/>
        </w:rPr>
        <w:lastRenderedPageBreak/>
        <w:t>Figura</w:t>
      </w:r>
      <w:r w:rsidRPr="006B134B">
        <w:rPr>
          <w:b/>
          <w:sz w:val="22"/>
        </w:rPr>
        <w:t xml:space="preserve"> 5. </w:t>
      </w:r>
      <w:r w:rsidRPr="006B134B">
        <w:rPr>
          <w:i/>
          <w:sz w:val="22"/>
        </w:rPr>
        <w:t>Planes de pensiones de empleo por sectores de actividad (2016)</w:t>
      </w:r>
    </w:p>
    <w:p w:rsidR="00B01160" w:rsidRDefault="00B01160" w:rsidP="00B01160">
      <w:pPr>
        <w:keepNext/>
        <w:spacing w:line="276" w:lineRule="auto"/>
        <w:jc w:val="both"/>
        <w:rPr>
          <w:sz w:val="22"/>
        </w:rPr>
      </w:pPr>
      <w:r>
        <w:rPr>
          <w:noProof/>
          <w:sz w:val="22"/>
          <w:lang w:eastAsia="es-ES"/>
        </w:rPr>
        <w:drawing>
          <wp:inline distT="0" distB="0" distL="0" distR="0" wp14:anchorId="736E4356" wp14:editId="681A3D5D">
            <wp:extent cx="6118860" cy="3901440"/>
            <wp:effectExtent l="0" t="0" r="0" b="381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390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1160" w:rsidRPr="006B134B" w:rsidRDefault="00B01160" w:rsidP="00B01160">
      <w:pPr>
        <w:keepNext/>
        <w:spacing w:line="240" w:lineRule="auto"/>
        <w:jc w:val="both"/>
        <w:rPr>
          <w:sz w:val="22"/>
          <w:szCs w:val="20"/>
        </w:rPr>
      </w:pPr>
      <w:r w:rsidRPr="006B134B">
        <w:rPr>
          <w:sz w:val="22"/>
          <w:szCs w:val="20"/>
        </w:rPr>
        <w:t>Nota: Agregación de sectores conforme a criterios de la CNAE-09 (</w:t>
      </w:r>
      <w:hyperlink r:id="rId11" w:history="1">
        <w:r w:rsidRPr="006B134B">
          <w:rPr>
            <w:sz w:val="22"/>
            <w:szCs w:val="20"/>
          </w:rPr>
          <w:t>www.ine.es</w:t>
        </w:r>
      </w:hyperlink>
      <w:r w:rsidRPr="006B134B">
        <w:rPr>
          <w:sz w:val="22"/>
          <w:szCs w:val="20"/>
        </w:rPr>
        <w:t xml:space="preserve">). </w:t>
      </w:r>
    </w:p>
    <w:p w:rsidR="00B01160" w:rsidRPr="006B134B" w:rsidRDefault="00B01160" w:rsidP="00B01160">
      <w:pPr>
        <w:keepNext/>
        <w:spacing w:line="240" w:lineRule="auto"/>
        <w:jc w:val="both"/>
        <w:rPr>
          <w:sz w:val="22"/>
          <w:szCs w:val="20"/>
        </w:rPr>
      </w:pPr>
      <w:r w:rsidRPr="00B1622B">
        <w:rPr>
          <w:i/>
          <w:sz w:val="22"/>
          <w:szCs w:val="20"/>
        </w:rPr>
        <w:t>Fuente:</w:t>
      </w:r>
      <w:r w:rsidRPr="006B134B">
        <w:rPr>
          <w:sz w:val="22"/>
          <w:szCs w:val="20"/>
        </w:rPr>
        <w:t xml:space="preserve"> Elaboración propia a partir de informe estadísticos de instrumentos previsión social complementaria 2015 y 2016, Dirección general seguros y fondos de pensiones, Ministerio de Economía. </w:t>
      </w:r>
    </w:p>
    <w:p w:rsidR="00966946" w:rsidRDefault="00A3019A"/>
    <w:sectPr w:rsidR="009669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19A" w:rsidRDefault="00A3019A" w:rsidP="00B01160">
      <w:pPr>
        <w:spacing w:line="240" w:lineRule="auto"/>
      </w:pPr>
      <w:r>
        <w:separator/>
      </w:r>
    </w:p>
  </w:endnote>
  <w:endnote w:type="continuationSeparator" w:id="0">
    <w:p w:rsidR="00A3019A" w:rsidRDefault="00A3019A" w:rsidP="00B011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19A" w:rsidRDefault="00A3019A" w:rsidP="00B01160">
      <w:pPr>
        <w:spacing w:line="240" w:lineRule="auto"/>
      </w:pPr>
      <w:r>
        <w:separator/>
      </w:r>
    </w:p>
  </w:footnote>
  <w:footnote w:type="continuationSeparator" w:id="0">
    <w:p w:rsidR="00A3019A" w:rsidRDefault="00A3019A" w:rsidP="00B01160">
      <w:pPr>
        <w:spacing w:line="240" w:lineRule="auto"/>
      </w:pPr>
      <w:r>
        <w:continuationSeparator/>
      </w:r>
    </w:p>
  </w:footnote>
  <w:footnote w:id="1">
    <w:p w:rsidR="00B01160" w:rsidRDefault="00B01160" w:rsidP="00B01160">
      <w:pPr>
        <w:pStyle w:val="Textonotapie"/>
      </w:pPr>
      <w:r w:rsidRPr="00B516F2">
        <w:rPr>
          <w:rStyle w:val="Refdenotaalpie"/>
        </w:rPr>
        <w:footnoteRef/>
      </w:r>
      <w:r w:rsidRPr="00030267">
        <w:t xml:space="preserve">Toda la información del gasto total y en las distintas áreas corresponde al último año </w:t>
      </w:r>
      <w:r>
        <w:t>disponible de la SOCX en febrero de 2019, que es el 2015.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160"/>
    <w:rsid w:val="004F2EAB"/>
    <w:rsid w:val="00A3019A"/>
    <w:rsid w:val="00A7289A"/>
    <w:rsid w:val="00B01160"/>
    <w:rsid w:val="00B1622B"/>
    <w:rsid w:val="00D928C0"/>
    <w:rsid w:val="00FA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6F846"/>
  <w15:chartTrackingRefBased/>
  <w15:docId w15:val="{02E2C0F9-F7AA-41B0-AAB1-F5BBDCEB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160"/>
    <w:pPr>
      <w:widowControl w:val="0"/>
      <w:suppressAutoHyphens/>
      <w:spacing w:after="0" w:line="48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160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B01160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B01160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1160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Descripcin">
    <w:name w:val="caption"/>
    <w:basedOn w:val="Normal"/>
    <w:next w:val="Normal"/>
    <w:uiPriority w:val="35"/>
    <w:unhideWhenUsed/>
    <w:qFormat/>
    <w:rsid w:val="00B01160"/>
    <w:pPr>
      <w:widowControl/>
      <w:suppressAutoHyphens w:val="0"/>
      <w:spacing w:before="240" w:after="120" w:line="360" w:lineRule="auto"/>
      <w:ind w:firstLine="709"/>
      <w:jc w:val="center"/>
    </w:pPr>
    <w:rPr>
      <w:rFonts w:eastAsia="Calibri" w:cs="Times New Roman"/>
      <w:b/>
      <w:bCs/>
      <w:kern w:val="0"/>
      <w:szCs w:val="18"/>
      <w:lang w:eastAsia="en-US" w:bidi="ar-SA"/>
    </w:rPr>
  </w:style>
  <w:style w:type="paragraph" w:styleId="Textonotapie">
    <w:name w:val="footnote text"/>
    <w:basedOn w:val="Normal"/>
    <w:link w:val="TextonotapieCar"/>
    <w:uiPriority w:val="99"/>
    <w:unhideWhenUsed/>
    <w:rsid w:val="00B01160"/>
    <w:pPr>
      <w:spacing w:line="240" w:lineRule="auto"/>
    </w:pPr>
    <w:rPr>
      <w:sz w:val="20"/>
      <w:szCs w:val="18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01160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character" w:styleId="Refdenotaalpie">
    <w:name w:val="footnote reference"/>
    <w:basedOn w:val="Fuentedeprrafopredeter"/>
    <w:uiPriority w:val="99"/>
    <w:unhideWhenUsed/>
    <w:rsid w:val="00B011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ine.es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AROA TEJERO PEREZ</dc:creator>
  <cp:keywords/>
  <dc:description/>
  <cp:lastModifiedBy>AROA TEJERO PEREZ</cp:lastModifiedBy>
  <cp:revision>1</cp:revision>
  <dcterms:created xsi:type="dcterms:W3CDTF">2019-03-20T16:14:00Z</dcterms:created>
  <dcterms:modified xsi:type="dcterms:W3CDTF">2019-03-20T19:52:00Z</dcterms:modified>
</cp:coreProperties>
</file>