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0BF00C" w14:textId="77777777" w:rsidR="00EE1DDF" w:rsidRPr="00ED57F8" w:rsidRDefault="00EE1DDF" w:rsidP="00EE1DDF">
      <w:pPr>
        <w:spacing w:before="80" w:after="360" w:line="480" w:lineRule="auto"/>
        <w:rPr>
          <w:sz w:val="20"/>
          <w:szCs w:val="20"/>
        </w:rPr>
      </w:pPr>
      <w:r w:rsidRPr="008C3D21">
        <w:rPr>
          <w:rFonts w:ascii="Times New Roman" w:eastAsia="Times New Roman" w:hAnsi="Times New Roman"/>
          <w:b/>
        </w:rPr>
        <w:t xml:space="preserve">Figura 1. </w:t>
      </w:r>
      <w:r w:rsidRPr="008C3D21">
        <w:rPr>
          <w:rFonts w:ascii="Times New Roman" w:eastAsia="Times New Roman" w:hAnsi="Times New Roman"/>
        </w:rPr>
        <w:t>Porcentaje de asalariados del sector privado con acceso a flexibilidad horaria en países de Europa, 2005, 2010 y 2015 (horario flexible dentro de ciertos límites y autonomía de horario laboral)</w:t>
      </w:r>
      <w:r>
        <w:rPr>
          <w:noProof/>
          <w:lang w:val="en-GB" w:eastAsia="en-GB"/>
        </w:rPr>
        <w:drawing>
          <wp:inline distT="0" distB="0" distL="0" distR="0" wp14:anchorId="5504CDCE" wp14:editId="345842AF">
            <wp:extent cx="6086475" cy="3219450"/>
            <wp:effectExtent l="0" t="0" r="0" b="0"/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r w:rsidRPr="008C3D21">
        <w:rPr>
          <w:rFonts w:ascii="Times New Roman" w:hAnsi="Times New Roman"/>
          <w:i/>
          <w:szCs w:val="18"/>
        </w:rPr>
        <w:t>Fuente</w:t>
      </w:r>
      <w:r w:rsidRPr="00612A06">
        <w:rPr>
          <w:rFonts w:ascii="Times New Roman" w:hAnsi="Times New Roman"/>
          <w:szCs w:val="18"/>
        </w:rPr>
        <w:t xml:space="preserve">: </w:t>
      </w:r>
      <w:proofErr w:type="spellStart"/>
      <w:r w:rsidRPr="00612A06">
        <w:rPr>
          <w:rFonts w:ascii="Times New Roman" w:hAnsi="Times New Roman"/>
          <w:szCs w:val="18"/>
        </w:rPr>
        <w:t>Eurofound</w:t>
      </w:r>
      <w:proofErr w:type="spellEnd"/>
      <w:r w:rsidRPr="00612A06">
        <w:rPr>
          <w:rFonts w:ascii="Times New Roman" w:hAnsi="Times New Roman"/>
          <w:szCs w:val="18"/>
        </w:rPr>
        <w:t>, EWCS (2005-2015).</w:t>
      </w:r>
    </w:p>
    <w:p w14:paraId="180540B5" w14:textId="77777777" w:rsidR="00273C90" w:rsidRDefault="00273C90"/>
    <w:p w14:paraId="4E9CADEA" w14:textId="77777777" w:rsidR="00273C90" w:rsidRDefault="00273C90" w:rsidP="00273C90">
      <w:pPr>
        <w:autoSpaceDE w:val="0"/>
        <w:autoSpaceDN w:val="0"/>
        <w:adjustRightInd w:val="0"/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Figura 2</w:t>
      </w:r>
      <w:r>
        <w:rPr>
          <w:rFonts w:ascii="Times New Roman" w:hAnsi="Times New Roman"/>
        </w:rPr>
        <w:t>. Porcentaje de asalariados del sector privado que han recibido formación proporcionada por el empleador en los últimos 12 meses en países europeos, 1995-2015</w:t>
      </w:r>
    </w:p>
    <w:p w14:paraId="0B9E5C63" w14:textId="23017AD0" w:rsidR="00F00734" w:rsidRDefault="00F00734" w:rsidP="00273C90">
      <w:pPr>
        <w:autoSpaceDE w:val="0"/>
        <w:autoSpaceDN w:val="0"/>
        <w:adjustRightInd w:val="0"/>
        <w:spacing w:line="480" w:lineRule="auto"/>
        <w:rPr>
          <w:rFonts w:ascii="Times New Roman" w:hAnsi="Times New Roman"/>
        </w:rPr>
      </w:pPr>
      <w:r>
        <w:rPr>
          <w:noProof/>
          <w:lang w:val="en-GB" w:eastAsia="en-GB"/>
        </w:rPr>
        <w:drawing>
          <wp:inline distT="0" distB="0" distL="0" distR="0" wp14:anchorId="0AD14A5E" wp14:editId="7DD176F8">
            <wp:extent cx="6087600" cy="3218400"/>
            <wp:effectExtent l="0" t="0" r="8890" b="1270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1389456A" w14:textId="658015CE" w:rsidR="00273C90" w:rsidRDefault="00273C90" w:rsidP="00273C90">
      <w:pPr>
        <w:spacing w:before="80" w:after="360" w:line="48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i/>
        </w:rPr>
        <w:t>Fuente</w:t>
      </w:r>
      <w:r>
        <w:rPr>
          <w:rFonts w:ascii="Times New Roman" w:eastAsia="Times New Roman" w:hAnsi="Times New Roman"/>
        </w:rPr>
        <w:t xml:space="preserve">: </w:t>
      </w:r>
      <w:proofErr w:type="spellStart"/>
      <w:r>
        <w:rPr>
          <w:rFonts w:ascii="Times New Roman" w:eastAsia="Times New Roman" w:hAnsi="Times New Roman"/>
        </w:rPr>
        <w:t>Eurofound</w:t>
      </w:r>
      <w:proofErr w:type="spellEnd"/>
      <w:r>
        <w:rPr>
          <w:rFonts w:ascii="Times New Roman" w:eastAsia="Times New Roman" w:hAnsi="Times New Roman"/>
        </w:rPr>
        <w:t>, EWCS</w:t>
      </w:r>
      <w:r w:rsidR="00AD28D5">
        <w:rPr>
          <w:rFonts w:ascii="Times New Roman" w:eastAsia="Times New Roman" w:hAnsi="Times New Roman"/>
        </w:rPr>
        <w:t xml:space="preserve"> (</w:t>
      </w:r>
      <w:r>
        <w:rPr>
          <w:rFonts w:ascii="Times New Roman" w:eastAsia="Times New Roman" w:hAnsi="Times New Roman"/>
        </w:rPr>
        <w:t>1995-2015</w:t>
      </w:r>
      <w:r w:rsidR="00AD28D5">
        <w:rPr>
          <w:rFonts w:ascii="Times New Roman" w:eastAsia="Times New Roman" w:hAnsi="Times New Roman"/>
        </w:rPr>
        <w:t>)</w:t>
      </w:r>
      <w:r>
        <w:rPr>
          <w:rFonts w:ascii="Times New Roman" w:eastAsia="Times New Roman" w:hAnsi="Times New Roman"/>
        </w:rPr>
        <w:t>.</w:t>
      </w:r>
      <w:bookmarkStart w:id="0" w:name="_GoBack"/>
      <w:bookmarkEnd w:id="0"/>
    </w:p>
    <w:sectPr w:rsidR="00273C90" w:rsidSect="00EE1DDF"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026E54"/>
    <w:multiLevelType w:val="multilevel"/>
    <w:tmpl w:val="B8F65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DDF"/>
    <w:rsid w:val="0007415C"/>
    <w:rsid w:val="00083EE6"/>
    <w:rsid w:val="00246D7E"/>
    <w:rsid w:val="00273C90"/>
    <w:rsid w:val="00317FC8"/>
    <w:rsid w:val="00335E7B"/>
    <w:rsid w:val="00600C5F"/>
    <w:rsid w:val="006B7D3C"/>
    <w:rsid w:val="00707A0E"/>
    <w:rsid w:val="0074150C"/>
    <w:rsid w:val="00A85245"/>
    <w:rsid w:val="00AB757D"/>
    <w:rsid w:val="00AD28D5"/>
    <w:rsid w:val="00CB1074"/>
    <w:rsid w:val="00EA4A4F"/>
    <w:rsid w:val="00ED57F8"/>
    <w:rsid w:val="00EE1DDF"/>
    <w:rsid w:val="00F00734"/>
    <w:rsid w:val="00F41E2E"/>
    <w:rsid w:val="00F6322C"/>
    <w:rsid w:val="00F93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18A81"/>
  <w14:defaultImageDpi w14:val="32767"/>
  <w15:chartTrackingRefBased/>
  <w15:docId w15:val="{4D2FC502-E4BE-5F4D-A0FD-9D8D59B89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DDF"/>
    <w:rPr>
      <w:rFonts w:ascii="Calibri" w:eastAsia="Calibri" w:hAnsi="Calibri" w:cs="Times New Roman"/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ED57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2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8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2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2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2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4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6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uario\Desktop\BIOCES\Conciliaci&#243;n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Gabriel_cueto\Desktop\Proyecto%20Nacional%20Ana\Paper%20con%20R%20&amp;%20S\training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Hoja7!$B$1</c:f>
              <c:strCache>
                <c:ptCount val="1"/>
                <c:pt idx="0">
                  <c:v>Alemania</c:v>
                </c:pt>
              </c:strCache>
            </c:strRef>
          </c:tx>
          <c:spPr>
            <a:ln w="25400">
              <a:solidFill>
                <a:schemeClr val="tx1">
                  <a:lumMod val="95000"/>
                  <a:lumOff val="5000"/>
                </a:schemeClr>
              </a:solidFill>
              <a:prstDash val="sysDot"/>
            </a:ln>
          </c:spPr>
          <c:marker>
            <c:symbol val="none"/>
          </c:marker>
          <c:cat>
            <c:numRef>
              <c:f>Hoja7!$A$2:$A$4</c:f>
              <c:numCache>
                <c:formatCode>General</c:formatCode>
                <c:ptCount val="3"/>
                <c:pt idx="0">
                  <c:v>2005</c:v>
                </c:pt>
                <c:pt idx="1">
                  <c:v>2010</c:v>
                </c:pt>
                <c:pt idx="2">
                  <c:v>2015</c:v>
                </c:pt>
              </c:numCache>
            </c:numRef>
          </c:cat>
          <c:val>
            <c:numRef>
              <c:f>Hoja7!$B$2:$B$4</c:f>
              <c:numCache>
                <c:formatCode>0.0</c:formatCode>
                <c:ptCount val="3"/>
                <c:pt idx="0">
                  <c:v>23.887973640856671</c:v>
                </c:pt>
                <c:pt idx="1">
                  <c:v>28.259286234522921</c:v>
                </c:pt>
                <c:pt idx="2">
                  <c:v>27.03894195444526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0CFD-D54A-8431-1226574B8042}"/>
            </c:ext>
          </c:extLst>
        </c:ser>
        <c:ser>
          <c:idx val="1"/>
          <c:order val="1"/>
          <c:tx>
            <c:strRef>
              <c:f>Hoja7!$C$1</c:f>
              <c:strCache>
                <c:ptCount val="1"/>
                <c:pt idx="0">
                  <c:v>España</c:v>
                </c:pt>
              </c:strCache>
            </c:strRef>
          </c:tx>
          <c:spPr>
            <a:ln w="25400">
              <a:solidFill>
                <a:schemeClr val="tx1">
                  <a:lumMod val="95000"/>
                  <a:lumOff val="5000"/>
                </a:schemeClr>
              </a:solidFill>
              <a:prstDash val="dash"/>
            </a:ln>
          </c:spPr>
          <c:marker>
            <c:symbol val="none"/>
          </c:marker>
          <c:cat>
            <c:numRef>
              <c:f>Hoja7!$A$2:$A$4</c:f>
              <c:numCache>
                <c:formatCode>General</c:formatCode>
                <c:ptCount val="3"/>
                <c:pt idx="0">
                  <c:v>2005</c:v>
                </c:pt>
                <c:pt idx="1">
                  <c:v>2010</c:v>
                </c:pt>
                <c:pt idx="2">
                  <c:v>2015</c:v>
                </c:pt>
              </c:numCache>
            </c:numRef>
          </c:cat>
          <c:val>
            <c:numRef>
              <c:f>Hoja7!$C$2:$C$4</c:f>
              <c:numCache>
                <c:formatCode>0.0</c:formatCode>
                <c:ptCount val="3"/>
                <c:pt idx="0">
                  <c:v>11.058451816745659</c:v>
                </c:pt>
                <c:pt idx="1">
                  <c:v>10.1823708206687</c:v>
                </c:pt>
                <c:pt idx="2">
                  <c:v>15.44190665342602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0CFD-D54A-8431-1226574B8042}"/>
            </c:ext>
          </c:extLst>
        </c:ser>
        <c:ser>
          <c:idx val="2"/>
          <c:order val="2"/>
          <c:tx>
            <c:strRef>
              <c:f>Hoja7!$D$1</c:f>
              <c:strCache>
                <c:ptCount val="1"/>
                <c:pt idx="0">
                  <c:v>Francia</c:v>
                </c:pt>
              </c:strCache>
            </c:strRef>
          </c:tx>
          <c:spPr>
            <a:ln w="25400">
              <a:solidFill>
                <a:schemeClr val="tx1">
                  <a:lumMod val="75000"/>
                  <a:lumOff val="25000"/>
                </a:schemeClr>
              </a:solidFill>
              <a:prstDash val="lgDashDot"/>
            </a:ln>
          </c:spPr>
          <c:marker>
            <c:symbol val="none"/>
          </c:marker>
          <c:cat>
            <c:numRef>
              <c:f>Hoja7!$A$2:$A$4</c:f>
              <c:numCache>
                <c:formatCode>General</c:formatCode>
                <c:ptCount val="3"/>
                <c:pt idx="0">
                  <c:v>2005</c:v>
                </c:pt>
                <c:pt idx="1">
                  <c:v>2010</c:v>
                </c:pt>
                <c:pt idx="2">
                  <c:v>2015</c:v>
                </c:pt>
              </c:numCache>
            </c:numRef>
          </c:cat>
          <c:val>
            <c:numRef>
              <c:f>Hoja7!$D$2:$D$4</c:f>
              <c:numCache>
                <c:formatCode>0.0</c:formatCode>
                <c:ptCount val="3"/>
                <c:pt idx="0">
                  <c:v>30.267558528428101</c:v>
                </c:pt>
                <c:pt idx="1">
                  <c:v>22.014051522248241</c:v>
                </c:pt>
                <c:pt idx="2">
                  <c:v>31.788079470198671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0CFD-D54A-8431-1226574B8042}"/>
            </c:ext>
          </c:extLst>
        </c:ser>
        <c:ser>
          <c:idx val="3"/>
          <c:order val="3"/>
          <c:tx>
            <c:strRef>
              <c:f>Hoja7!$E$1</c:f>
              <c:strCache>
                <c:ptCount val="1"/>
                <c:pt idx="0">
                  <c:v>Italia</c:v>
                </c:pt>
              </c:strCache>
            </c:strRef>
          </c:tx>
          <c:marker>
            <c:symbol val="none"/>
          </c:marker>
          <c:cat>
            <c:numRef>
              <c:f>Hoja7!$A$2:$A$4</c:f>
              <c:numCache>
                <c:formatCode>General</c:formatCode>
                <c:ptCount val="3"/>
                <c:pt idx="0">
                  <c:v>2005</c:v>
                </c:pt>
                <c:pt idx="1">
                  <c:v>2010</c:v>
                </c:pt>
                <c:pt idx="2">
                  <c:v>2015</c:v>
                </c:pt>
              </c:numCache>
            </c:numRef>
          </c:cat>
          <c:val>
            <c:numRef>
              <c:f>Hoja7!$E$2:$E$4</c:f>
              <c:numCache>
                <c:formatCode>0.0</c:formatCode>
                <c:ptCount val="3"/>
                <c:pt idx="0">
                  <c:v>20.607375271149671</c:v>
                </c:pt>
                <c:pt idx="1">
                  <c:v>17.564102564102559</c:v>
                </c:pt>
                <c:pt idx="2">
                  <c:v>18.208516886930969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0CFD-D54A-8431-1226574B8042}"/>
            </c:ext>
          </c:extLst>
        </c:ser>
        <c:ser>
          <c:idx val="4"/>
          <c:order val="4"/>
          <c:tx>
            <c:strRef>
              <c:f>Hoja7!$F$1</c:f>
              <c:strCache>
                <c:ptCount val="1"/>
                <c:pt idx="0">
                  <c:v>Polonia</c:v>
                </c:pt>
              </c:strCache>
            </c:strRef>
          </c:tx>
          <c:spPr>
            <a:ln w="25400">
              <a:prstDash val="sysDash"/>
            </a:ln>
          </c:spPr>
          <c:marker>
            <c:symbol val="none"/>
          </c:marker>
          <c:cat>
            <c:numRef>
              <c:f>Hoja7!$A$2:$A$4</c:f>
              <c:numCache>
                <c:formatCode>General</c:formatCode>
                <c:ptCount val="3"/>
                <c:pt idx="0">
                  <c:v>2005</c:v>
                </c:pt>
                <c:pt idx="1">
                  <c:v>2010</c:v>
                </c:pt>
                <c:pt idx="2">
                  <c:v>2015</c:v>
                </c:pt>
              </c:numCache>
            </c:numRef>
          </c:cat>
          <c:val>
            <c:numRef>
              <c:f>Hoja7!$F$2:$F$4</c:f>
              <c:numCache>
                <c:formatCode>0.0</c:formatCode>
                <c:ptCount val="3"/>
                <c:pt idx="0">
                  <c:v>15.730337078651679</c:v>
                </c:pt>
                <c:pt idx="1">
                  <c:v>13.768115942028979</c:v>
                </c:pt>
                <c:pt idx="2">
                  <c:v>20.41958041958042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4-0CFD-D54A-8431-1226574B8042}"/>
            </c:ext>
          </c:extLst>
        </c:ser>
        <c:ser>
          <c:idx val="5"/>
          <c:order val="5"/>
          <c:tx>
            <c:strRef>
              <c:f>Hoja7!$G$1</c:f>
              <c:strCache>
                <c:ptCount val="1"/>
                <c:pt idx="0">
                  <c:v>Reino Unido</c:v>
                </c:pt>
              </c:strCache>
            </c:strRef>
          </c:tx>
          <c:marker>
            <c:symbol val="none"/>
          </c:marker>
          <c:cat>
            <c:numRef>
              <c:f>Hoja7!$A$2:$A$4</c:f>
              <c:numCache>
                <c:formatCode>General</c:formatCode>
                <c:ptCount val="3"/>
                <c:pt idx="0">
                  <c:v>2005</c:v>
                </c:pt>
                <c:pt idx="1">
                  <c:v>2010</c:v>
                </c:pt>
                <c:pt idx="2">
                  <c:v>2015</c:v>
                </c:pt>
              </c:numCache>
            </c:numRef>
          </c:cat>
          <c:val>
            <c:numRef>
              <c:f>Hoja7!$G$2:$G$4</c:f>
              <c:numCache>
                <c:formatCode>0.0</c:formatCode>
                <c:ptCount val="3"/>
                <c:pt idx="0">
                  <c:v>30.681818181818201</c:v>
                </c:pt>
                <c:pt idx="1">
                  <c:v>19.10377358490566</c:v>
                </c:pt>
                <c:pt idx="2">
                  <c:v>27.681660899653981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5-0CFD-D54A-8431-1226574B804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1954518848"/>
        <c:axId val="-1955609824"/>
      </c:lineChart>
      <c:catAx>
        <c:axId val="-19545188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-1955609824"/>
        <c:crosses val="autoZero"/>
        <c:auto val="1"/>
        <c:lblAlgn val="ctr"/>
        <c:lblOffset val="100"/>
        <c:noMultiLvlLbl val="0"/>
      </c:catAx>
      <c:valAx>
        <c:axId val="-1955609824"/>
        <c:scaling>
          <c:orientation val="minMax"/>
        </c:scaling>
        <c:delete val="0"/>
        <c:axPos val="l"/>
        <c:majorGridlines/>
        <c:numFmt formatCode="0" sourceLinked="0"/>
        <c:majorTickMark val="out"/>
        <c:minorTickMark val="none"/>
        <c:tickLblPos val="nextTo"/>
        <c:crossAx val="-1954518848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0034188034188035E-2"/>
          <c:y val="4.6473719228210246E-2"/>
          <c:w val="0.76108300460223555"/>
          <c:h val="0.84373586161011316"/>
        </c:manualLayout>
      </c:layout>
      <c:lineChart>
        <c:grouping val="standard"/>
        <c:varyColors val="0"/>
        <c:ser>
          <c:idx val="0"/>
          <c:order val="0"/>
          <c:tx>
            <c:strRef>
              <c:f>comparative!$B$31</c:f>
              <c:strCache>
                <c:ptCount val="1"/>
                <c:pt idx="0">
                  <c:v>Alemania</c:v>
                </c:pt>
              </c:strCache>
            </c:strRef>
          </c:tx>
          <c:spPr>
            <a:ln w="28575" cap="rnd">
              <a:solidFill>
                <a:schemeClr val="tx1"/>
              </a:solidFill>
              <a:prstDash val="sysDot"/>
              <a:round/>
            </a:ln>
            <a:effectLst/>
          </c:spPr>
          <c:marker>
            <c:symbol val="none"/>
          </c:marker>
          <c:cat>
            <c:numRef>
              <c:f>comparative!$C$30:$G$30</c:f>
              <c:numCache>
                <c:formatCode>@</c:formatCode>
                <c:ptCount val="5"/>
                <c:pt idx="0">
                  <c:v>1995</c:v>
                </c:pt>
                <c:pt idx="1">
                  <c:v>2000</c:v>
                </c:pt>
                <c:pt idx="2">
                  <c:v>2005</c:v>
                </c:pt>
                <c:pt idx="3">
                  <c:v>2010</c:v>
                </c:pt>
                <c:pt idx="4">
                  <c:v>2015</c:v>
                </c:pt>
              </c:numCache>
            </c:numRef>
          </c:cat>
          <c:val>
            <c:numRef>
              <c:f>comparative!$C$31:$G$31</c:f>
              <c:numCache>
                <c:formatCode>0.0</c:formatCode>
                <c:ptCount val="5"/>
                <c:pt idx="0">
                  <c:v>26.585365853658537</c:v>
                </c:pt>
                <c:pt idx="1">
                  <c:v>24.021164021164022</c:v>
                </c:pt>
                <c:pt idx="2">
                  <c:v>20.52877138413686</c:v>
                </c:pt>
                <c:pt idx="3">
                  <c:v>28.661527680448494</c:v>
                </c:pt>
                <c:pt idx="4">
                  <c:v>32.444124008651762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comparative!$B$32</c:f>
              <c:strCache>
                <c:ptCount val="1"/>
                <c:pt idx="0">
                  <c:v>España</c:v>
                </c:pt>
              </c:strCache>
            </c:strRef>
          </c:tx>
          <c:spPr>
            <a:ln w="28575" cap="rnd">
              <a:solidFill>
                <a:schemeClr val="tx1"/>
              </a:solidFill>
              <a:prstDash val="dash"/>
              <a:round/>
            </a:ln>
            <a:effectLst/>
          </c:spPr>
          <c:marker>
            <c:symbol val="none"/>
          </c:marker>
          <c:cat>
            <c:numRef>
              <c:f>comparative!$C$30:$G$30</c:f>
              <c:numCache>
                <c:formatCode>@</c:formatCode>
                <c:ptCount val="5"/>
                <c:pt idx="0">
                  <c:v>1995</c:v>
                </c:pt>
                <c:pt idx="1">
                  <c:v>2000</c:v>
                </c:pt>
                <c:pt idx="2">
                  <c:v>2005</c:v>
                </c:pt>
                <c:pt idx="3">
                  <c:v>2010</c:v>
                </c:pt>
                <c:pt idx="4">
                  <c:v>2015</c:v>
                </c:pt>
              </c:numCache>
            </c:numRef>
          </c:cat>
          <c:val>
            <c:numRef>
              <c:f>comparative!$C$32:$G$32</c:f>
              <c:numCache>
                <c:formatCode>0.0</c:formatCode>
                <c:ptCount val="5"/>
                <c:pt idx="0">
                  <c:v>15.384615384615385</c:v>
                </c:pt>
                <c:pt idx="1">
                  <c:v>16.00496277915633</c:v>
                </c:pt>
                <c:pt idx="2">
                  <c:v>14.856230031948881</c:v>
                </c:pt>
                <c:pt idx="3">
                  <c:v>28.07017543859649</c:v>
                </c:pt>
                <c:pt idx="4">
                  <c:v>29.03533906399236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comparative!$B$33</c:f>
              <c:strCache>
                <c:ptCount val="1"/>
                <c:pt idx="0">
                  <c:v>Francia</c:v>
                </c:pt>
              </c:strCache>
            </c:strRef>
          </c:tx>
          <c:spPr>
            <a:ln w="28575" cap="rnd">
              <a:solidFill>
                <a:schemeClr val="tx1"/>
              </a:solidFill>
              <a:prstDash val="lgDashDot"/>
              <a:round/>
            </a:ln>
            <a:effectLst/>
          </c:spPr>
          <c:marker>
            <c:symbol val="none"/>
          </c:marker>
          <c:cat>
            <c:numRef>
              <c:f>comparative!$C$30:$G$30</c:f>
              <c:numCache>
                <c:formatCode>@</c:formatCode>
                <c:ptCount val="5"/>
                <c:pt idx="0">
                  <c:v>1995</c:v>
                </c:pt>
                <c:pt idx="1">
                  <c:v>2000</c:v>
                </c:pt>
                <c:pt idx="2">
                  <c:v>2005</c:v>
                </c:pt>
                <c:pt idx="3">
                  <c:v>2010</c:v>
                </c:pt>
                <c:pt idx="4">
                  <c:v>2015</c:v>
                </c:pt>
              </c:numCache>
            </c:numRef>
          </c:cat>
          <c:val>
            <c:numRef>
              <c:f>comparative!$C$33:$G$33</c:f>
              <c:numCache>
                <c:formatCode>0.0</c:formatCode>
                <c:ptCount val="5"/>
                <c:pt idx="0">
                  <c:v>20.24866785079929</c:v>
                </c:pt>
                <c:pt idx="1">
                  <c:v>19.600938967136152</c:v>
                </c:pt>
                <c:pt idx="2">
                  <c:v>22.204213938411669</c:v>
                </c:pt>
                <c:pt idx="3">
                  <c:v>21.31419105466593</c:v>
                </c:pt>
                <c:pt idx="4">
                  <c:v>36.443468715697037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comparative!$B$34</c:f>
              <c:strCache>
                <c:ptCount val="1"/>
                <c:pt idx="0">
                  <c:v>Italia</c:v>
                </c:pt>
              </c:strCache>
            </c:strRef>
          </c:tx>
          <c:spPr>
            <a:ln w="28575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cat>
            <c:numRef>
              <c:f>comparative!$C$30:$G$30</c:f>
              <c:numCache>
                <c:formatCode>@</c:formatCode>
                <c:ptCount val="5"/>
                <c:pt idx="0">
                  <c:v>1995</c:v>
                </c:pt>
                <c:pt idx="1">
                  <c:v>2000</c:v>
                </c:pt>
                <c:pt idx="2">
                  <c:v>2005</c:v>
                </c:pt>
                <c:pt idx="3">
                  <c:v>2010</c:v>
                </c:pt>
                <c:pt idx="4">
                  <c:v>2015</c:v>
                </c:pt>
              </c:numCache>
            </c:numRef>
          </c:cat>
          <c:val>
            <c:numRef>
              <c:f>comparative!$C$34:$G$34</c:f>
              <c:numCache>
                <c:formatCode>0.0</c:formatCode>
                <c:ptCount val="5"/>
                <c:pt idx="0">
                  <c:v>13.636363636363635</c:v>
                </c:pt>
                <c:pt idx="1">
                  <c:v>20.027816411682892</c:v>
                </c:pt>
                <c:pt idx="2">
                  <c:v>13.655462184873949</c:v>
                </c:pt>
                <c:pt idx="3">
                  <c:v>23.480662983425415</c:v>
                </c:pt>
                <c:pt idx="4">
                  <c:v>23.030303030303031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comparative!$B$35</c:f>
              <c:strCache>
                <c:ptCount val="1"/>
                <c:pt idx="0">
                  <c:v>Polonia</c:v>
                </c:pt>
              </c:strCache>
            </c:strRef>
          </c:tx>
          <c:spPr>
            <a:ln w="28575" cap="rnd">
              <a:solidFill>
                <a:schemeClr val="bg1">
                  <a:lumMod val="65000"/>
                </a:schemeClr>
              </a:solidFill>
              <a:prstDash val="sysDash"/>
              <a:round/>
            </a:ln>
            <a:effectLst/>
          </c:spPr>
          <c:marker>
            <c:symbol val="none"/>
          </c:marker>
          <c:cat>
            <c:numRef>
              <c:f>comparative!$C$30:$G$30</c:f>
              <c:numCache>
                <c:formatCode>@</c:formatCode>
                <c:ptCount val="5"/>
                <c:pt idx="0">
                  <c:v>1995</c:v>
                </c:pt>
                <c:pt idx="1">
                  <c:v>2000</c:v>
                </c:pt>
                <c:pt idx="2">
                  <c:v>2005</c:v>
                </c:pt>
                <c:pt idx="3">
                  <c:v>2010</c:v>
                </c:pt>
                <c:pt idx="4">
                  <c:v>2015</c:v>
                </c:pt>
              </c:numCache>
            </c:numRef>
          </c:cat>
          <c:val>
            <c:numRef>
              <c:f>comparative!$C$35:$G$35</c:f>
              <c:numCache>
                <c:formatCode>General</c:formatCode>
                <c:ptCount val="5"/>
                <c:pt idx="2" formatCode="0.0">
                  <c:v>23.972602739726025</c:v>
                </c:pt>
                <c:pt idx="3" formatCode="0.0">
                  <c:v>27.445652173913043</c:v>
                </c:pt>
                <c:pt idx="4" formatCode="0.0">
                  <c:v>32.113821138211385</c:v>
                </c:pt>
              </c:numCache>
            </c:numRef>
          </c:val>
          <c:smooth val="0"/>
        </c:ser>
        <c:ser>
          <c:idx val="5"/>
          <c:order val="5"/>
          <c:tx>
            <c:strRef>
              <c:f>comparative!$B$36</c:f>
              <c:strCache>
                <c:ptCount val="1"/>
                <c:pt idx="0">
                  <c:v>Reino Unido</c:v>
                </c:pt>
              </c:strCache>
            </c:strRef>
          </c:tx>
          <c:spPr>
            <a:ln w="28575" cap="rnd">
              <a:solidFill>
                <a:schemeClr val="bg1">
                  <a:lumMod val="85000"/>
                </a:schemeClr>
              </a:solidFill>
              <a:prstDash val="solid"/>
              <a:round/>
            </a:ln>
            <a:effectLst/>
          </c:spPr>
          <c:marker>
            <c:symbol val="none"/>
          </c:marker>
          <c:cat>
            <c:numRef>
              <c:f>comparative!$C$30:$G$30</c:f>
              <c:numCache>
                <c:formatCode>@</c:formatCode>
                <c:ptCount val="5"/>
                <c:pt idx="0">
                  <c:v>1995</c:v>
                </c:pt>
                <c:pt idx="1">
                  <c:v>2000</c:v>
                </c:pt>
                <c:pt idx="2">
                  <c:v>2005</c:v>
                </c:pt>
                <c:pt idx="3">
                  <c:v>2010</c:v>
                </c:pt>
                <c:pt idx="4">
                  <c:v>2015</c:v>
                </c:pt>
              </c:numCache>
            </c:numRef>
          </c:cat>
          <c:val>
            <c:numRef>
              <c:f>comparative!$C$36:$G$36</c:f>
              <c:numCache>
                <c:formatCode>0.0</c:formatCode>
                <c:ptCount val="5"/>
                <c:pt idx="0">
                  <c:v>47.201492537313435</c:v>
                </c:pt>
                <c:pt idx="1">
                  <c:v>44.835680751173705</c:v>
                </c:pt>
                <c:pt idx="2">
                  <c:v>35.731414868105517</c:v>
                </c:pt>
                <c:pt idx="3">
                  <c:v>37.315270935960591</c:v>
                </c:pt>
                <c:pt idx="4">
                  <c:v>49.170616113744074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1955603840"/>
        <c:axId val="-1955604384"/>
      </c:lineChart>
      <c:catAx>
        <c:axId val="-1955603840"/>
        <c:scaling>
          <c:orientation val="minMax"/>
        </c:scaling>
        <c:delete val="0"/>
        <c:axPos val="b"/>
        <c:numFmt formatCode="@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955604384"/>
        <c:crosses val="autoZero"/>
        <c:auto val="1"/>
        <c:lblAlgn val="ctr"/>
        <c:lblOffset val="100"/>
        <c:noMultiLvlLbl val="0"/>
      </c:catAx>
      <c:valAx>
        <c:axId val="-1955604384"/>
        <c:scaling>
          <c:orientation val="minMax"/>
          <c:max val="5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955603840"/>
        <c:crosses val="autoZero"/>
        <c:crossBetween val="between"/>
        <c:majorUnit val="10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81951927926388712"/>
          <c:y val="0.25378909818593115"/>
          <c:w val="0.17839431295200531"/>
          <c:h val="0.6123992015968062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Sigita Doblyte</dc:creator>
  <cp:keywords/>
  <dc:description/>
  <cp:lastModifiedBy>Gabriel Cueto Pruneda</cp:lastModifiedBy>
  <cp:revision>8</cp:revision>
  <dcterms:created xsi:type="dcterms:W3CDTF">2019-03-11T18:05:00Z</dcterms:created>
  <dcterms:modified xsi:type="dcterms:W3CDTF">2019-03-14T19:55:00Z</dcterms:modified>
</cp:coreProperties>
</file>