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AA3" w:rsidRPr="004775B7" w:rsidRDefault="0083539F" w:rsidP="00767AA3">
      <w:pPr>
        <w:spacing w:after="0" w:line="240" w:lineRule="auto"/>
        <w:contextualSpacing/>
        <w:rPr>
          <w:smallCaps/>
        </w:rPr>
      </w:pPr>
      <w:r>
        <w:rPr>
          <w:smallCaps/>
        </w:rPr>
        <w:t>Gráfico 3</w:t>
      </w:r>
      <w:r w:rsidR="00767AA3" w:rsidRPr="004775B7">
        <w:rPr>
          <w:smallCaps/>
        </w:rPr>
        <w:t xml:space="preserve">. </w:t>
      </w:r>
    </w:p>
    <w:p w:rsidR="00767AA3" w:rsidRPr="004775B7" w:rsidRDefault="00767AA3" w:rsidP="00767AA3">
      <w:pPr>
        <w:spacing w:after="0" w:line="240" w:lineRule="auto"/>
        <w:contextualSpacing/>
        <w:rPr>
          <w:smallCaps/>
        </w:rPr>
      </w:pPr>
      <w:r>
        <w:rPr>
          <w:smallCaps/>
        </w:rPr>
        <w:t>Artículos dedicados a la ONU, la OTAN y la Unión Europea por año</w:t>
      </w:r>
    </w:p>
    <w:p w:rsidR="00767AA3" w:rsidRDefault="00767AA3" w:rsidP="00767AA3">
      <w:pPr>
        <w:spacing w:after="0" w:line="240" w:lineRule="auto"/>
        <w:contextualSpacing/>
      </w:pPr>
      <w:r w:rsidRPr="00AD54C3">
        <w:rPr>
          <w:noProof/>
          <w:lang w:eastAsia="es-ES"/>
        </w:rPr>
        <w:drawing>
          <wp:inline distT="0" distB="0" distL="0" distR="0">
            <wp:extent cx="5400040" cy="2422625"/>
            <wp:effectExtent l="0" t="0" r="0" b="0"/>
            <wp:docPr id="9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67AA3" w:rsidRPr="0059368E" w:rsidRDefault="00767AA3" w:rsidP="00767AA3">
      <w:pPr>
        <w:spacing w:after="0" w:line="240" w:lineRule="auto"/>
        <w:contextualSpacing/>
        <w:rPr>
          <w:sz w:val="20"/>
        </w:rPr>
      </w:pPr>
      <w:r w:rsidRPr="00AF4E29">
        <w:rPr>
          <w:i/>
          <w:sz w:val="20"/>
        </w:rPr>
        <w:t>Fuente</w:t>
      </w:r>
      <w:r>
        <w:rPr>
          <w:sz w:val="20"/>
        </w:rPr>
        <w:t xml:space="preserve">: </w:t>
      </w:r>
      <w:r w:rsidRPr="0059368E">
        <w:rPr>
          <w:sz w:val="20"/>
        </w:rPr>
        <w:t>Elaboración propia.</w:t>
      </w:r>
    </w:p>
    <w:p w:rsidR="00C21676" w:rsidRDefault="00C21676"/>
    <w:sectPr w:rsidR="00C21676" w:rsidSect="00C83647">
      <w:head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297" w:rsidRDefault="00804297" w:rsidP="00B814DB">
      <w:pPr>
        <w:spacing w:after="0" w:line="240" w:lineRule="auto"/>
      </w:pPr>
      <w:r>
        <w:separator/>
      </w:r>
    </w:p>
  </w:endnote>
  <w:endnote w:type="continuationSeparator" w:id="1">
    <w:p w:rsidR="00804297" w:rsidRDefault="00804297" w:rsidP="00B8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297" w:rsidRDefault="00804297" w:rsidP="00B814DB">
      <w:pPr>
        <w:spacing w:after="0" w:line="240" w:lineRule="auto"/>
      </w:pPr>
      <w:r>
        <w:separator/>
      </w:r>
    </w:p>
  </w:footnote>
  <w:footnote w:type="continuationSeparator" w:id="1">
    <w:p w:rsidR="00804297" w:rsidRDefault="00804297" w:rsidP="00B8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D238A4B2260345B6AD59A65AA4B1E1C2"/>
      </w:placeholder>
      <w:temporary/>
      <w:showingPlcHdr/>
    </w:sdtPr>
    <w:sdtContent>
      <w:p w:rsidR="00B814DB" w:rsidRDefault="00B814DB">
        <w:pPr>
          <w:pStyle w:val="Encabezado"/>
        </w:pPr>
        <w:r>
          <w:t>[Escribir texto]</w:t>
        </w:r>
      </w:p>
    </w:sdtContent>
  </w:sdt>
  <w:p w:rsidR="00B814DB" w:rsidRDefault="00B814D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B"/>
    <w:rsid w:val="00010605"/>
    <w:rsid w:val="001916E6"/>
    <w:rsid w:val="00767AA3"/>
    <w:rsid w:val="007C0FE1"/>
    <w:rsid w:val="007C4033"/>
    <w:rsid w:val="00804297"/>
    <w:rsid w:val="0083539F"/>
    <w:rsid w:val="008F0552"/>
    <w:rsid w:val="009353DA"/>
    <w:rsid w:val="00A2583F"/>
    <w:rsid w:val="00B2611D"/>
    <w:rsid w:val="00B814DB"/>
    <w:rsid w:val="00C21676"/>
    <w:rsid w:val="00C83647"/>
    <w:rsid w:val="00DC5253"/>
    <w:rsid w:val="00DE0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AA3"/>
    <w:pPr>
      <w:spacing w:after="120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1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4DB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B81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814DB"/>
    <w:rPr>
      <w:rFonts w:ascii="Times New Roman" w:hAnsi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1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TRABAJO\INV_TESIS\TNT\A2%20La%20agenda%20de%20investigaci&#243;n%20en%20la%20academia%20espa&#241;ola\MATERIALES\Art&#237;culos%20cient&#237;ficos%20EE%20&#209;%2078-18_v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/>
      <c:barChart>
        <c:barDir val="col"/>
        <c:grouping val="clustered"/>
        <c:ser>
          <c:idx val="0"/>
          <c:order val="0"/>
          <c:tx>
            <c:strRef>
              <c:f>Hoja2!$A$1</c:f>
              <c:strCache>
                <c:ptCount val="1"/>
                <c:pt idx="0">
                  <c:v>OTAN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cat>
            <c:numRef>
              <c:f>A.G.!$A$2:$A$42</c:f>
              <c:numCache>
                <c:formatCode>General</c:formatCode>
                <c:ptCount val="41"/>
                <c:pt idx="0">
                  <c:v>1978</c:v>
                </c:pt>
                <c:pt idx="1">
                  <c:v>1979</c:v>
                </c:pt>
                <c:pt idx="2">
                  <c:v>1980</c:v>
                </c:pt>
                <c:pt idx="3">
                  <c:v>1981</c:v>
                </c:pt>
                <c:pt idx="4">
                  <c:v>1982</c:v>
                </c:pt>
                <c:pt idx="5">
                  <c:v>1983</c:v>
                </c:pt>
                <c:pt idx="6">
                  <c:v>1984</c:v>
                </c:pt>
                <c:pt idx="7">
                  <c:v>1985</c:v>
                </c:pt>
                <c:pt idx="8">
                  <c:v>1986</c:v>
                </c:pt>
                <c:pt idx="9">
                  <c:v>1987</c:v>
                </c:pt>
                <c:pt idx="10">
                  <c:v>1988</c:v>
                </c:pt>
                <c:pt idx="11">
                  <c:v>1989</c:v>
                </c:pt>
                <c:pt idx="12">
                  <c:v>1990</c:v>
                </c:pt>
                <c:pt idx="13">
                  <c:v>1991</c:v>
                </c:pt>
                <c:pt idx="14">
                  <c:v>1992</c:v>
                </c:pt>
                <c:pt idx="15">
                  <c:v>1993</c:v>
                </c:pt>
                <c:pt idx="16">
                  <c:v>1994</c:v>
                </c:pt>
                <c:pt idx="17">
                  <c:v>1995</c:v>
                </c:pt>
                <c:pt idx="18">
                  <c:v>1996</c:v>
                </c:pt>
                <c:pt idx="19">
                  <c:v>1997</c:v>
                </c:pt>
                <c:pt idx="20">
                  <c:v>1998</c:v>
                </c:pt>
                <c:pt idx="21">
                  <c:v>1999</c:v>
                </c:pt>
                <c:pt idx="22">
                  <c:v>2000</c:v>
                </c:pt>
                <c:pt idx="23">
                  <c:v>2001</c:v>
                </c:pt>
                <c:pt idx="24">
                  <c:v>2002</c:v>
                </c:pt>
                <c:pt idx="25">
                  <c:v>2003</c:v>
                </c:pt>
                <c:pt idx="26">
                  <c:v>2004</c:v>
                </c:pt>
                <c:pt idx="27">
                  <c:v>2005</c:v>
                </c:pt>
                <c:pt idx="28">
                  <c:v>2006</c:v>
                </c:pt>
                <c:pt idx="29">
                  <c:v>2007</c:v>
                </c:pt>
                <c:pt idx="30">
                  <c:v>2008</c:v>
                </c:pt>
                <c:pt idx="31">
                  <c:v>2009</c:v>
                </c:pt>
                <c:pt idx="32">
                  <c:v>2010</c:v>
                </c:pt>
                <c:pt idx="33">
                  <c:v>2011</c:v>
                </c:pt>
                <c:pt idx="34">
                  <c:v>2012</c:v>
                </c:pt>
                <c:pt idx="35">
                  <c:v>2013</c:v>
                </c:pt>
                <c:pt idx="36">
                  <c:v>2014</c:v>
                </c:pt>
                <c:pt idx="37">
                  <c:v>2015</c:v>
                </c:pt>
                <c:pt idx="38">
                  <c:v>2016</c:v>
                </c:pt>
                <c:pt idx="39">
                  <c:v>2017</c:v>
                </c:pt>
                <c:pt idx="40">
                  <c:v>2018</c:v>
                </c:pt>
              </c:numCache>
            </c:numRef>
          </c:cat>
          <c:val>
            <c:numRef>
              <c:f>Hoja2!$A$2:$A$42</c:f>
              <c:numCache>
                <c:formatCode>General</c:formatCode>
                <c:ptCount val="4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3</c:v>
                </c:pt>
                <c:pt idx="7">
                  <c:v>1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1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  <c:pt idx="17">
                  <c:v>0</c:v>
                </c:pt>
                <c:pt idx="18">
                  <c:v>0</c:v>
                </c:pt>
                <c:pt idx="19">
                  <c:v>4</c:v>
                </c:pt>
                <c:pt idx="20">
                  <c:v>1</c:v>
                </c:pt>
                <c:pt idx="21">
                  <c:v>1</c:v>
                </c:pt>
                <c:pt idx="22">
                  <c:v>3</c:v>
                </c:pt>
                <c:pt idx="23">
                  <c:v>0</c:v>
                </c:pt>
                <c:pt idx="24">
                  <c:v>1</c:v>
                </c:pt>
                <c:pt idx="25">
                  <c:v>2</c:v>
                </c:pt>
                <c:pt idx="26">
                  <c:v>0</c:v>
                </c:pt>
                <c:pt idx="27">
                  <c:v>4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  <c:pt idx="31">
                  <c:v>0</c:v>
                </c:pt>
                <c:pt idx="32">
                  <c:v>12</c:v>
                </c:pt>
                <c:pt idx="33">
                  <c:v>3</c:v>
                </c:pt>
                <c:pt idx="34">
                  <c:v>3</c:v>
                </c:pt>
                <c:pt idx="35">
                  <c:v>1</c:v>
                </c:pt>
                <c:pt idx="36">
                  <c:v>1</c:v>
                </c:pt>
                <c:pt idx="37">
                  <c:v>2</c:v>
                </c:pt>
                <c:pt idx="38">
                  <c:v>5</c:v>
                </c:pt>
                <c:pt idx="39">
                  <c:v>1</c:v>
                </c:pt>
                <c:pt idx="40">
                  <c:v>2</c:v>
                </c:pt>
              </c:numCache>
            </c:numRef>
          </c:val>
        </c:ser>
        <c:ser>
          <c:idx val="1"/>
          <c:order val="1"/>
          <c:tx>
            <c:strRef>
              <c:f>Hoja2!$B$1</c:f>
              <c:strCache>
                <c:ptCount val="1"/>
                <c:pt idx="0">
                  <c:v>ONU</c:v>
                </c:pt>
              </c:strCache>
            </c:strRef>
          </c:tx>
          <c:cat>
            <c:numRef>
              <c:f>A.G.!$A$2:$A$42</c:f>
              <c:numCache>
                <c:formatCode>General</c:formatCode>
                <c:ptCount val="41"/>
                <c:pt idx="0">
                  <c:v>1978</c:v>
                </c:pt>
                <c:pt idx="1">
                  <c:v>1979</c:v>
                </c:pt>
                <c:pt idx="2">
                  <c:v>1980</c:v>
                </c:pt>
                <c:pt idx="3">
                  <c:v>1981</c:v>
                </c:pt>
                <c:pt idx="4">
                  <c:v>1982</c:v>
                </c:pt>
                <c:pt idx="5">
                  <c:v>1983</c:v>
                </c:pt>
                <c:pt idx="6">
                  <c:v>1984</c:v>
                </c:pt>
                <c:pt idx="7">
                  <c:v>1985</c:v>
                </c:pt>
                <c:pt idx="8">
                  <c:v>1986</c:v>
                </c:pt>
                <c:pt idx="9">
                  <c:v>1987</c:v>
                </c:pt>
                <c:pt idx="10">
                  <c:v>1988</c:v>
                </c:pt>
                <c:pt idx="11">
                  <c:v>1989</c:v>
                </c:pt>
                <c:pt idx="12">
                  <c:v>1990</c:v>
                </c:pt>
                <c:pt idx="13">
                  <c:v>1991</c:v>
                </c:pt>
                <c:pt idx="14">
                  <c:v>1992</c:v>
                </c:pt>
                <c:pt idx="15">
                  <c:v>1993</c:v>
                </c:pt>
                <c:pt idx="16">
                  <c:v>1994</c:v>
                </c:pt>
                <c:pt idx="17">
                  <c:v>1995</c:v>
                </c:pt>
                <c:pt idx="18">
                  <c:v>1996</c:v>
                </c:pt>
                <c:pt idx="19">
                  <c:v>1997</c:v>
                </c:pt>
                <c:pt idx="20">
                  <c:v>1998</c:v>
                </c:pt>
                <c:pt idx="21">
                  <c:v>1999</c:v>
                </c:pt>
                <c:pt idx="22">
                  <c:v>2000</c:v>
                </c:pt>
                <c:pt idx="23">
                  <c:v>2001</c:v>
                </c:pt>
                <c:pt idx="24">
                  <c:v>2002</c:v>
                </c:pt>
                <c:pt idx="25">
                  <c:v>2003</c:v>
                </c:pt>
                <c:pt idx="26">
                  <c:v>2004</c:v>
                </c:pt>
                <c:pt idx="27">
                  <c:v>2005</c:v>
                </c:pt>
                <c:pt idx="28">
                  <c:v>2006</c:v>
                </c:pt>
                <c:pt idx="29">
                  <c:v>2007</c:v>
                </c:pt>
                <c:pt idx="30">
                  <c:v>2008</c:v>
                </c:pt>
                <c:pt idx="31">
                  <c:v>2009</c:v>
                </c:pt>
                <c:pt idx="32">
                  <c:v>2010</c:v>
                </c:pt>
                <c:pt idx="33">
                  <c:v>2011</c:v>
                </c:pt>
                <c:pt idx="34">
                  <c:v>2012</c:v>
                </c:pt>
                <c:pt idx="35">
                  <c:v>2013</c:v>
                </c:pt>
                <c:pt idx="36">
                  <c:v>2014</c:v>
                </c:pt>
                <c:pt idx="37">
                  <c:v>2015</c:v>
                </c:pt>
                <c:pt idx="38">
                  <c:v>2016</c:v>
                </c:pt>
                <c:pt idx="39">
                  <c:v>2017</c:v>
                </c:pt>
                <c:pt idx="40">
                  <c:v>2018</c:v>
                </c:pt>
              </c:numCache>
            </c:numRef>
          </c:cat>
          <c:val>
            <c:numRef>
              <c:f>Hoja2!$B$2:$B$42</c:f>
              <c:numCache>
                <c:formatCode>General</c:formatCode>
                <c:ptCount val="41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1</c:v>
                </c:pt>
                <c:pt idx="17">
                  <c:v>2</c:v>
                </c:pt>
                <c:pt idx="18">
                  <c:v>1</c:v>
                </c:pt>
                <c:pt idx="19">
                  <c:v>1</c:v>
                </c:pt>
                <c:pt idx="20">
                  <c:v>0</c:v>
                </c:pt>
                <c:pt idx="21">
                  <c:v>1</c:v>
                </c:pt>
                <c:pt idx="22">
                  <c:v>0</c:v>
                </c:pt>
                <c:pt idx="23">
                  <c:v>1</c:v>
                </c:pt>
                <c:pt idx="24">
                  <c:v>2</c:v>
                </c:pt>
                <c:pt idx="25">
                  <c:v>4</c:v>
                </c:pt>
                <c:pt idx="26">
                  <c:v>1</c:v>
                </c:pt>
                <c:pt idx="27">
                  <c:v>5</c:v>
                </c:pt>
                <c:pt idx="28">
                  <c:v>4</c:v>
                </c:pt>
                <c:pt idx="29">
                  <c:v>2</c:v>
                </c:pt>
                <c:pt idx="30">
                  <c:v>0</c:v>
                </c:pt>
                <c:pt idx="31">
                  <c:v>1</c:v>
                </c:pt>
                <c:pt idx="32">
                  <c:v>0</c:v>
                </c:pt>
                <c:pt idx="33">
                  <c:v>4</c:v>
                </c:pt>
                <c:pt idx="34">
                  <c:v>0</c:v>
                </c:pt>
                <c:pt idx="35">
                  <c:v>3</c:v>
                </c:pt>
                <c:pt idx="36">
                  <c:v>3</c:v>
                </c:pt>
                <c:pt idx="37">
                  <c:v>4</c:v>
                </c:pt>
                <c:pt idx="38">
                  <c:v>1</c:v>
                </c:pt>
                <c:pt idx="39">
                  <c:v>2</c:v>
                </c:pt>
                <c:pt idx="40">
                  <c:v>2</c:v>
                </c:pt>
              </c:numCache>
            </c:numRef>
          </c:val>
        </c:ser>
        <c:ser>
          <c:idx val="2"/>
          <c:order val="2"/>
          <c:tx>
            <c:strRef>
              <c:f>Hoja2!$C$1</c:f>
              <c:strCache>
                <c:ptCount val="1"/>
                <c:pt idx="0">
                  <c:v>UE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cat>
            <c:numRef>
              <c:f>A.G.!$A$2:$A$42</c:f>
              <c:numCache>
                <c:formatCode>General</c:formatCode>
                <c:ptCount val="41"/>
                <c:pt idx="0">
                  <c:v>1978</c:v>
                </c:pt>
                <c:pt idx="1">
                  <c:v>1979</c:v>
                </c:pt>
                <c:pt idx="2">
                  <c:v>1980</c:v>
                </c:pt>
                <c:pt idx="3">
                  <c:v>1981</c:v>
                </c:pt>
                <c:pt idx="4">
                  <c:v>1982</c:v>
                </c:pt>
                <c:pt idx="5">
                  <c:v>1983</c:v>
                </c:pt>
                <c:pt idx="6">
                  <c:v>1984</c:v>
                </c:pt>
                <c:pt idx="7">
                  <c:v>1985</c:v>
                </c:pt>
                <c:pt idx="8">
                  <c:v>1986</c:v>
                </c:pt>
                <c:pt idx="9">
                  <c:v>1987</c:v>
                </c:pt>
                <c:pt idx="10">
                  <c:v>1988</c:v>
                </c:pt>
                <c:pt idx="11">
                  <c:v>1989</c:v>
                </c:pt>
                <c:pt idx="12">
                  <c:v>1990</c:v>
                </c:pt>
                <c:pt idx="13">
                  <c:v>1991</c:v>
                </c:pt>
                <c:pt idx="14">
                  <c:v>1992</c:v>
                </c:pt>
                <c:pt idx="15">
                  <c:v>1993</c:v>
                </c:pt>
                <c:pt idx="16">
                  <c:v>1994</c:v>
                </c:pt>
                <c:pt idx="17">
                  <c:v>1995</c:v>
                </c:pt>
                <c:pt idx="18">
                  <c:v>1996</c:v>
                </c:pt>
                <c:pt idx="19">
                  <c:v>1997</c:v>
                </c:pt>
                <c:pt idx="20">
                  <c:v>1998</c:v>
                </c:pt>
                <c:pt idx="21">
                  <c:v>1999</c:v>
                </c:pt>
                <c:pt idx="22">
                  <c:v>2000</c:v>
                </c:pt>
                <c:pt idx="23">
                  <c:v>2001</c:v>
                </c:pt>
                <c:pt idx="24">
                  <c:v>2002</c:v>
                </c:pt>
                <c:pt idx="25">
                  <c:v>2003</c:v>
                </c:pt>
                <c:pt idx="26">
                  <c:v>2004</c:v>
                </c:pt>
                <c:pt idx="27">
                  <c:v>2005</c:v>
                </c:pt>
                <c:pt idx="28">
                  <c:v>2006</c:v>
                </c:pt>
                <c:pt idx="29">
                  <c:v>2007</c:v>
                </c:pt>
                <c:pt idx="30">
                  <c:v>2008</c:v>
                </c:pt>
                <c:pt idx="31">
                  <c:v>2009</c:v>
                </c:pt>
                <c:pt idx="32">
                  <c:v>2010</c:v>
                </c:pt>
                <c:pt idx="33">
                  <c:v>2011</c:v>
                </c:pt>
                <c:pt idx="34">
                  <c:v>2012</c:v>
                </c:pt>
                <c:pt idx="35">
                  <c:v>2013</c:v>
                </c:pt>
                <c:pt idx="36">
                  <c:v>2014</c:v>
                </c:pt>
                <c:pt idx="37">
                  <c:v>2015</c:v>
                </c:pt>
                <c:pt idx="38">
                  <c:v>2016</c:v>
                </c:pt>
                <c:pt idx="39">
                  <c:v>2017</c:v>
                </c:pt>
                <c:pt idx="40">
                  <c:v>2018</c:v>
                </c:pt>
              </c:numCache>
            </c:numRef>
          </c:cat>
          <c:val>
            <c:numRef>
              <c:f>Hoja2!$C$2:$C$42</c:f>
              <c:numCache>
                <c:formatCode>General</c:formatCode>
                <c:ptCount val="4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1</c:v>
                </c:pt>
                <c:pt idx="14">
                  <c:v>0</c:v>
                </c:pt>
                <c:pt idx="15">
                  <c:v>0</c:v>
                </c:pt>
                <c:pt idx="16">
                  <c:v>3</c:v>
                </c:pt>
                <c:pt idx="17">
                  <c:v>1</c:v>
                </c:pt>
                <c:pt idx="18">
                  <c:v>0</c:v>
                </c:pt>
                <c:pt idx="19">
                  <c:v>10</c:v>
                </c:pt>
                <c:pt idx="20">
                  <c:v>3</c:v>
                </c:pt>
                <c:pt idx="21">
                  <c:v>0</c:v>
                </c:pt>
                <c:pt idx="22">
                  <c:v>2</c:v>
                </c:pt>
                <c:pt idx="23">
                  <c:v>0</c:v>
                </c:pt>
                <c:pt idx="24">
                  <c:v>2</c:v>
                </c:pt>
                <c:pt idx="25">
                  <c:v>5</c:v>
                </c:pt>
                <c:pt idx="26">
                  <c:v>1</c:v>
                </c:pt>
                <c:pt idx="27">
                  <c:v>5</c:v>
                </c:pt>
                <c:pt idx="28">
                  <c:v>1</c:v>
                </c:pt>
                <c:pt idx="29">
                  <c:v>1</c:v>
                </c:pt>
                <c:pt idx="30">
                  <c:v>3</c:v>
                </c:pt>
                <c:pt idx="31">
                  <c:v>2</c:v>
                </c:pt>
                <c:pt idx="32">
                  <c:v>2</c:v>
                </c:pt>
                <c:pt idx="33">
                  <c:v>1</c:v>
                </c:pt>
                <c:pt idx="34">
                  <c:v>7</c:v>
                </c:pt>
                <c:pt idx="35">
                  <c:v>0</c:v>
                </c:pt>
                <c:pt idx="36">
                  <c:v>4</c:v>
                </c:pt>
                <c:pt idx="37">
                  <c:v>7</c:v>
                </c:pt>
                <c:pt idx="38">
                  <c:v>8</c:v>
                </c:pt>
                <c:pt idx="39">
                  <c:v>4</c:v>
                </c:pt>
                <c:pt idx="40">
                  <c:v>6</c:v>
                </c:pt>
              </c:numCache>
            </c:numRef>
          </c:val>
        </c:ser>
        <c:axId val="149228928"/>
        <c:axId val="149230720"/>
      </c:barChart>
      <c:catAx>
        <c:axId val="149228928"/>
        <c:scaling>
          <c:orientation val="minMax"/>
        </c:scaling>
        <c:axPos val="b"/>
        <c:numFmt formatCode="General" sourceLinked="1"/>
        <c:tickLblPos val="nextTo"/>
        <c:txPr>
          <a:bodyPr rot="-5400000" vert="horz"/>
          <a:lstStyle/>
          <a:p>
            <a:pPr>
              <a:defRPr sz="800"/>
            </a:pPr>
            <a:endParaRPr lang="es-ES"/>
          </a:p>
        </c:txPr>
        <c:crossAx val="149230720"/>
        <c:crosses val="autoZero"/>
        <c:auto val="1"/>
        <c:lblAlgn val="ctr"/>
        <c:lblOffset val="100"/>
        <c:tickLblSkip val="1"/>
      </c:catAx>
      <c:valAx>
        <c:axId val="149230720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es-ES"/>
          </a:p>
        </c:txPr>
        <c:crossAx val="149228928"/>
        <c:crosses val="autoZero"/>
        <c:crossBetween val="between"/>
      </c:valAx>
    </c:plotArea>
    <c:legend>
      <c:legendPos val="b"/>
      <c:txPr>
        <a:bodyPr/>
        <a:lstStyle/>
        <a:p>
          <a:pPr>
            <a:defRPr sz="800"/>
          </a:pPr>
          <a:endParaRPr lang="es-ES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s-E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238A4B2260345B6AD59A65AA4B1E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1BB61-DE4D-4015-9206-0BAEC69948F6}"/>
      </w:docPartPr>
      <w:docPartBody>
        <w:p w:rsidR="00AC7327" w:rsidRDefault="001C0082" w:rsidP="001C0082">
          <w:pPr>
            <w:pStyle w:val="D238A4B2260345B6AD59A65AA4B1E1C2"/>
          </w:pPr>
          <w:r>
            <w:t>[Escribir texto]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C0082"/>
    <w:rsid w:val="00081BB9"/>
    <w:rsid w:val="001C0082"/>
    <w:rsid w:val="00AC7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3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238A4B2260345B6AD59A65AA4B1E1C2">
    <w:name w:val="D238A4B2260345B6AD59A65AA4B1E1C2"/>
    <w:rsid w:val="001C008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2019-07-18T06:43:00Z</dcterms:created>
  <dcterms:modified xsi:type="dcterms:W3CDTF">2019-07-18T06:56:00Z</dcterms:modified>
</cp:coreProperties>
</file>