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9DDA4" w14:textId="77777777" w:rsidR="0012351C" w:rsidRDefault="0012351C" w:rsidP="001235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0851">
        <w:rPr>
          <w:b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D58B5BE" wp14:editId="09E2E173">
            <wp:simplePos x="0" y="0"/>
            <wp:positionH relativeFrom="column">
              <wp:posOffset>6350</wp:posOffset>
            </wp:positionH>
            <wp:positionV relativeFrom="paragraph">
              <wp:posOffset>224155</wp:posOffset>
            </wp:positionV>
            <wp:extent cx="5593715" cy="2647950"/>
            <wp:effectExtent l="0" t="0" r="19685" b="19050"/>
            <wp:wrapTopAndBottom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851">
        <w:rPr>
          <w:rFonts w:ascii="Times New Roman" w:hAnsi="Times New Roman" w:cs="Times New Roman"/>
          <w:b/>
          <w:sz w:val="24"/>
          <w:szCs w:val="24"/>
        </w:rPr>
        <w:t>Gráfico 1</w:t>
      </w:r>
      <w:r>
        <w:rPr>
          <w:rFonts w:ascii="Times New Roman" w:hAnsi="Times New Roman" w:cs="Times New Roman"/>
          <w:sz w:val="24"/>
          <w:szCs w:val="24"/>
        </w:rPr>
        <w:t xml:space="preserve">. Identidades colectivas en Canarias, 1992-2015 </w:t>
      </w:r>
    </w:p>
    <w:p w14:paraId="5D7C7745" w14:textId="0DEA71C7" w:rsidR="0012351C" w:rsidRDefault="00741806" w:rsidP="001235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A6">
        <w:rPr>
          <w:rFonts w:ascii="Times New Roman" w:hAnsi="Times New Roman" w:cs="Times New Roman"/>
          <w:i/>
          <w:sz w:val="24"/>
          <w:szCs w:val="24"/>
        </w:rPr>
        <w:t>Fuente:</w:t>
      </w:r>
      <w:r w:rsidRPr="00DE64A6">
        <w:rPr>
          <w:rFonts w:ascii="Times New Roman" w:hAnsi="Times New Roman" w:cs="Times New Roman"/>
          <w:sz w:val="24"/>
          <w:szCs w:val="24"/>
        </w:rPr>
        <w:t xml:space="preserve"> Elaboración propia en base a las series del CIS</w:t>
      </w:r>
    </w:p>
    <w:p w14:paraId="01D67133" w14:textId="6D6EF3E0" w:rsidR="0012351C" w:rsidRPr="00DE64A6" w:rsidRDefault="00CD29AF" w:rsidP="00123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06">
        <w:rPr>
          <w:rFonts w:ascii="Times New Roman" w:hAnsi="Times New Roman" w:cs="Times New Roman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65408" behindDoc="0" locked="0" layoutInCell="1" allowOverlap="1" wp14:anchorId="458CFF51" wp14:editId="57426485">
            <wp:simplePos x="0" y="0"/>
            <wp:positionH relativeFrom="column">
              <wp:posOffset>635</wp:posOffset>
            </wp:positionH>
            <wp:positionV relativeFrom="paragraph">
              <wp:posOffset>421005</wp:posOffset>
            </wp:positionV>
            <wp:extent cx="5612130" cy="2538095"/>
            <wp:effectExtent l="0" t="0" r="1270" b="1905"/>
            <wp:wrapTopAndBottom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51C" w:rsidRPr="0012351C">
        <w:rPr>
          <w:rFonts w:ascii="Times New Roman" w:hAnsi="Times New Roman" w:cs="Times New Roman"/>
          <w:b/>
          <w:sz w:val="24"/>
          <w:szCs w:val="24"/>
        </w:rPr>
        <w:t>Gráfico 2.</w:t>
      </w:r>
      <w:r w:rsidR="0012351C">
        <w:rPr>
          <w:rFonts w:ascii="Times New Roman" w:hAnsi="Times New Roman" w:cs="Times New Roman"/>
          <w:sz w:val="24"/>
          <w:szCs w:val="24"/>
        </w:rPr>
        <w:t xml:space="preserve"> Preferencias por la orga</w:t>
      </w:r>
      <w:r>
        <w:rPr>
          <w:rFonts w:ascii="Times New Roman" w:hAnsi="Times New Roman" w:cs="Times New Roman"/>
          <w:sz w:val="24"/>
          <w:szCs w:val="24"/>
        </w:rPr>
        <w:t>nización territorial del Estado entre los canarios,</w:t>
      </w:r>
      <w:r w:rsidR="0012351C">
        <w:rPr>
          <w:rFonts w:ascii="Times New Roman" w:hAnsi="Times New Roman" w:cs="Times New Roman"/>
          <w:sz w:val="24"/>
          <w:szCs w:val="24"/>
        </w:rPr>
        <w:t xml:space="preserve"> 1992 – 2015</w:t>
      </w:r>
    </w:p>
    <w:p w14:paraId="6240A8C7" w14:textId="77777777" w:rsidR="00741806" w:rsidRDefault="00741806" w:rsidP="0074180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4A6">
        <w:rPr>
          <w:rFonts w:ascii="Times New Roman" w:hAnsi="Times New Roman" w:cs="Times New Roman"/>
          <w:i/>
          <w:sz w:val="24"/>
          <w:szCs w:val="24"/>
        </w:rPr>
        <w:t>Fuente:</w:t>
      </w:r>
      <w:r w:rsidRPr="00DE64A6">
        <w:rPr>
          <w:rFonts w:ascii="Times New Roman" w:hAnsi="Times New Roman" w:cs="Times New Roman"/>
          <w:sz w:val="24"/>
          <w:szCs w:val="24"/>
        </w:rPr>
        <w:t xml:space="preserve"> Elaboración propia en base a las series del CIS</w:t>
      </w:r>
    </w:p>
    <w:p w14:paraId="4EC939D8" w14:textId="77777777" w:rsidR="00741806" w:rsidRDefault="00741806"/>
    <w:p w14:paraId="0AF86A09" w14:textId="77777777" w:rsidR="0012351C" w:rsidRDefault="0012351C"/>
    <w:p w14:paraId="761BA439" w14:textId="77777777" w:rsidR="0012351C" w:rsidRDefault="0012351C"/>
    <w:p w14:paraId="1D78231C" w14:textId="77777777" w:rsidR="0012351C" w:rsidRDefault="0012351C"/>
    <w:p w14:paraId="6437E090" w14:textId="77777777" w:rsidR="0012351C" w:rsidRDefault="0012351C"/>
    <w:p w14:paraId="4EAED365" w14:textId="77777777" w:rsidR="0012351C" w:rsidRDefault="0012351C"/>
    <w:p w14:paraId="3B823F69" w14:textId="3A605F4C" w:rsidR="0012351C" w:rsidRDefault="0012351C" w:rsidP="001235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Gráfico 3</w:t>
      </w:r>
      <w:r w:rsidRPr="00A9601C">
        <w:rPr>
          <w:rFonts w:ascii="Times New Roman" w:hAnsi="Times New Roman" w:cs="Times New Roman"/>
          <w:b/>
        </w:rPr>
        <w:t>.</w:t>
      </w:r>
      <w:r w:rsidRPr="00A9601C">
        <w:rPr>
          <w:rFonts w:ascii="Times New Roman" w:hAnsi="Times New Roman" w:cs="Times New Roman"/>
        </w:rPr>
        <w:t xml:space="preserve"> Gráfico de coeficientes de los modelos de regresión logística. </w:t>
      </w:r>
    </w:p>
    <w:p w14:paraId="3CA2AB9D" w14:textId="479E82B9" w:rsidR="0012351C" w:rsidRPr="00A9601C" w:rsidRDefault="0012351C" w:rsidP="0012351C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val="es-ES_tradnl" w:eastAsia="es-ES_tradnl"/>
        </w:rPr>
        <w:drawing>
          <wp:inline distT="0" distB="0" distL="0" distR="0" wp14:anchorId="2709C122" wp14:editId="602FDD6C">
            <wp:extent cx="4568402" cy="3320469"/>
            <wp:effectExtent l="0" t="0" r="3810" b="6985"/>
            <wp:docPr id="3" name="Imagen 3" descr="../Documents/Artículos/PAPER%20AYOZE%20CANARIAS/ENVÍO%20AYOZE/Figure%201%20--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cuments/Artículos/PAPER%20AYOZE%20CANARIAS/ENVÍO%20AYOZE/Figure%201%20--%20v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03" cy="335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50F67C" w14:textId="6BC6163D" w:rsidR="0012351C" w:rsidRDefault="0012351C" w:rsidP="0012351C">
      <w:pPr>
        <w:spacing w:line="240" w:lineRule="auto"/>
        <w:jc w:val="both"/>
        <w:outlineLvl w:val="0"/>
        <w:rPr>
          <w:rFonts w:ascii="Times New Roman" w:hAnsi="Times New Roman" w:cs="Times New Roman"/>
        </w:rPr>
      </w:pPr>
      <w:r w:rsidRPr="00A9601C">
        <w:rPr>
          <w:rFonts w:ascii="Times New Roman" w:hAnsi="Times New Roman" w:cs="Times New Roman"/>
          <w:i/>
        </w:rPr>
        <w:t>Fuente:</w:t>
      </w:r>
      <w:r w:rsidRPr="00A9601C">
        <w:rPr>
          <w:rFonts w:ascii="Times New Roman" w:hAnsi="Times New Roman" w:cs="Times New Roman"/>
        </w:rPr>
        <w:t xml:space="preserve"> elaboración propia en base a los estudios postelectorales del CIS.</w:t>
      </w:r>
    </w:p>
    <w:p w14:paraId="2528AEB2" w14:textId="666A4E27" w:rsidR="0012351C" w:rsidRPr="0012351C" w:rsidRDefault="0012351C" w:rsidP="001235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Gráfico 4</w:t>
      </w:r>
      <w:r w:rsidRPr="00A9601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A9601C">
        <w:rPr>
          <w:rFonts w:ascii="Times New Roman" w:hAnsi="Times New Roman" w:cs="Times New Roman"/>
        </w:rPr>
        <w:t>Gráficos de probabilidades predichas de votar a un partido nacionalista en función del sentimiento nacional.</w:t>
      </w:r>
    </w:p>
    <w:p w14:paraId="5DE21B14" w14:textId="09026979" w:rsidR="0012351C" w:rsidRDefault="0012351C">
      <w:r>
        <w:rPr>
          <w:noProof/>
          <w:lang w:val="es-ES_tradnl" w:eastAsia="es-ES_tradnl"/>
        </w:rPr>
        <w:drawing>
          <wp:inline distT="0" distB="0" distL="0" distR="0" wp14:anchorId="7BA096DA" wp14:editId="7AF1878A">
            <wp:extent cx="4587256" cy="3334173"/>
            <wp:effectExtent l="0" t="0" r="10160" b="0"/>
            <wp:docPr id="5" name="Imagen 5" descr="../Documents/Artículos/PAPER%20AYOZE%20CANARIAS/ENVÍO%20AYOZE/Figura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Documents/Artículos/PAPER%20AYOZE%20CANARIAS/ENVÍO%20AYOZE/Figura%2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80" cy="336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602EB" w14:textId="77777777" w:rsidR="0012351C" w:rsidRDefault="0012351C" w:rsidP="00123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1C">
        <w:rPr>
          <w:rFonts w:ascii="Times New Roman" w:hAnsi="Times New Roman" w:cs="Times New Roman"/>
          <w:i/>
        </w:rPr>
        <w:t>Fuente:</w:t>
      </w:r>
      <w:r w:rsidRPr="00A9601C">
        <w:rPr>
          <w:rFonts w:ascii="Times New Roman" w:hAnsi="Times New Roman" w:cs="Times New Roman"/>
        </w:rPr>
        <w:t xml:space="preserve"> elaboración propia en base a los estudios postelectorales del CIS</w:t>
      </w:r>
      <w:r w:rsidRPr="00A960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0005DC" w14:textId="77777777" w:rsidR="0012351C" w:rsidRDefault="0012351C" w:rsidP="00123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D8EE7" w14:textId="77777777" w:rsidR="0012351C" w:rsidRDefault="0012351C" w:rsidP="00123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007FD" w14:textId="63BF7BF8" w:rsidR="0012351C" w:rsidRPr="0012351C" w:rsidRDefault="0012351C" w:rsidP="0012351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Gráfico 5</w:t>
      </w:r>
      <w:r w:rsidRPr="00A9601C">
        <w:rPr>
          <w:rFonts w:ascii="Times New Roman" w:hAnsi="Times New Roman" w:cs="Times New Roman"/>
          <w:b/>
        </w:rPr>
        <w:t>.</w:t>
      </w:r>
      <w:r w:rsidRPr="00A9601C">
        <w:rPr>
          <w:rFonts w:ascii="Times New Roman" w:hAnsi="Times New Roman" w:cs="Times New Roman"/>
        </w:rPr>
        <w:t xml:space="preserve"> Gráficos de probabilidades predichas de votar a un partido nacionalista en función de las preferencias por la organización territorial.</w:t>
      </w:r>
    </w:p>
    <w:p w14:paraId="7E4F490D" w14:textId="42B27740" w:rsidR="0012351C" w:rsidRDefault="0012351C" w:rsidP="00123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ES_tradnl" w:eastAsia="es-ES_tradnl"/>
        </w:rPr>
        <w:drawing>
          <wp:inline distT="0" distB="0" distL="0" distR="0" wp14:anchorId="5395B215" wp14:editId="23E87B7A">
            <wp:extent cx="4744513" cy="3448473"/>
            <wp:effectExtent l="0" t="0" r="5715" b="6350"/>
            <wp:docPr id="2" name="Imagen 2" descr="../Documents/Artículos/PAPER%20AYOZE%20CANARIAS/ENVÍO%20AYOZE/Figura%203%20--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cuments/Artículos/PAPER%20AYOZE%20CANARIAS/ENVÍO%20AYOZE/Figura%203%20--%20v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248" cy="346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39198" w14:textId="77777777" w:rsidR="0012351C" w:rsidRPr="00A9601C" w:rsidRDefault="0012351C" w:rsidP="001235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01C">
        <w:rPr>
          <w:rFonts w:ascii="Times New Roman" w:hAnsi="Times New Roman" w:cs="Times New Roman"/>
          <w:i/>
        </w:rPr>
        <w:t>Fuente:</w:t>
      </w:r>
      <w:r w:rsidRPr="00A9601C">
        <w:rPr>
          <w:rFonts w:ascii="Times New Roman" w:hAnsi="Times New Roman" w:cs="Times New Roman"/>
        </w:rPr>
        <w:t xml:space="preserve"> elaboración propia en base a los estudios postelectorales del CIS</w:t>
      </w:r>
    </w:p>
    <w:p w14:paraId="7C8F9F21" w14:textId="77777777" w:rsidR="0012351C" w:rsidRPr="00A9601C" w:rsidRDefault="0012351C" w:rsidP="001235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26412" w14:textId="77777777" w:rsidR="0012351C" w:rsidRDefault="0012351C"/>
    <w:sectPr w:rsidR="0012351C" w:rsidSect="00A42AB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51"/>
    <w:rsid w:val="0012351C"/>
    <w:rsid w:val="00370851"/>
    <w:rsid w:val="00741806"/>
    <w:rsid w:val="008C2BD4"/>
    <w:rsid w:val="00A42AB9"/>
    <w:rsid w:val="00A80257"/>
    <w:rsid w:val="00CD29AF"/>
    <w:rsid w:val="00E4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CA6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851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37085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85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851"/>
    <w:rPr>
      <w:rFonts w:ascii="Times New Roman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Hoja1!$A$9</c:f>
              <c:strCache>
                <c:ptCount val="1"/>
                <c:pt idx="0">
                  <c:v>Me siento únicamente español </c:v>
                </c:pt>
              </c:strCache>
            </c:strRef>
          </c:tx>
          <c:marker>
            <c:symbol val="none"/>
          </c:marker>
          <c:cat>
            <c:strRef>
              <c:f>Hoja1!$B$8:$I$8</c:f>
              <c:strCache>
                <c:ptCount val="8"/>
                <c:pt idx="0">
                  <c:v>
1992
</c:v>
                </c:pt>
                <c:pt idx="1">
                  <c:v>
1998
</c:v>
                </c:pt>
                <c:pt idx="2">
                  <c:v>
2002
</c:v>
                </c:pt>
                <c:pt idx="3">
                  <c:v>
2005
</c:v>
                </c:pt>
                <c:pt idx="4">
                  <c:v>
2010
</c:v>
                </c:pt>
                <c:pt idx="5">
                  <c:v>
2011
</c:v>
                </c:pt>
                <c:pt idx="6">
                  <c:v>2012</c:v>
                </c:pt>
                <c:pt idx="7">
                  <c:v>
2015
</c:v>
                </c:pt>
              </c:strCache>
            </c:strRef>
          </c:cat>
          <c:val>
            <c:numRef>
              <c:f>Hoja1!$B$9:$I$9</c:f>
              <c:numCache>
                <c:formatCode>General</c:formatCode>
                <c:ptCount val="8"/>
                <c:pt idx="0">
                  <c:v>5.7</c:v>
                </c:pt>
                <c:pt idx="1">
                  <c:v>3.4</c:v>
                </c:pt>
                <c:pt idx="2">
                  <c:v>5.0</c:v>
                </c:pt>
                <c:pt idx="3">
                  <c:v>2.4</c:v>
                </c:pt>
                <c:pt idx="4">
                  <c:v>3.0</c:v>
                </c:pt>
                <c:pt idx="5">
                  <c:v>7.0</c:v>
                </c:pt>
                <c:pt idx="6">
                  <c:v>3.9</c:v>
                </c:pt>
                <c:pt idx="7">
                  <c:v>12.1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AFD-47DF-8DB1-99F4838D2068}"/>
            </c:ext>
          </c:extLst>
        </c:ser>
        <c:ser>
          <c:idx val="1"/>
          <c:order val="1"/>
          <c:tx>
            <c:strRef>
              <c:f>Hoja1!$A$10</c:f>
              <c:strCache>
                <c:ptCount val="1"/>
                <c:pt idx="0">
                  <c:v>Me siento más español que canario </c:v>
                </c:pt>
              </c:strCache>
            </c:strRef>
          </c:tx>
          <c:marker>
            <c:symbol val="none"/>
          </c:marker>
          <c:cat>
            <c:strRef>
              <c:f>Hoja1!$B$8:$I$8</c:f>
              <c:strCache>
                <c:ptCount val="8"/>
                <c:pt idx="0">
                  <c:v>
1992
</c:v>
                </c:pt>
                <c:pt idx="1">
                  <c:v>
1998
</c:v>
                </c:pt>
                <c:pt idx="2">
                  <c:v>
2002
</c:v>
                </c:pt>
                <c:pt idx="3">
                  <c:v>
2005
</c:v>
                </c:pt>
                <c:pt idx="4">
                  <c:v>
2010
</c:v>
                </c:pt>
                <c:pt idx="5">
                  <c:v>
2011
</c:v>
                </c:pt>
                <c:pt idx="6">
                  <c:v>2012</c:v>
                </c:pt>
                <c:pt idx="7">
                  <c:v>
2015
</c:v>
                </c:pt>
              </c:strCache>
            </c:strRef>
          </c:cat>
          <c:val>
            <c:numRef>
              <c:f>Hoja1!$B$10:$I$10</c:f>
              <c:numCache>
                <c:formatCode>General</c:formatCode>
                <c:ptCount val="8"/>
                <c:pt idx="0">
                  <c:v>3.0</c:v>
                </c:pt>
                <c:pt idx="1">
                  <c:v>1.7</c:v>
                </c:pt>
                <c:pt idx="2">
                  <c:v>1.6</c:v>
                </c:pt>
                <c:pt idx="3">
                  <c:v>2.0</c:v>
                </c:pt>
                <c:pt idx="4">
                  <c:v>2.4</c:v>
                </c:pt>
                <c:pt idx="5">
                  <c:v>0.6</c:v>
                </c:pt>
                <c:pt idx="6">
                  <c:v>2.0</c:v>
                </c:pt>
                <c:pt idx="7">
                  <c:v>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AFD-47DF-8DB1-99F4838D2068}"/>
            </c:ext>
          </c:extLst>
        </c:ser>
        <c:ser>
          <c:idx val="2"/>
          <c:order val="2"/>
          <c:tx>
            <c:strRef>
              <c:f>Hoja1!$A$11</c:f>
              <c:strCache>
                <c:ptCount val="1"/>
                <c:pt idx="0">
                  <c:v>Me siento tan español como canario </c:v>
                </c:pt>
              </c:strCache>
            </c:strRef>
          </c:tx>
          <c:marker>
            <c:symbol val="none"/>
          </c:marker>
          <c:cat>
            <c:strRef>
              <c:f>Hoja1!$B$8:$I$8</c:f>
              <c:strCache>
                <c:ptCount val="8"/>
                <c:pt idx="0">
                  <c:v>
1992
</c:v>
                </c:pt>
                <c:pt idx="1">
                  <c:v>
1998
</c:v>
                </c:pt>
                <c:pt idx="2">
                  <c:v>
2002
</c:v>
                </c:pt>
                <c:pt idx="3">
                  <c:v>
2005
</c:v>
                </c:pt>
                <c:pt idx="4">
                  <c:v>
2010
</c:v>
                </c:pt>
                <c:pt idx="5">
                  <c:v>
2011
</c:v>
                </c:pt>
                <c:pt idx="6">
                  <c:v>2012</c:v>
                </c:pt>
                <c:pt idx="7">
                  <c:v>
2015
</c:v>
                </c:pt>
              </c:strCache>
            </c:strRef>
          </c:cat>
          <c:val>
            <c:numRef>
              <c:f>Hoja1!$B$11:$I$11</c:f>
              <c:numCache>
                <c:formatCode>General</c:formatCode>
                <c:ptCount val="8"/>
                <c:pt idx="0">
                  <c:v>44.2</c:v>
                </c:pt>
                <c:pt idx="1">
                  <c:v>49.3</c:v>
                </c:pt>
                <c:pt idx="2">
                  <c:v>52.3</c:v>
                </c:pt>
                <c:pt idx="3">
                  <c:v>56.9</c:v>
                </c:pt>
                <c:pt idx="4">
                  <c:v>47.9</c:v>
                </c:pt>
                <c:pt idx="5">
                  <c:v>53.9</c:v>
                </c:pt>
                <c:pt idx="6">
                  <c:v>49.3</c:v>
                </c:pt>
                <c:pt idx="7">
                  <c:v>50.6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AFD-47DF-8DB1-99F4838D2068}"/>
            </c:ext>
          </c:extLst>
        </c:ser>
        <c:ser>
          <c:idx val="3"/>
          <c:order val="3"/>
          <c:tx>
            <c:strRef>
              <c:f>Hoja1!$A$12</c:f>
              <c:strCache>
                <c:ptCount val="1"/>
                <c:pt idx="0">
                  <c:v>Me siento más canario que español </c:v>
                </c:pt>
              </c:strCache>
            </c:strRef>
          </c:tx>
          <c:marker>
            <c:symbol val="none"/>
          </c:marker>
          <c:cat>
            <c:strRef>
              <c:f>Hoja1!$B$8:$I$8</c:f>
              <c:strCache>
                <c:ptCount val="8"/>
                <c:pt idx="0">
                  <c:v>
1992
</c:v>
                </c:pt>
                <c:pt idx="1">
                  <c:v>
1998
</c:v>
                </c:pt>
                <c:pt idx="2">
                  <c:v>
2002
</c:v>
                </c:pt>
                <c:pt idx="3">
                  <c:v>
2005
</c:v>
                </c:pt>
                <c:pt idx="4">
                  <c:v>
2010
</c:v>
                </c:pt>
                <c:pt idx="5">
                  <c:v>
2011
</c:v>
                </c:pt>
                <c:pt idx="6">
                  <c:v>2012</c:v>
                </c:pt>
                <c:pt idx="7">
                  <c:v>
2015
</c:v>
                </c:pt>
              </c:strCache>
            </c:strRef>
          </c:cat>
          <c:val>
            <c:numRef>
              <c:f>Hoja1!$B$12:$I$12</c:f>
              <c:numCache>
                <c:formatCode>General</c:formatCode>
                <c:ptCount val="8"/>
                <c:pt idx="0">
                  <c:v>31.0</c:v>
                </c:pt>
                <c:pt idx="1">
                  <c:v>30.2</c:v>
                </c:pt>
                <c:pt idx="2">
                  <c:v>22.6</c:v>
                </c:pt>
                <c:pt idx="3">
                  <c:v>29.8</c:v>
                </c:pt>
                <c:pt idx="4">
                  <c:v>37.9</c:v>
                </c:pt>
                <c:pt idx="5">
                  <c:v>24.0</c:v>
                </c:pt>
                <c:pt idx="6">
                  <c:v>37.1</c:v>
                </c:pt>
                <c:pt idx="7">
                  <c:v>20.4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AFD-47DF-8DB1-99F4838D2068}"/>
            </c:ext>
          </c:extLst>
        </c:ser>
        <c:ser>
          <c:idx val="4"/>
          <c:order val="4"/>
          <c:tx>
            <c:strRef>
              <c:f>Hoja1!$A$13</c:f>
              <c:strCache>
                <c:ptCount val="1"/>
                <c:pt idx="0">
                  <c:v>Me siento únicamente canario </c:v>
                </c:pt>
              </c:strCache>
            </c:strRef>
          </c:tx>
          <c:marker>
            <c:symbol val="none"/>
          </c:marker>
          <c:cat>
            <c:strRef>
              <c:f>Hoja1!$B$8:$I$8</c:f>
              <c:strCache>
                <c:ptCount val="8"/>
                <c:pt idx="0">
                  <c:v>
1992
</c:v>
                </c:pt>
                <c:pt idx="1">
                  <c:v>
1998
</c:v>
                </c:pt>
                <c:pt idx="2">
                  <c:v>
2002
</c:v>
                </c:pt>
                <c:pt idx="3">
                  <c:v>
2005
</c:v>
                </c:pt>
                <c:pt idx="4">
                  <c:v>
2010
</c:v>
                </c:pt>
                <c:pt idx="5">
                  <c:v>
2011
</c:v>
                </c:pt>
                <c:pt idx="6">
                  <c:v>2012</c:v>
                </c:pt>
                <c:pt idx="7">
                  <c:v>
2015
</c:v>
                </c:pt>
              </c:strCache>
            </c:strRef>
          </c:cat>
          <c:val>
            <c:numRef>
              <c:f>Hoja1!$B$13:$I$13</c:f>
              <c:numCache>
                <c:formatCode>General</c:formatCode>
                <c:ptCount val="8"/>
                <c:pt idx="0">
                  <c:v>7.4</c:v>
                </c:pt>
                <c:pt idx="1">
                  <c:v>14.7</c:v>
                </c:pt>
                <c:pt idx="2">
                  <c:v>15.0</c:v>
                </c:pt>
                <c:pt idx="3">
                  <c:v>6.7</c:v>
                </c:pt>
                <c:pt idx="4">
                  <c:v>7.6</c:v>
                </c:pt>
                <c:pt idx="5">
                  <c:v>12.4</c:v>
                </c:pt>
                <c:pt idx="6">
                  <c:v>6.1</c:v>
                </c:pt>
                <c:pt idx="7">
                  <c:v>13.6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0AFD-47DF-8DB1-99F4838D20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03351360"/>
        <c:axId val="-2055925584"/>
      </c:lineChart>
      <c:catAx>
        <c:axId val="2103351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800" baseline="0">
                <a:latin typeface="Times New Roman" charset="0"/>
                <a:ea typeface="Times New Roman" charset="0"/>
                <a:cs typeface="Times New Roman" charset="0"/>
              </a:defRPr>
            </a:pPr>
            <a:endParaRPr lang="es-ES_tradnl"/>
          </a:p>
        </c:txPr>
        <c:crossAx val="-2055925584"/>
        <c:crosses val="autoZero"/>
        <c:auto val="1"/>
        <c:lblAlgn val="ctr"/>
        <c:lblOffset val="100"/>
        <c:noMultiLvlLbl val="0"/>
      </c:catAx>
      <c:valAx>
        <c:axId val="-2055925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103351360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800">
              <a:latin typeface="Times New Roman" charset="0"/>
              <a:ea typeface="Times New Roman" charset="0"/>
              <a:cs typeface="Times New Roman" charset="0"/>
            </a:defRPr>
          </a:pPr>
          <a:endParaRPr lang="es-ES_tradn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Un Estado con un único Gobierno central sin autonomías  </c:v>
                </c:pt>
              </c:strCache>
            </c:strRef>
          </c:tx>
          <c:marker>
            <c:symbol val="none"/>
          </c:marker>
          <c:cat>
            <c:numRef>
              <c:f>Hoja1!$A$2:$A$10</c:f>
              <c:numCache>
                <c:formatCode>General</c:formatCode>
                <c:ptCount val="9"/>
                <c:pt idx="0">
                  <c:v>1992.0</c:v>
                </c:pt>
                <c:pt idx="1">
                  <c:v>1994.0</c:v>
                </c:pt>
                <c:pt idx="2">
                  <c:v>1998.0</c:v>
                </c:pt>
                <c:pt idx="3">
                  <c:v>2002.0</c:v>
                </c:pt>
                <c:pt idx="4">
                  <c:v>2005.0</c:v>
                </c:pt>
                <c:pt idx="5">
                  <c:v>2010.0</c:v>
                </c:pt>
                <c:pt idx="6">
                  <c:v>2011.0</c:v>
                </c:pt>
                <c:pt idx="7">
                  <c:v>2012.0</c:v>
                </c:pt>
                <c:pt idx="8">
                  <c:v>2015.0</c:v>
                </c:pt>
              </c:numCache>
            </c:numRef>
          </c:cat>
          <c:val>
            <c:numRef>
              <c:f>Hoja1!$B$2:$B$10</c:f>
              <c:numCache>
                <c:formatCode>General</c:formatCode>
                <c:ptCount val="9"/>
                <c:pt idx="0">
                  <c:v>10.6</c:v>
                </c:pt>
                <c:pt idx="1">
                  <c:v>11.8</c:v>
                </c:pt>
                <c:pt idx="2">
                  <c:v>9.1</c:v>
                </c:pt>
                <c:pt idx="3">
                  <c:v>9.8</c:v>
                </c:pt>
                <c:pt idx="4">
                  <c:v>6.7</c:v>
                </c:pt>
                <c:pt idx="5">
                  <c:v>9.4</c:v>
                </c:pt>
                <c:pt idx="6">
                  <c:v>14.2</c:v>
                </c:pt>
                <c:pt idx="7">
                  <c:v>17.3</c:v>
                </c:pt>
                <c:pt idx="8">
                  <c:v>17.8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83E-4460-BE1C-7B60932513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Un Estado con Comunidades Autónomas como en la actualidad </c:v>
                </c:pt>
              </c:strCache>
            </c:strRef>
          </c:tx>
          <c:marker>
            <c:symbol val="none"/>
          </c:marker>
          <c:cat>
            <c:numRef>
              <c:f>Hoja1!$A$2:$A$10</c:f>
              <c:numCache>
                <c:formatCode>General</c:formatCode>
                <c:ptCount val="9"/>
                <c:pt idx="0">
                  <c:v>1992.0</c:v>
                </c:pt>
                <c:pt idx="1">
                  <c:v>1994.0</c:v>
                </c:pt>
                <c:pt idx="2">
                  <c:v>1998.0</c:v>
                </c:pt>
                <c:pt idx="3">
                  <c:v>2002.0</c:v>
                </c:pt>
                <c:pt idx="4">
                  <c:v>2005.0</c:v>
                </c:pt>
                <c:pt idx="5">
                  <c:v>2010.0</c:v>
                </c:pt>
                <c:pt idx="6">
                  <c:v>2011.0</c:v>
                </c:pt>
                <c:pt idx="7">
                  <c:v>2012.0</c:v>
                </c:pt>
                <c:pt idx="8">
                  <c:v>2015.0</c:v>
                </c:pt>
              </c:numCache>
            </c:numRef>
          </c:cat>
          <c:val>
            <c:numRef>
              <c:f>Hoja1!$C$2:$C$10</c:f>
              <c:numCache>
                <c:formatCode>General</c:formatCode>
                <c:ptCount val="9"/>
                <c:pt idx="0">
                  <c:v>24.5</c:v>
                </c:pt>
                <c:pt idx="1">
                  <c:v>34.6</c:v>
                </c:pt>
                <c:pt idx="2">
                  <c:v>49.3</c:v>
                </c:pt>
                <c:pt idx="3">
                  <c:v>40.3</c:v>
                </c:pt>
                <c:pt idx="4">
                  <c:v>53.4</c:v>
                </c:pt>
                <c:pt idx="5">
                  <c:v>47.9</c:v>
                </c:pt>
                <c:pt idx="6">
                  <c:v>57.8</c:v>
                </c:pt>
                <c:pt idx="7">
                  <c:v>41.3</c:v>
                </c:pt>
                <c:pt idx="8">
                  <c:v>45.7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83E-4460-BE1C-7B60932513A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Un Estado en el que las Comunidades Autónomas tengan mayor autonomía que en la actualidad </c:v>
                </c:pt>
              </c:strCache>
            </c:strRef>
          </c:tx>
          <c:marker>
            <c:symbol val="none"/>
          </c:marker>
          <c:cat>
            <c:numRef>
              <c:f>Hoja1!$A$2:$A$10</c:f>
              <c:numCache>
                <c:formatCode>General</c:formatCode>
                <c:ptCount val="9"/>
                <c:pt idx="0">
                  <c:v>1992.0</c:v>
                </c:pt>
                <c:pt idx="1">
                  <c:v>1994.0</c:v>
                </c:pt>
                <c:pt idx="2">
                  <c:v>1998.0</c:v>
                </c:pt>
                <c:pt idx="3">
                  <c:v>2002.0</c:v>
                </c:pt>
                <c:pt idx="4">
                  <c:v>2005.0</c:v>
                </c:pt>
                <c:pt idx="5">
                  <c:v>2010.0</c:v>
                </c:pt>
                <c:pt idx="6">
                  <c:v>2011.0</c:v>
                </c:pt>
                <c:pt idx="7">
                  <c:v>2012.0</c:v>
                </c:pt>
                <c:pt idx="8">
                  <c:v>2015.0</c:v>
                </c:pt>
              </c:numCache>
            </c:numRef>
          </c:cat>
          <c:val>
            <c:numRef>
              <c:f>Hoja1!$D$2:$D$10</c:f>
              <c:numCache>
                <c:formatCode>General</c:formatCode>
                <c:ptCount val="9"/>
                <c:pt idx="0">
                  <c:v>33.6</c:v>
                </c:pt>
                <c:pt idx="1">
                  <c:v>35.6</c:v>
                </c:pt>
                <c:pt idx="2">
                  <c:v>30.3</c:v>
                </c:pt>
                <c:pt idx="3">
                  <c:v>32.3</c:v>
                </c:pt>
                <c:pt idx="4">
                  <c:v>26.7</c:v>
                </c:pt>
                <c:pt idx="5">
                  <c:v>25.5</c:v>
                </c:pt>
                <c:pt idx="6">
                  <c:v>16.5</c:v>
                </c:pt>
                <c:pt idx="7">
                  <c:v>15.7</c:v>
                </c:pt>
                <c:pt idx="8">
                  <c:v>19.5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83E-4460-BE1C-7B60932513A2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Un Estado en que se reconociese a las autonomías la posibilidad de convertirse en naciones independientes </c:v>
                </c:pt>
              </c:strCache>
            </c:strRef>
          </c:tx>
          <c:marker>
            <c:symbol val="none"/>
          </c:marker>
          <c:cat>
            <c:numRef>
              <c:f>Hoja1!$A$2:$A$10</c:f>
              <c:numCache>
                <c:formatCode>General</c:formatCode>
                <c:ptCount val="9"/>
                <c:pt idx="0">
                  <c:v>1992.0</c:v>
                </c:pt>
                <c:pt idx="1">
                  <c:v>1994.0</c:v>
                </c:pt>
                <c:pt idx="2">
                  <c:v>1998.0</c:v>
                </c:pt>
                <c:pt idx="3">
                  <c:v>2002.0</c:v>
                </c:pt>
                <c:pt idx="4">
                  <c:v>2005.0</c:v>
                </c:pt>
                <c:pt idx="5">
                  <c:v>2010.0</c:v>
                </c:pt>
                <c:pt idx="6">
                  <c:v>2011.0</c:v>
                </c:pt>
                <c:pt idx="7">
                  <c:v>2012.0</c:v>
                </c:pt>
                <c:pt idx="8">
                  <c:v>2015.0</c:v>
                </c:pt>
              </c:numCache>
            </c:numRef>
          </c:cat>
          <c:val>
            <c:numRef>
              <c:f>Hoja1!$E$2:$E$10</c:f>
              <c:numCache>
                <c:formatCode>General</c:formatCode>
                <c:ptCount val="9"/>
                <c:pt idx="0">
                  <c:v>3.7</c:v>
                </c:pt>
                <c:pt idx="1">
                  <c:v>5.3</c:v>
                </c:pt>
                <c:pt idx="2">
                  <c:v>3.6</c:v>
                </c:pt>
                <c:pt idx="3">
                  <c:v>6.8</c:v>
                </c:pt>
                <c:pt idx="4">
                  <c:v>3.8</c:v>
                </c:pt>
                <c:pt idx="5">
                  <c:v>2.6</c:v>
                </c:pt>
                <c:pt idx="6">
                  <c:v>4.5</c:v>
                </c:pt>
                <c:pt idx="7">
                  <c:v>5.8</c:v>
                </c:pt>
                <c:pt idx="8">
                  <c:v>1.9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83E-4460-BE1C-7B60932513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68211984"/>
        <c:axId val="-2084440416"/>
      </c:lineChart>
      <c:catAx>
        <c:axId val="196821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2084440416"/>
        <c:crosses val="autoZero"/>
        <c:auto val="1"/>
        <c:lblAlgn val="ctr"/>
        <c:lblOffset val="100"/>
        <c:noMultiLvlLbl val="0"/>
      </c:catAx>
      <c:valAx>
        <c:axId val="-20844404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68211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492483170757"/>
          <c:y val="0.134696297813912"/>
          <c:w val="0.310919739920494"/>
          <c:h val="0.85548925473632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>
          <a:latin typeface="Times New Roman" charset="0"/>
          <a:ea typeface="Times New Roman" charset="0"/>
          <a:cs typeface="Times New Roman" charset="0"/>
        </a:defRPr>
      </a:pPr>
      <a:endParaRPr lang="es-ES_tradn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857BA7D-B1DD-EA4C-A124-10F76CC1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129</Words>
  <Characters>725</Characters>
  <Application>Microsoft Macintosh Word</Application>
  <DocSecurity>0</DocSecurity>
  <Lines>23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Fuente: elaboración propia en base a los estudios postelectorales del CIS.</vt:lpstr>
    </vt:vector>
  </TitlesOfParts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2018-10-12T16:46:00Z</dcterms:created>
  <dcterms:modified xsi:type="dcterms:W3CDTF">2018-10-13T07:11:00Z</dcterms:modified>
</cp:coreProperties>
</file>