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568" w:rsidRPr="00A5089D" w:rsidRDefault="007802DA" w:rsidP="001240C7">
      <w:pPr>
        <w:pStyle w:val="Sinespaciado"/>
        <w:jc w:val="both"/>
        <w:rPr>
          <w:rFonts w:ascii="Times New Roman" w:eastAsia="Times New Roman" w:hAnsi="Times New Roman" w:cs="Times New Roman"/>
          <w:b/>
          <w:bCs/>
          <w:color w:val="000000" w:themeColor="text1"/>
          <w:sz w:val="24"/>
          <w:u w:color="0432FF"/>
        </w:rPr>
      </w:pPr>
      <w:r w:rsidRPr="00537D1E">
        <w:rPr>
          <w:rFonts w:ascii="Times New Roman" w:hAnsi="Times New Roman"/>
          <w:b/>
          <w:bCs/>
          <w:color w:val="000000" w:themeColor="text1"/>
          <w:sz w:val="24"/>
          <w:u w:color="0432FF"/>
        </w:rPr>
        <w:t>Autoridad política y c</w:t>
      </w:r>
      <w:r w:rsidRPr="00A5089D">
        <w:rPr>
          <w:rFonts w:ascii="Times New Roman" w:hAnsi="Times New Roman"/>
          <w:b/>
          <w:bCs/>
          <w:color w:val="000000" w:themeColor="text1"/>
          <w:sz w:val="24"/>
          <w:u w:color="0432FF"/>
        </w:rPr>
        <w:t>ambio de política pública: un análisis desde el enfoque de redes</w:t>
      </w:r>
    </w:p>
    <w:p w:rsidR="00C04568" w:rsidRPr="00A5089D" w:rsidRDefault="007802DA" w:rsidP="001240C7">
      <w:pPr>
        <w:pStyle w:val="Sinespaciado"/>
        <w:jc w:val="both"/>
        <w:rPr>
          <w:rFonts w:ascii="Times New Roman" w:hAnsi="Times New Roman"/>
          <w:b/>
          <w:bCs/>
          <w:color w:val="000000" w:themeColor="text1"/>
          <w:sz w:val="24"/>
          <w:u w:color="0432FF"/>
          <w:lang w:val="en-US"/>
        </w:rPr>
      </w:pPr>
      <w:r w:rsidRPr="00A5089D">
        <w:rPr>
          <w:rFonts w:ascii="Times New Roman" w:hAnsi="Times New Roman"/>
          <w:b/>
          <w:bCs/>
          <w:color w:val="000000" w:themeColor="text1"/>
          <w:sz w:val="24"/>
          <w:u w:color="0432FF"/>
          <w:lang w:val="en-US"/>
        </w:rPr>
        <w:t>Political authority and policy change: a case study of policy networks</w:t>
      </w:r>
    </w:p>
    <w:p w:rsidR="00BE7487" w:rsidRPr="00A5089D" w:rsidRDefault="00BE7487" w:rsidP="007802DA">
      <w:pPr>
        <w:pStyle w:val="Sinespaciado"/>
        <w:jc w:val="right"/>
        <w:rPr>
          <w:rFonts w:ascii="Times New Roman" w:hAnsi="Times New Roman"/>
          <w:b/>
          <w:bCs/>
          <w:color w:val="000000" w:themeColor="text1"/>
          <w:u w:color="0432FF"/>
          <w:lang w:val="en-US"/>
        </w:rPr>
      </w:pPr>
    </w:p>
    <w:p w:rsidR="00537D1E" w:rsidRPr="00A5089D" w:rsidRDefault="00537D1E" w:rsidP="00537D1E">
      <w:pPr>
        <w:pStyle w:val="paragraph"/>
        <w:shd w:val="clear" w:color="auto" w:fill="FFFFFF"/>
        <w:spacing w:before="0" w:after="0" w:line="240" w:lineRule="auto"/>
        <w:jc w:val="both"/>
        <w:rPr>
          <w:rFonts w:ascii="Times New Roman" w:hAnsi="Times New Roman"/>
          <w:b/>
          <w:bCs/>
          <w:color w:val="000000" w:themeColor="text1"/>
        </w:rPr>
      </w:pPr>
      <w:r w:rsidRPr="00A5089D">
        <w:rPr>
          <w:rFonts w:ascii="Times New Roman" w:hAnsi="Times New Roman"/>
          <w:b/>
          <w:bCs/>
          <w:color w:val="000000" w:themeColor="text1"/>
        </w:rPr>
        <w:t xml:space="preserve">Resumen: </w:t>
      </w:r>
    </w:p>
    <w:p w:rsidR="00537D1E" w:rsidRPr="00A5089D" w:rsidRDefault="00537D1E" w:rsidP="00537D1E">
      <w:pPr>
        <w:pStyle w:val="paragraph"/>
        <w:shd w:val="clear" w:color="auto" w:fill="FFFFFF"/>
        <w:spacing w:before="0" w:after="0" w:line="240" w:lineRule="auto"/>
        <w:jc w:val="both"/>
        <w:rPr>
          <w:rFonts w:ascii="Times New Roman" w:hAnsi="Times New Roman"/>
          <w:b/>
          <w:bCs/>
          <w:color w:val="000000" w:themeColor="text1"/>
        </w:rPr>
      </w:pPr>
    </w:p>
    <w:p w:rsidR="00722853" w:rsidRPr="00A5089D" w:rsidRDefault="003C5DF6" w:rsidP="00537D1E">
      <w:pPr>
        <w:pStyle w:val="paragraph"/>
        <w:shd w:val="clear" w:color="auto" w:fill="FFFFFF"/>
        <w:spacing w:before="0" w:after="0" w:line="240" w:lineRule="auto"/>
        <w:jc w:val="both"/>
        <w:rPr>
          <w:rFonts w:ascii="Times New Roman" w:eastAsia="Times New Roman" w:hAnsi="Times New Roman" w:cs="Times New Roman"/>
          <w:bCs/>
          <w:color w:val="000000" w:themeColor="text1"/>
        </w:rPr>
      </w:pPr>
      <w:r w:rsidRPr="00A5089D">
        <w:rPr>
          <w:rFonts w:ascii="Times New Roman" w:eastAsia="Times New Roman" w:hAnsi="Times New Roman" w:cs="Times New Roman"/>
          <w:bCs/>
          <w:color w:val="000000" w:themeColor="text1"/>
        </w:rPr>
        <w:t xml:space="preserve">Dentro del campo de estudio de las políticas públicas ha surgido </w:t>
      </w:r>
      <w:r w:rsidR="009E4686" w:rsidRPr="00A5089D">
        <w:rPr>
          <w:rFonts w:ascii="Times New Roman" w:eastAsia="Times New Roman" w:hAnsi="Times New Roman" w:cs="Times New Roman"/>
          <w:bCs/>
          <w:color w:val="000000" w:themeColor="text1"/>
        </w:rPr>
        <w:t xml:space="preserve">en los últimos años </w:t>
      </w:r>
      <w:r w:rsidRPr="00A5089D">
        <w:rPr>
          <w:rFonts w:ascii="Times New Roman" w:eastAsia="Times New Roman" w:hAnsi="Times New Roman" w:cs="Times New Roman"/>
          <w:bCs/>
          <w:color w:val="000000" w:themeColor="text1"/>
        </w:rPr>
        <w:t xml:space="preserve">un creciente interés </w:t>
      </w:r>
      <w:r w:rsidR="009E4686" w:rsidRPr="00A5089D">
        <w:rPr>
          <w:rFonts w:ascii="Times New Roman" w:eastAsia="Times New Roman" w:hAnsi="Times New Roman" w:cs="Times New Roman"/>
          <w:bCs/>
          <w:color w:val="000000" w:themeColor="text1"/>
        </w:rPr>
        <w:t>por</w:t>
      </w:r>
      <w:r w:rsidRPr="00A5089D">
        <w:rPr>
          <w:rFonts w:ascii="Times New Roman" w:eastAsia="Times New Roman" w:hAnsi="Times New Roman" w:cs="Times New Roman"/>
          <w:bCs/>
          <w:color w:val="000000" w:themeColor="text1"/>
        </w:rPr>
        <w:t xml:space="preserve"> </w:t>
      </w:r>
      <w:r w:rsidR="009E4686" w:rsidRPr="00A5089D">
        <w:rPr>
          <w:rFonts w:ascii="Times New Roman" w:eastAsia="Times New Roman" w:hAnsi="Times New Roman" w:cs="Times New Roman"/>
          <w:bCs/>
          <w:color w:val="000000" w:themeColor="text1"/>
        </w:rPr>
        <w:t>analizar por qué y cómo cambian las políticas estatales</w:t>
      </w:r>
      <w:r w:rsidRPr="00A5089D">
        <w:rPr>
          <w:rFonts w:ascii="Times New Roman" w:eastAsia="Times New Roman" w:hAnsi="Times New Roman" w:cs="Times New Roman"/>
          <w:bCs/>
          <w:color w:val="000000" w:themeColor="text1"/>
        </w:rPr>
        <w:t xml:space="preserve">. El objetivo de este artículo es </w:t>
      </w:r>
      <w:r w:rsidR="009E4686" w:rsidRPr="00A5089D">
        <w:rPr>
          <w:rFonts w:ascii="Times New Roman" w:eastAsia="Times New Roman" w:hAnsi="Times New Roman" w:cs="Times New Roman"/>
          <w:bCs/>
          <w:color w:val="000000" w:themeColor="text1"/>
        </w:rPr>
        <w:t>estudiar</w:t>
      </w:r>
      <w:r w:rsidRPr="00A5089D">
        <w:rPr>
          <w:rFonts w:ascii="Times New Roman" w:eastAsia="Times New Roman" w:hAnsi="Times New Roman" w:cs="Times New Roman"/>
          <w:bCs/>
          <w:color w:val="000000" w:themeColor="text1"/>
        </w:rPr>
        <w:t xml:space="preserve"> el problema del cambio de la política pública de agua y saneamiento en Ecuador entre los años 2008 y 2015 con la finalidad de explicar las principales causas de su transformación y </w:t>
      </w:r>
      <w:r w:rsidR="009E4686" w:rsidRPr="00A5089D">
        <w:rPr>
          <w:rFonts w:ascii="Times New Roman" w:eastAsia="Times New Roman" w:hAnsi="Times New Roman" w:cs="Times New Roman"/>
          <w:bCs/>
          <w:color w:val="000000" w:themeColor="text1"/>
        </w:rPr>
        <w:t>sus</w:t>
      </w:r>
      <w:r w:rsidR="003377A6" w:rsidRPr="00A5089D">
        <w:rPr>
          <w:rFonts w:ascii="Times New Roman" w:eastAsia="Times New Roman" w:hAnsi="Times New Roman" w:cs="Times New Roman"/>
          <w:bCs/>
          <w:color w:val="000000" w:themeColor="text1"/>
        </w:rPr>
        <w:t xml:space="preserve"> </w:t>
      </w:r>
      <w:r w:rsidRPr="00A5089D">
        <w:rPr>
          <w:rFonts w:ascii="Times New Roman" w:eastAsia="Times New Roman" w:hAnsi="Times New Roman" w:cs="Times New Roman"/>
          <w:bCs/>
          <w:color w:val="000000" w:themeColor="text1"/>
        </w:rPr>
        <w:t xml:space="preserve">consecuencias. Para ello, utilizamos el modelo ideacional (Kisby, 2007) </w:t>
      </w:r>
      <w:r w:rsidR="003377A6" w:rsidRPr="00A5089D">
        <w:rPr>
          <w:rFonts w:ascii="Times New Roman" w:eastAsia="Times New Roman" w:hAnsi="Times New Roman" w:cs="Times New Roman"/>
          <w:bCs/>
          <w:color w:val="000000" w:themeColor="text1"/>
        </w:rPr>
        <w:t xml:space="preserve">de redes de política </w:t>
      </w:r>
      <w:r w:rsidRPr="00A5089D">
        <w:rPr>
          <w:rFonts w:ascii="Times New Roman" w:eastAsia="Times New Roman" w:hAnsi="Times New Roman" w:cs="Times New Roman"/>
          <w:bCs/>
          <w:color w:val="000000" w:themeColor="text1"/>
        </w:rPr>
        <w:t xml:space="preserve">en </w:t>
      </w:r>
      <w:r w:rsidR="009E4686" w:rsidRPr="00A5089D">
        <w:rPr>
          <w:rFonts w:ascii="Times New Roman" w:eastAsia="Times New Roman" w:hAnsi="Times New Roman" w:cs="Times New Roman"/>
          <w:bCs/>
          <w:color w:val="000000" w:themeColor="text1"/>
        </w:rPr>
        <w:t xml:space="preserve">sus </w:t>
      </w:r>
      <w:r w:rsidRPr="00A5089D">
        <w:rPr>
          <w:rFonts w:ascii="Times New Roman" w:eastAsia="Times New Roman" w:hAnsi="Times New Roman" w:cs="Times New Roman"/>
          <w:bCs/>
          <w:color w:val="000000" w:themeColor="text1"/>
        </w:rPr>
        <w:t>tres niveles: contexto, estructura y resultados de la política</w:t>
      </w:r>
      <w:r w:rsidR="003377A6" w:rsidRPr="00A5089D">
        <w:rPr>
          <w:rFonts w:ascii="Times New Roman" w:eastAsia="Times New Roman" w:hAnsi="Times New Roman" w:cs="Times New Roman"/>
          <w:bCs/>
          <w:color w:val="000000" w:themeColor="text1"/>
        </w:rPr>
        <w:t xml:space="preserve">. La hipótesis que sostenemos en este trabajo de investigación es que </w:t>
      </w:r>
      <w:r w:rsidRPr="00A5089D">
        <w:rPr>
          <w:rFonts w:ascii="Times New Roman" w:eastAsia="Times New Roman" w:hAnsi="Times New Roman" w:cs="Times New Roman"/>
          <w:bCs/>
          <w:color w:val="000000" w:themeColor="text1"/>
        </w:rPr>
        <w:t xml:space="preserve">los instrumentos de </w:t>
      </w:r>
      <w:r w:rsidR="003377A6" w:rsidRPr="00A5089D">
        <w:rPr>
          <w:rFonts w:ascii="Times New Roman" w:eastAsia="Times New Roman" w:hAnsi="Times New Roman" w:cs="Times New Roman"/>
          <w:bCs/>
          <w:color w:val="000000" w:themeColor="text1"/>
        </w:rPr>
        <w:t xml:space="preserve">la </w:t>
      </w:r>
      <w:r w:rsidRPr="00A5089D">
        <w:rPr>
          <w:rFonts w:ascii="Times New Roman" w:eastAsia="Times New Roman" w:hAnsi="Times New Roman" w:cs="Times New Roman"/>
          <w:bCs/>
          <w:color w:val="000000" w:themeColor="text1"/>
        </w:rPr>
        <w:t xml:space="preserve">política </w:t>
      </w:r>
      <w:r w:rsidR="0066152D" w:rsidRPr="00A5089D">
        <w:rPr>
          <w:rFonts w:ascii="Times New Roman" w:eastAsia="Times New Roman" w:hAnsi="Times New Roman" w:cs="Times New Roman"/>
          <w:bCs/>
          <w:color w:val="000000" w:themeColor="text1"/>
        </w:rPr>
        <w:t>se transforman</w:t>
      </w:r>
      <w:r w:rsidRPr="00A5089D">
        <w:rPr>
          <w:rFonts w:ascii="Times New Roman" w:eastAsia="Times New Roman" w:hAnsi="Times New Roman" w:cs="Times New Roman"/>
          <w:bCs/>
          <w:color w:val="000000" w:themeColor="text1"/>
        </w:rPr>
        <w:t xml:space="preserve"> debido a la intervención externa del </w:t>
      </w:r>
      <w:r w:rsidR="00F249B1" w:rsidRPr="00A5089D">
        <w:rPr>
          <w:rFonts w:ascii="Times New Roman" w:eastAsia="Times New Roman" w:hAnsi="Times New Roman" w:cs="Times New Roman"/>
          <w:bCs/>
          <w:color w:val="000000" w:themeColor="text1"/>
        </w:rPr>
        <w:t>p</w:t>
      </w:r>
      <w:r w:rsidR="00A8200D" w:rsidRPr="00A5089D">
        <w:rPr>
          <w:rFonts w:ascii="Times New Roman" w:eastAsia="Times New Roman" w:hAnsi="Times New Roman" w:cs="Times New Roman"/>
          <w:bCs/>
          <w:color w:val="000000" w:themeColor="text1"/>
        </w:rPr>
        <w:t>residente</w:t>
      </w:r>
      <w:r w:rsidRPr="00A5089D">
        <w:rPr>
          <w:rFonts w:ascii="Times New Roman" w:eastAsia="Times New Roman" w:hAnsi="Times New Roman" w:cs="Times New Roman"/>
          <w:bCs/>
          <w:color w:val="000000" w:themeColor="text1"/>
        </w:rPr>
        <w:t xml:space="preserve"> de la República, y que dicha intervención reorganiza el contexto de la política, </w:t>
      </w:r>
      <w:r w:rsidR="003377A6" w:rsidRPr="00A5089D">
        <w:rPr>
          <w:rFonts w:ascii="Times New Roman" w:eastAsia="Times New Roman" w:hAnsi="Times New Roman" w:cs="Times New Roman"/>
          <w:bCs/>
          <w:color w:val="000000" w:themeColor="text1"/>
        </w:rPr>
        <w:t>la estructura de la red</w:t>
      </w:r>
      <w:r w:rsidRPr="00A5089D">
        <w:rPr>
          <w:rFonts w:ascii="Times New Roman" w:eastAsia="Times New Roman" w:hAnsi="Times New Roman" w:cs="Times New Roman"/>
          <w:bCs/>
          <w:color w:val="000000" w:themeColor="text1"/>
        </w:rPr>
        <w:t xml:space="preserve"> y los recursos dentro del proceso de toma de decisiones. </w:t>
      </w:r>
      <w:r w:rsidR="0066152D" w:rsidRPr="00A5089D">
        <w:rPr>
          <w:rFonts w:ascii="Times New Roman" w:eastAsia="Times New Roman" w:hAnsi="Times New Roman" w:cs="Times New Roman"/>
          <w:bCs/>
          <w:color w:val="000000" w:themeColor="text1"/>
        </w:rPr>
        <w:t xml:space="preserve">El cambio de la política basado en la </w:t>
      </w:r>
      <w:r w:rsidRPr="00A5089D">
        <w:rPr>
          <w:rFonts w:ascii="Times New Roman" w:eastAsia="Times New Roman" w:hAnsi="Times New Roman" w:cs="Times New Roman"/>
          <w:bCs/>
          <w:color w:val="000000" w:themeColor="text1"/>
        </w:rPr>
        <w:t xml:space="preserve">intervención directa de una autoridad política puede </w:t>
      </w:r>
      <w:r w:rsidR="0066152D" w:rsidRPr="00A5089D">
        <w:rPr>
          <w:rFonts w:ascii="Times New Roman" w:eastAsia="Times New Roman" w:hAnsi="Times New Roman" w:cs="Times New Roman"/>
          <w:bCs/>
          <w:color w:val="000000" w:themeColor="text1"/>
        </w:rPr>
        <w:t xml:space="preserve">entonces </w:t>
      </w:r>
      <w:r w:rsidRPr="00A5089D">
        <w:rPr>
          <w:rFonts w:ascii="Times New Roman" w:eastAsia="Times New Roman" w:hAnsi="Times New Roman" w:cs="Times New Roman"/>
          <w:bCs/>
          <w:color w:val="000000" w:themeColor="text1"/>
        </w:rPr>
        <w:t>anular los consensos de las redes de política, transformar los procesos de toma de decisiones, reformular los instrumentos y reemplazar las creencias programáticas de los actores</w:t>
      </w:r>
      <w:r w:rsidR="0066152D" w:rsidRPr="00A5089D">
        <w:rPr>
          <w:rFonts w:ascii="Times New Roman" w:eastAsia="Times New Roman" w:hAnsi="Times New Roman" w:cs="Times New Roman"/>
          <w:bCs/>
          <w:color w:val="000000" w:themeColor="text1"/>
        </w:rPr>
        <w:t xml:space="preserve"> (Marsh y Smith, 2000)</w:t>
      </w:r>
      <w:r w:rsidRPr="00A5089D">
        <w:rPr>
          <w:rFonts w:ascii="Times New Roman" w:eastAsia="Times New Roman" w:hAnsi="Times New Roman" w:cs="Times New Roman"/>
          <w:bCs/>
          <w:color w:val="000000" w:themeColor="text1"/>
        </w:rPr>
        <w:t>.</w:t>
      </w:r>
    </w:p>
    <w:p w:rsidR="00722853" w:rsidRPr="00A5089D" w:rsidRDefault="00722853" w:rsidP="00537D1E">
      <w:pPr>
        <w:pStyle w:val="paragraph"/>
        <w:shd w:val="clear" w:color="auto" w:fill="FFFFFF"/>
        <w:spacing w:before="0" w:after="0" w:line="240" w:lineRule="auto"/>
        <w:jc w:val="both"/>
        <w:rPr>
          <w:rFonts w:ascii="Times New Roman" w:hAnsi="Times New Roman"/>
          <w:color w:val="000000" w:themeColor="text1"/>
          <w:u w:color="0432FF"/>
        </w:rPr>
      </w:pPr>
    </w:p>
    <w:p w:rsidR="00537D1E" w:rsidRPr="00A5089D" w:rsidRDefault="00343082" w:rsidP="00537D1E">
      <w:pPr>
        <w:pStyle w:val="paragraph"/>
        <w:shd w:val="clear" w:color="auto" w:fill="FFFFFF"/>
        <w:spacing w:before="0" w:after="0" w:line="240" w:lineRule="auto"/>
        <w:jc w:val="both"/>
        <w:rPr>
          <w:rFonts w:ascii="Times New Roman" w:hAnsi="Times New Roman"/>
          <w:color w:val="000000" w:themeColor="text1"/>
        </w:rPr>
      </w:pPr>
      <w:r w:rsidRPr="00A5089D">
        <w:rPr>
          <w:rFonts w:ascii="Times New Roman" w:hAnsi="Times New Roman"/>
          <w:b/>
          <w:bCs/>
          <w:color w:val="000000" w:themeColor="text1"/>
        </w:rPr>
        <w:t>Palabras clave:</w:t>
      </w:r>
      <w:r w:rsidRPr="00A5089D">
        <w:rPr>
          <w:rFonts w:ascii="Times New Roman" w:hAnsi="Times New Roman"/>
          <w:color w:val="000000" w:themeColor="text1"/>
        </w:rPr>
        <w:t xml:space="preserve"> </w:t>
      </w:r>
    </w:p>
    <w:p w:rsidR="00537D1E" w:rsidRPr="00A5089D" w:rsidRDefault="00537D1E" w:rsidP="00537D1E">
      <w:pPr>
        <w:pStyle w:val="paragraph"/>
        <w:shd w:val="clear" w:color="auto" w:fill="FFFFFF"/>
        <w:spacing w:before="0" w:after="0" w:line="240" w:lineRule="auto"/>
        <w:jc w:val="both"/>
        <w:rPr>
          <w:rFonts w:ascii="Times New Roman" w:hAnsi="Times New Roman"/>
          <w:color w:val="000000" w:themeColor="text1"/>
        </w:rPr>
      </w:pPr>
    </w:p>
    <w:p w:rsidR="00C04568" w:rsidRPr="00A5089D" w:rsidRDefault="00343082" w:rsidP="00537D1E">
      <w:pPr>
        <w:pStyle w:val="paragraph"/>
        <w:shd w:val="clear" w:color="auto" w:fill="FFFFFF"/>
        <w:spacing w:before="0" w:after="0" w:line="240" w:lineRule="auto"/>
        <w:jc w:val="both"/>
        <w:rPr>
          <w:rFonts w:ascii="Times New Roman" w:eastAsia="Times New Roman" w:hAnsi="Times New Roman" w:cs="Times New Roman"/>
          <w:color w:val="000000" w:themeColor="text1"/>
        </w:rPr>
      </w:pPr>
      <w:r w:rsidRPr="00A5089D">
        <w:rPr>
          <w:rFonts w:ascii="Times New Roman" w:hAnsi="Times New Roman"/>
          <w:color w:val="000000" w:themeColor="text1"/>
        </w:rPr>
        <w:t xml:space="preserve">Cambio de política/ </w:t>
      </w:r>
      <w:r w:rsidRPr="00A5089D">
        <w:rPr>
          <w:rFonts w:ascii="Times New Roman" w:hAnsi="Times New Roman"/>
          <w:color w:val="000000" w:themeColor="text1"/>
          <w:u w:color="FF0000"/>
        </w:rPr>
        <w:t>Autoridad política</w:t>
      </w:r>
      <w:r w:rsidR="003C5DF6" w:rsidRPr="00A5089D">
        <w:rPr>
          <w:rFonts w:ascii="Times New Roman" w:hAnsi="Times New Roman"/>
          <w:color w:val="000000" w:themeColor="text1"/>
          <w:u w:color="FF0000"/>
        </w:rPr>
        <w:t xml:space="preserve"> /Redes de política pública</w:t>
      </w:r>
      <w:r w:rsidR="003C5DF6" w:rsidRPr="00A5089D">
        <w:rPr>
          <w:rFonts w:ascii="Times New Roman" w:hAnsi="Times New Roman"/>
          <w:color w:val="000000" w:themeColor="text1"/>
        </w:rPr>
        <w:t>/ A</w:t>
      </w:r>
      <w:r w:rsidR="003C5DF6" w:rsidRPr="00A5089D">
        <w:rPr>
          <w:rFonts w:ascii="Times New Roman" w:hAnsi="Times New Roman"/>
          <w:color w:val="000000" w:themeColor="text1"/>
          <w:u w:color="FF0000"/>
        </w:rPr>
        <w:t>gua y saneamiento</w:t>
      </w:r>
      <w:r w:rsidRPr="00A5089D">
        <w:rPr>
          <w:rFonts w:ascii="Times New Roman" w:hAnsi="Times New Roman"/>
          <w:color w:val="000000" w:themeColor="text1"/>
        </w:rPr>
        <w:t xml:space="preserve">. </w:t>
      </w:r>
    </w:p>
    <w:p w:rsidR="00C04568" w:rsidRPr="00A5089D" w:rsidRDefault="00C04568" w:rsidP="00537D1E">
      <w:pPr>
        <w:pStyle w:val="paragraph"/>
        <w:shd w:val="clear" w:color="auto" w:fill="FFFFFF"/>
        <w:spacing w:before="0" w:after="0" w:line="240" w:lineRule="auto"/>
        <w:jc w:val="both"/>
        <w:rPr>
          <w:rFonts w:ascii="Times New Roman" w:eastAsia="Times New Roman" w:hAnsi="Times New Roman" w:cs="Times New Roman"/>
          <w:color w:val="000000" w:themeColor="text1"/>
        </w:rPr>
      </w:pPr>
    </w:p>
    <w:p w:rsidR="00537D1E" w:rsidRPr="00A5089D" w:rsidRDefault="00343082" w:rsidP="00537D1E">
      <w:pPr>
        <w:pStyle w:val="BodyB"/>
        <w:spacing w:line="240" w:lineRule="auto"/>
        <w:jc w:val="both"/>
        <w:rPr>
          <w:rFonts w:ascii="Times New Roman" w:hAnsi="Times New Roman"/>
          <w:b/>
          <w:bCs/>
          <w:color w:val="000000" w:themeColor="text1"/>
          <w:sz w:val="24"/>
          <w:szCs w:val="24"/>
          <w:lang w:val="en-US"/>
        </w:rPr>
      </w:pPr>
      <w:r w:rsidRPr="00A5089D">
        <w:rPr>
          <w:rFonts w:ascii="Times New Roman" w:hAnsi="Times New Roman"/>
          <w:b/>
          <w:bCs/>
          <w:color w:val="000000" w:themeColor="text1"/>
          <w:sz w:val="24"/>
          <w:szCs w:val="24"/>
          <w:lang w:val="en-US"/>
        </w:rPr>
        <w:t xml:space="preserve">Abstract: </w:t>
      </w:r>
    </w:p>
    <w:p w:rsidR="003C5DF6" w:rsidRPr="00A5089D" w:rsidRDefault="00EE2366" w:rsidP="00537D1E">
      <w:pPr>
        <w:pStyle w:val="BodyB"/>
        <w:spacing w:line="240" w:lineRule="auto"/>
        <w:jc w:val="both"/>
        <w:rPr>
          <w:rFonts w:ascii="Times New Roman" w:hAnsi="Times New Roman"/>
          <w:color w:val="000000" w:themeColor="text1"/>
          <w:sz w:val="24"/>
          <w:szCs w:val="24"/>
          <w:lang w:val="en-US"/>
        </w:rPr>
      </w:pPr>
      <w:r w:rsidRPr="00A5089D">
        <w:rPr>
          <w:rFonts w:ascii="Times New Roman" w:hAnsi="Times New Roman"/>
          <w:bCs/>
          <w:color w:val="000000" w:themeColor="text1"/>
          <w:sz w:val="24"/>
          <w:szCs w:val="24"/>
          <w:lang w:val="en-US"/>
        </w:rPr>
        <w:t xml:space="preserve">Within the field of study of public policies, there has been an increase of interest in the investigation of </w:t>
      </w:r>
      <w:r w:rsidR="0066152D" w:rsidRPr="00A5089D">
        <w:rPr>
          <w:rFonts w:ascii="Times New Roman" w:hAnsi="Times New Roman"/>
          <w:bCs/>
          <w:color w:val="000000" w:themeColor="text1"/>
          <w:sz w:val="24"/>
          <w:szCs w:val="24"/>
          <w:lang w:val="en-US"/>
        </w:rPr>
        <w:t xml:space="preserve">why and how </w:t>
      </w:r>
      <w:r w:rsidRPr="00A5089D">
        <w:rPr>
          <w:rFonts w:ascii="Times New Roman" w:hAnsi="Times New Roman"/>
          <w:bCs/>
          <w:color w:val="000000" w:themeColor="text1"/>
          <w:sz w:val="24"/>
          <w:szCs w:val="24"/>
          <w:lang w:val="en-US"/>
        </w:rPr>
        <w:t xml:space="preserve">public policy change. </w:t>
      </w:r>
      <w:r w:rsidR="00343082" w:rsidRPr="00A5089D">
        <w:rPr>
          <w:rFonts w:ascii="Times New Roman" w:hAnsi="Times New Roman"/>
          <w:color w:val="000000" w:themeColor="text1"/>
          <w:sz w:val="24"/>
          <w:szCs w:val="24"/>
          <w:lang w:val="en-US"/>
        </w:rPr>
        <w:t>Th</w:t>
      </w:r>
      <w:r w:rsidR="003C5DF6" w:rsidRPr="00A5089D">
        <w:rPr>
          <w:rFonts w:ascii="Times New Roman" w:hAnsi="Times New Roman"/>
          <w:color w:val="000000" w:themeColor="text1"/>
          <w:sz w:val="24"/>
          <w:szCs w:val="24"/>
          <w:lang w:val="en-US"/>
        </w:rPr>
        <w:t xml:space="preserve">e </w:t>
      </w:r>
      <w:r w:rsidRPr="00A5089D">
        <w:rPr>
          <w:rFonts w:ascii="Times New Roman" w:hAnsi="Times New Roman"/>
          <w:color w:val="000000" w:themeColor="text1"/>
          <w:sz w:val="24"/>
          <w:szCs w:val="24"/>
          <w:lang w:val="en-US"/>
        </w:rPr>
        <w:t>aim</w:t>
      </w:r>
      <w:r w:rsidR="003C5DF6" w:rsidRPr="00A5089D">
        <w:rPr>
          <w:rFonts w:ascii="Times New Roman" w:hAnsi="Times New Roman"/>
          <w:color w:val="000000" w:themeColor="text1"/>
          <w:sz w:val="24"/>
          <w:szCs w:val="24"/>
          <w:lang w:val="en-US"/>
        </w:rPr>
        <w:t xml:space="preserve"> of this </w:t>
      </w:r>
      <w:r w:rsidRPr="00A5089D">
        <w:rPr>
          <w:rFonts w:ascii="Times New Roman" w:hAnsi="Times New Roman"/>
          <w:color w:val="000000" w:themeColor="text1"/>
          <w:sz w:val="24"/>
          <w:szCs w:val="24"/>
          <w:lang w:val="en-US"/>
        </w:rPr>
        <w:t>articl</w:t>
      </w:r>
      <w:r w:rsidR="003C5DF6" w:rsidRPr="00A5089D">
        <w:rPr>
          <w:rFonts w:ascii="Times New Roman" w:hAnsi="Times New Roman"/>
          <w:color w:val="000000" w:themeColor="text1"/>
          <w:sz w:val="24"/>
          <w:szCs w:val="24"/>
          <w:lang w:val="en-US"/>
        </w:rPr>
        <w:t>e</w:t>
      </w:r>
      <w:r w:rsidR="00343082" w:rsidRPr="00A5089D">
        <w:rPr>
          <w:rFonts w:ascii="Times New Roman" w:hAnsi="Times New Roman"/>
          <w:color w:val="000000" w:themeColor="text1"/>
          <w:sz w:val="24"/>
          <w:szCs w:val="24"/>
          <w:lang w:val="en-US"/>
        </w:rPr>
        <w:t xml:space="preserve"> </w:t>
      </w:r>
      <w:r w:rsidR="003C5DF6" w:rsidRPr="00A5089D">
        <w:rPr>
          <w:rFonts w:ascii="Times New Roman" w:hAnsi="Times New Roman"/>
          <w:color w:val="000000" w:themeColor="text1"/>
          <w:sz w:val="24"/>
          <w:szCs w:val="24"/>
          <w:lang w:val="en-US"/>
        </w:rPr>
        <w:t xml:space="preserve">is to analyze the problem of the change of public water and sanitation policy in Ecuador between 2008 and 2015, in order to explain the main causes of its transformation and </w:t>
      </w:r>
      <w:r w:rsidR="0066152D" w:rsidRPr="00A5089D">
        <w:rPr>
          <w:rFonts w:ascii="Times New Roman" w:hAnsi="Times New Roman"/>
          <w:color w:val="000000" w:themeColor="text1"/>
          <w:sz w:val="24"/>
          <w:szCs w:val="24"/>
          <w:lang w:val="en-US"/>
        </w:rPr>
        <w:t>its</w:t>
      </w:r>
      <w:r w:rsidR="003C5DF6" w:rsidRPr="00A5089D">
        <w:rPr>
          <w:rFonts w:ascii="Times New Roman" w:hAnsi="Times New Roman"/>
          <w:color w:val="000000" w:themeColor="text1"/>
          <w:sz w:val="24"/>
          <w:szCs w:val="24"/>
          <w:lang w:val="en-US"/>
        </w:rPr>
        <w:t xml:space="preserve"> consequences. In this sense, we use the ideational model (</w:t>
      </w:r>
      <w:r w:rsidR="003C5DF6" w:rsidRPr="00A5089D">
        <w:rPr>
          <w:rFonts w:ascii="Times New Roman" w:hAnsi="Times New Roman"/>
          <w:color w:val="000000" w:themeColor="text1"/>
          <w:sz w:val="24"/>
          <w:szCs w:val="24"/>
          <w:u w:color="0432FF"/>
          <w:lang w:val="en-US"/>
        </w:rPr>
        <w:t>Kisby, 2007</w:t>
      </w:r>
      <w:r w:rsidR="003C5DF6" w:rsidRPr="00A5089D">
        <w:rPr>
          <w:rFonts w:ascii="Times New Roman" w:hAnsi="Times New Roman"/>
          <w:color w:val="000000" w:themeColor="text1"/>
          <w:sz w:val="24"/>
          <w:szCs w:val="24"/>
          <w:lang w:val="en-US"/>
        </w:rPr>
        <w:t>)</w:t>
      </w:r>
      <w:r w:rsidR="0066152D" w:rsidRPr="00A5089D">
        <w:rPr>
          <w:rFonts w:ascii="Times New Roman" w:hAnsi="Times New Roman"/>
          <w:color w:val="000000" w:themeColor="text1"/>
          <w:sz w:val="24"/>
          <w:szCs w:val="24"/>
          <w:lang w:val="en-US"/>
        </w:rPr>
        <w:t xml:space="preserve"> of policy networks</w:t>
      </w:r>
      <w:r w:rsidR="003C5DF6" w:rsidRPr="00A5089D">
        <w:rPr>
          <w:rFonts w:ascii="Times New Roman" w:hAnsi="Times New Roman"/>
          <w:color w:val="000000" w:themeColor="text1"/>
          <w:sz w:val="24"/>
          <w:szCs w:val="24"/>
          <w:lang w:val="en-US"/>
        </w:rPr>
        <w:t xml:space="preserve"> to explain policy change in three levels: context, network structure and policy results. The </w:t>
      </w:r>
      <w:r w:rsidR="0066152D" w:rsidRPr="00A5089D">
        <w:rPr>
          <w:rFonts w:ascii="Times New Roman" w:hAnsi="Times New Roman"/>
          <w:color w:val="000000" w:themeColor="text1"/>
          <w:sz w:val="24"/>
          <w:szCs w:val="24"/>
          <w:lang w:val="en-US"/>
        </w:rPr>
        <w:t xml:space="preserve">hypothesis of this research is </w:t>
      </w:r>
      <w:r w:rsidR="003C5DF6" w:rsidRPr="00A5089D">
        <w:rPr>
          <w:rFonts w:ascii="Times New Roman" w:hAnsi="Times New Roman"/>
          <w:color w:val="000000" w:themeColor="text1"/>
          <w:sz w:val="24"/>
          <w:szCs w:val="24"/>
          <w:lang w:val="en-US"/>
        </w:rPr>
        <w:t xml:space="preserve">that </w:t>
      </w:r>
      <w:r w:rsidR="00343082" w:rsidRPr="00A5089D">
        <w:rPr>
          <w:rFonts w:ascii="Times New Roman" w:hAnsi="Times New Roman"/>
          <w:color w:val="000000" w:themeColor="text1"/>
          <w:sz w:val="24"/>
          <w:szCs w:val="24"/>
          <w:lang w:val="en-US"/>
        </w:rPr>
        <w:t>policy instruments change due to the external intervention of the President and this intervention reorganizes policy context</w:t>
      </w:r>
      <w:r w:rsidR="0066152D" w:rsidRPr="00A5089D">
        <w:rPr>
          <w:rFonts w:ascii="Times New Roman" w:hAnsi="Times New Roman"/>
          <w:color w:val="000000" w:themeColor="text1"/>
          <w:sz w:val="24"/>
          <w:szCs w:val="24"/>
          <w:lang w:val="en-US"/>
        </w:rPr>
        <w:t>, network structure,</w:t>
      </w:r>
      <w:r w:rsidR="00343082" w:rsidRPr="00A5089D">
        <w:rPr>
          <w:rFonts w:ascii="Times New Roman" w:hAnsi="Times New Roman"/>
          <w:color w:val="000000" w:themeColor="text1"/>
          <w:sz w:val="24"/>
          <w:szCs w:val="24"/>
          <w:lang w:val="en-US"/>
        </w:rPr>
        <w:t xml:space="preserve"> and the resources of the decision-making process. </w:t>
      </w:r>
      <w:r w:rsidR="0066152D" w:rsidRPr="00A5089D">
        <w:rPr>
          <w:rFonts w:ascii="Times New Roman" w:hAnsi="Times New Roman"/>
          <w:color w:val="000000" w:themeColor="text1"/>
          <w:sz w:val="24"/>
          <w:szCs w:val="24"/>
          <w:lang w:val="en-US"/>
        </w:rPr>
        <w:t>Policy change based on th</w:t>
      </w:r>
      <w:r w:rsidR="00C67D06" w:rsidRPr="00A5089D">
        <w:rPr>
          <w:rFonts w:ascii="Times New Roman" w:hAnsi="Times New Roman"/>
          <w:color w:val="000000" w:themeColor="text1"/>
          <w:sz w:val="24"/>
          <w:szCs w:val="24"/>
          <w:lang w:val="en-US"/>
        </w:rPr>
        <w:t xml:space="preserve">e </w:t>
      </w:r>
      <w:r w:rsidR="003C5DF6" w:rsidRPr="00A5089D">
        <w:rPr>
          <w:rFonts w:ascii="Times New Roman" w:hAnsi="Times New Roman"/>
          <w:color w:val="000000" w:themeColor="text1"/>
          <w:sz w:val="24"/>
          <w:szCs w:val="24"/>
          <w:lang w:val="en-US"/>
        </w:rPr>
        <w:t>direct intervention of a political authority can cancel the consensus of policy networks, transform the decision-making process, change policy instruments and replace the programmatic beliefs</w:t>
      </w:r>
      <w:r w:rsidRPr="00A5089D">
        <w:rPr>
          <w:rFonts w:ascii="Times New Roman" w:hAnsi="Times New Roman"/>
          <w:color w:val="000000" w:themeColor="text1"/>
          <w:sz w:val="24"/>
          <w:szCs w:val="24"/>
          <w:lang w:val="en-US"/>
        </w:rPr>
        <w:t xml:space="preserve"> of the actors</w:t>
      </w:r>
      <w:r w:rsidR="00C67D06" w:rsidRPr="00A5089D">
        <w:rPr>
          <w:rFonts w:ascii="Times New Roman" w:hAnsi="Times New Roman"/>
          <w:color w:val="000000" w:themeColor="text1"/>
          <w:sz w:val="24"/>
          <w:szCs w:val="24"/>
          <w:lang w:val="en-US"/>
        </w:rPr>
        <w:t xml:space="preserve"> (Marsh &amp; Smith, 2000)</w:t>
      </w:r>
      <w:r w:rsidR="003C5DF6" w:rsidRPr="00A5089D">
        <w:rPr>
          <w:rFonts w:ascii="Times New Roman" w:hAnsi="Times New Roman"/>
          <w:color w:val="000000" w:themeColor="text1"/>
          <w:sz w:val="24"/>
          <w:szCs w:val="24"/>
          <w:lang w:val="en-US"/>
        </w:rPr>
        <w:t xml:space="preserve">. </w:t>
      </w:r>
    </w:p>
    <w:p w:rsidR="00537D1E" w:rsidRPr="00A5089D" w:rsidRDefault="00343082" w:rsidP="00537D1E">
      <w:pPr>
        <w:pStyle w:val="Prrafodelista"/>
        <w:spacing w:line="240" w:lineRule="auto"/>
        <w:ind w:left="0"/>
        <w:jc w:val="both"/>
        <w:rPr>
          <w:rFonts w:ascii="Times New Roman" w:hAnsi="Times New Roman"/>
          <w:color w:val="000000" w:themeColor="text1"/>
          <w:sz w:val="24"/>
          <w:szCs w:val="24"/>
          <w:lang w:val="en-US"/>
        </w:rPr>
      </w:pPr>
      <w:r w:rsidRPr="00A5089D">
        <w:rPr>
          <w:rFonts w:ascii="Times New Roman" w:hAnsi="Times New Roman"/>
          <w:b/>
          <w:bCs/>
          <w:color w:val="000000" w:themeColor="text1"/>
          <w:sz w:val="24"/>
          <w:szCs w:val="24"/>
          <w:lang w:val="en-US"/>
        </w:rPr>
        <w:t>Keywords:</w:t>
      </w:r>
      <w:r w:rsidRPr="00A5089D">
        <w:rPr>
          <w:rFonts w:ascii="Times New Roman" w:hAnsi="Times New Roman"/>
          <w:color w:val="000000" w:themeColor="text1"/>
          <w:sz w:val="24"/>
          <w:szCs w:val="24"/>
          <w:lang w:val="en-US"/>
        </w:rPr>
        <w:t xml:space="preserve"> </w:t>
      </w:r>
    </w:p>
    <w:p w:rsidR="00C04568" w:rsidRPr="00537D1E" w:rsidRDefault="00343082" w:rsidP="00537D1E">
      <w:pPr>
        <w:pStyle w:val="Prrafodelista"/>
        <w:spacing w:line="240" w:lineRule="auto"/>
        <w:ind w:left="0"/>
        <w:jc w:val="both"/>
        <w:rPr>
          <w:rFonts w:ascii="Times New Roman" w:eastAsia="Times New Roman" w:hAnsi="Times New Roman" w:cs="Times New Roman"/>
          <w:color w:val="FF0000"/>
          <w:sz w:val="24"/>
          <w:szCs w:val="24"/>
          <w:u w:color="FF0000"/>
          <w:lang w:val="en-US"/>
        </w:rPr>
      </w:pPr>
      <w:r w:rsidRPr="00537D1E">
        <w:rPr>
          <w:rFonts w:ascii="Times New Roman" w:hAnsi="Times New Roman"/>
          <w:color w:val="000000" w:themeColor="text1"/>
          <w:sz w:val="24"/>
          <w:szCs w:val="24"/>
          <w:lang w:val="en-US"/>
        </w:rPr>
        <w:t xml:space="preserve">Policy change/ </w:t>
      </w:r>
      <w:r w:rsidRPr="00537D1E">
        <w:rPr>
          <w:rFonts w:ascii="Times New Roman" w:hAnsi="Times New Roman"/>
          <w:color w:val="000000" w:themeColor="text1"/>
          <w:sz w:val="24"/>
          <w:szCs w:val="24"/>
          <w:u w:color="FF0000"/>
          <w:lang w:val="en-US"/>
        </w:rPr>
        <w:t>Political authority</w:t>
      </w:r>
      <w:r w:rsidRPr="00537D1E">
        <w:rPr>
          <w:rFonts w:ascii="Times New Roman" w:hAnsi="Times New Roman"/>
          <w:color w:val="000000" w:themeColor="text1"/>
          <w:sz w:val="24"/>
          <w:szCs w:val="24"/>
          <w:lang w:val="en-US"/>
        </w:rPr>
        <w:t>/</w:t>
      </w:r>
      <w:r w:rsidR="003C5DF6" w:rsidRPr="00537D1E">
        <w:rPr>
          <w:rFonts w:ascii="Times New Roman" w:hAnsi="Times New Roman"/>
          <w:color w:val="000000" w:themeColor="text1"/>
          <w:sz w:val="24"/>
          <w:szCs w:val="24"/>
          <w:lang w:val="en-US"/>
        </w:rPr>
        <w:t>Policy networks/</w:t>
      </w:r>
      <w:r w:rsidRPr="00537D1E">
        <w:rPr>
          <w:rFonts w:ascii="Times New Roman" w:hAnsi="Times New Roman"/>
          <w:color w:val="000000" w:themeColor="text1"/>
          <w:sz w:val="24"/>
          <w:szCs w:val="24"/>
          <w:lang w:val="en-US"/>
        </w:rPr>
        <w:t xml:space="preserve"> Water and sanitation</w:t>
      </w:r>
      <w:r w:rsidRPr="00537D1E">
        <w:rPr>
          <w:rFonts w:ascii="Times New Roman" w:hAnsi="Times New Roman"/>
          <w:color w:val="000000" w:themeColor="text1"/>
          <w:sz w:val="24"/>
          <w:szCs w:val="24"/>
          <w:u w:color="FF0000"/>
          <w:lang w:val="en-US"/>
        </w:rPr>
        <w:t>.</w:t>
      </w:r>
    </w:p>
    <w:p w:rsidR="00C04568" w:rsidRPr="00537D1E" w:rsidRDefault="00343082" w:rsidP="00537D1E">
      <w:pPr>
        <w:pStyle w:val="Ttulo1"/>
        <w:spacing w:line="240" w:lineRule="auto"/>
        <w:rPr>
          <w:rFonts w:ascii="Times New Roman" w:eastAsia="Times New Roman" w:hAnsi="Times New Roman" w:cs="Times New Roman"/>
          <w:color w:val="000000"/>
          <w:sz w:val="24"/>
          <w:szCs w:val="24"/>
          <w:u w:color="000000"/>
        </w:rPr>
      </w:pPr>
      <w:r w:rsidRPr="00537D1E">
        <w:rPr>
          <w:rFonts w:ascii="Times New Roman" w:hAnsi="Times New Roman"/>
          <w:color w:val="000000"/>
          <w:sz w:val="24"/>
          <w:szCs w:val="24"/>
          <w:u w:color="000000"/>
        </w:rPr>
        <w:t>Introducción</w:t>
      </w:r>
    </w:p>
    <w:p w:rsidR="00C04568" w:rsidRPr="00537D1E" w:rsidRDefault="00C04568" w:rsidP="00537D1E">
      <w:pPr>
        <w:pStyle w:val="Sinespaciado"/>
        <w:jc w:val="both"/>
        <w:rPr>
          <w:rFonts w:ascii="Times New Roman" w:eastAsia="Times New Roman" w:hAnsi="Times New Roman" w:cs="Times New Roman"/>
          <w:sz w:val="24"/>
          <w:szCs w:val="24"/>
        </w:rPr>
      </w:pPr>
    </w:p>
    <w:p w:rsidR="00C04568" w:rsidRPr="00A5089D" w:rsidRDefault="00343082" w:rsidP="00537D1E">
      <w:pPr>
        <w:pStyle w:val="BodyA"/>
        <w:keepNext/>
        <w:spacing w:line="240" w:lineRule="auto"/>
        <w:jc w:val="both"/>
        <w:rPr>
          <w:rFonts w:ascii="Times New Roman" w:eastAsia="Times New Roman" w:hAnsi="Times New Roman" w:cs="Times New Roman"/>
          <w:color w:val="000000" w:themeColor="text1"/>
          <w:sz w:val="24"/>
          <w:szCs w:val="24"/>
        </w:rPr>
      </w:pPr>
      <w:r w:rsidRPr="00537D1E">
        <w:rPr>
          <w:rFonts w:ascii="Times New Roman" w:hAnsi="Times New Roman"/>
          <w:sz w:val="24"/>
          <w:szCs w:val="24"/>
        </w:rPr>
        <w:t>De manera amplia, las políticas públicas hacen referencia a las estrategias o acciones ejecutadas por el Estado para la solución de un problema determinado, a través de la combinación de una gama de incentivos y formas de gestión pública (Méndez, 2010: 121). En los últimos años, en el campo del análisis de las polí</w:t>
      </w:r>
      <w:r w:rsidRPr="00537D1E">
        <w:rPr>
          <w:rFonts w:ascii="Times New Roman" w:hAnsi="Times New Roman"/>
          <w:sz w:val="24"/>
          <w:szCs w:val="24"/>
          <w:lang w:val="pt-PT"/>
        </w:rPr>
        <w:t>ticas p</w:t>
      </w:r>
      <w:r w:rsidRPr="00537D1E">
        <w:rPr>
          <w:rFonts w:ascii="Times New Roman" w:hAnsi="Times New Roman"/>
          <w:sz w:val="24"/>
          <w:szCs w:val="24"/>
        </w:rPr>
        <w:t xml:space="preserve">úblicas ha surgido </w:t>
      </w:r>
      <w:r w:rsidRPr="00537D1E">
        <w:rPr>
          <w:rFonts w:ascii="Times New Roman" w:hAnsi="Times New Roman"/>
          <w:sz w:val="24"/>
          <w:szCs w:val="24"/>
        </w:rPr>
        <w:lastRenderedPageBreak/>
        <w:t>un gran interés por estudiar el cambio de polí</w:t>
      </w:r>
      <w:r w:rsidRPr="00537D1E">
        <w:rPr>
          <w:rFonts w:ascii="Times New Roman" w:hAnsi="Times New Roman"/>
          <w:sz w:val="24"/>
          <w:szCs w:val="24"/>
          <w:lang w:val="it-IT"/>
        </w:rPr>
        <w:t>tica p</w:t>
      </w:r>
      <w:r w:rsidRPr="00537D1E">
        <w:rPr>
          <w:rFonts w:ascii="Times New Roman" w:hAnsi="Times New Roman"/>
          <w:sz w:val="24"/>
          <w:szCs w:val="24"/>
        </w:rPr>
        <w:t>ú</w:t>
      </w:r>
      <w:r w:rsidRPr="00537D1E">
        <w:rPr>
          <w:rFonts w:ascii="Times New Roman" w:hAnsi="Times New Roman"/>
          <w:sz w:val="24"/>
          <w:szCs w:val="24"/>
          <w:lang w:val="pt-PT"/>
        </w:rPr>
        <w:t>blica</w:t>
      </w:r>
      <w:r w:rsidRPr="00537D1E">
        <w:rPr>
          <w:rFonts w:ascii="Times New Roman" w:hAnsi="Times New Roman"/>
          <w:sz w:val="24"/>
          <w:szCs w:val="24"/>
        </w:rPr>
        <w:t>. Dentro de esta tendencia,</w:t>
      </w:r>
      <w:r w:rsidRPr="00537D1E">
        <w:rPr>
          <w:rFonts w:ascii="Times New Roman" w:hAnsi="Times New Roman"/>
          <w:sz w:val="24"/>
          <w:szCs w:val="24"/>
          <w:u w:color="0432FF"/>
        </w:rPr>
        <w:t xml:space="preserve"> nuestro artículo estudia el cambio de la política de la cobertura de agua y saneamiento </w:t>
      </w:r>
      <w:r w:rsidRPr="00537D1E">
        <w:rPr>
          <w:rFonts w:ascii="Times New Roman" w:hAnsi="Times New Roman"/>
          <w:sz w:val="24"/>
          <w:szCs w:val="24"/>
        </w:rPr>
        <w:t>con la finalidad d</w:t>
      </w:r>
      <w:r w:rsidRPr="00A5089D">
        <w:rPr>
          <w:rFonts w:ascii="Times New Roman" w:hAnsi="Times New Roman"/>
          <w:color w:val="000000" w:themeColor="text1"/>
          <w:sz w:val="24"/>
          <w:szCs w:val="24"/>
        </w:rPr>
        <w:t>e explicar las principales causas de su transformación y la</w:t>
      </w:r>
      <w:r w:rsidRPr="00A5089D">
        <w:rPr>
          <w:rFonts w:ascii="Times New Roman" w:hAnsi="Times New Roman"/>
          <w:color w:val="000000" w:themeColor="text1"/>
          <w:sz w:val="24"/>
          <w:szCs w:val="24"/>
          <w:u w:color="0432FF"/>
        </w:rPr>
        <w:t>s principales c</w:t>
      </w:r>
      <w:r w:rsidRPr="00A5089D">
        <w:rPr>
          <w:rFonts w:ascii="Times New Roman" w:hAnsi="Times New Roman"/>
          <w:color w:val="000000" w:themeColor="text1"/>
          <w:sz w:val="24"/>
          <w:szCs w:val="24"/>
        </w:rPr>
        <w:t xml:space="preserve">onsecuencias. </w:t>
      </w:r>
    </w:p>
    <w:p w:rsidR="00C04568" w:rsidRPr="00A5089D" w:rsidRDefault="00343082" w:rsidP="00537D1E">
      <w:pPr>
        <w:pStyle w:val="BodyA"/>
        <w:spacing w:line="240" w:lineRule="auto"/>
        <w:jc w:val="both"/>
        <w:rPr>
          <w:rFonts w:ascii="Times New Roman" w:hAnsi="Times New Roman"/>
          <w:color w:val="000000" w:themeColor="text1"/>
          <w:sz w:val="24"/>
          <w:szCs w:val="24"/>
          <w:u w:color="0432FF"/>
        </w:rPr>
      </w:pPr>
      <w:r w:rsidRPr="00A5089D">
        <w:rPr>
          <w:rFonts w:ascii="Times New Roman" w:hAnsi="Times New Roman"/>
          <w:color w:val="000000" w:themeColor="text1"/>
          <w:sz w:val="24"/>
          <w:szCs w:val="24"/>
          <w:u w:color="0432FF"/>
        </w:rPr>
        <w:t xml:space="preserve">La literatura que se ocupa del cambio de la política pública </w:t>
      </w:r>
      <w:r w:rsidRPr="00A5089D">
        <w:rPr>
          <w:rFonts w:ascii="Times New Roman" w:hAnsi="Times New Roman"/>
          <w:color w:val="000000" w:themeColor="text1"/>
          <w:sz w:val="24"/>
          <w:szCs w:val="24"/>
        </w:rPr>
        <w:t xml:space="preserve">presenta varios </w:t>
      </w:r>
      <w:r w:rsidRPr="00A5089D">
        <w:rPr>
          <w:rFonts w:ascii="Times New Roman" w:hAnsi="Times New Roman"/>
          <w:color w:val="000000" w:themeColor="text1"/>
          <w:sz w:val="24"/>
          <w:szCs w:val="24"/>
          <w:u w:color="0432FF"/>
          <w:lang w:val="fr-FR"/>
        </w:rPr>
        <w:t>enfoques de an</w:t>
      </w:r>
      <w:r w:rsidRPr="00A5089D">
        <w:rPr>
          <w:rFonts w:ascii="Times New Roman" w:hAnsi="Times New Roman"/>
          <w:color w:val="000000" w:themeColor="text1"/>
          <w:sz w:val="24"/>
          <w:szCs w:val="24"/>
          <w:u w:color="0432FF"/>
        </w:rPr>
        <w:t>álisis que no son excluyentes entre sí,</w:t>
      </w:r>
      <w:r w:rsidRPr="00A5089D">
        <w:rPr>
          <w:rFonts w:ascii="Times New Roman" w:hAnsi="Times New Roman"/>
          <w:color w:val="000000" w:themeColor="text1"/>
          <w:sz w:val="24"/>
          <w:szCs w:val="24"/>
        </w:rPr>
        <w:t xml:space="preserve"> pero </w:t>
      </w:r>
      <w:r w:rsidRPr="00A5089D">
        <w:rPr>
          <w:rFonts w:ascii="Times New Roman" w:hAnsi="Times New Roman"/>
          <w:color w:val="000000" w:themeColor="text1"/>
          <w:kern w:val="36"/>
          <w:sz w:val="24"/>
          <w:szCs w:val="24"/>
        </w:rPr>
        <w:t xml:space="preserve">cuya identificación </w:t>
      </w:r>
      <w:r w:rsidRPr="00A5089D">
        <w:rPr>
          <w:rFonts w:ascii="Times New Roman" w:hAnsi="Times New Roman"/>
          <w:color w:val="000000" w:themeColor="text1"/>
          <w:kern w:val="36"/>
          <w:sz w:val="24"/>
          <w:szCs w:val="24"/>
          <w:u w:color="0432FF"/>
        </w:rPr>
        <w:t>ayuda</w:t>
      </w:r>
      <w:r w:rsidRPr="00A5089D">
        <w:rPr>
          <w:rFonts w:ascii="Times New Roman" w:hAnsi="Times New Roman"/>
          <w:color w:val="000000" w:themeColor="text1"/>
          <w:kern w:val="36"/>
          <w:sz w:val="24"/>
          <w:szCs w:val="24"/>
        </w:rPr>
        <w:t xml:space="preserve"> a definir la alineación metodológica </w:t>
      </w:r>
      <w:r w:rsidRPr="00A5089D">
        <w:rPr>
          <w:rFonts w:ascii="Times New Roman" w:hAnsi="Times New Roman"/>
          <w:color w:val="000000" w:themeColor="text1"/>
          <w:kern w:val="36"/>
          <w:sz w:val="24"/>
          <w:szCs w:val="24"/>
          <w:u w:color="0432FF"/>
        </w:rPr>
        <w:t xml:space="preserve">a utilizarse </w:t>
      </w:r>
      <w:r w:rsidRPr="00A5089D">
        <w:rPr>
          <w:rFonts w:ascii="Times New Roman" w:hAnsi="Times New Roman"/>
          <w:color w:val="000000" w:themeColor="text1"/>
          <w:kern w:val="36"/>
          <w:sz w:val="24"/>
          <w:szCs w:val="24"/>
        </w:rPr>
        <w:t xml:space="preserve">en cada caso. </w:t>
      </w:r>
      <w:r w:rsidRPr="00A5089D">
        <w:rPr>
          <w:rFonts w:ascii="Times New Roman" w:hAnsi="Times New Roman"/>
          <w:color w:val="000000" w:themeColor="text1"/>
          <w:kern w:val="36"/>
          <w:sz w:val="24"/>
          <w:szCs w:val="24"/>
          <w:u w:color="0432FF"/>
        </w:rPr>
        <w:t xml:space="preserve">Entre los más importantes tenemos el enfoque racionalista, el cognitivista y el neoinstitucionalista </w:t>
      </w:r>
      <w:r w:rsidRPr="00A5089D">
        <w:rPr>
          <w:rFonts w:ascii="Times New Roman" w:hAnsi="Times New Roman"/>
          <w:color w:val="000000" w:themeColor="text1"/>
          <w:kern w:val="36"/>
          <w:sz w:val="24"/>
          <w:szCs w:val="24"/>
        </w:rPr>
        <w:t>(Fontanine, 2015)</w:t>
      </w:r>
      <w:r w:rsidRPr="00A5089D">
        <w:rPr>
          <w:rFonts w:ascii="Times New Roman" w:hAnsi="Times New Roman"/>
          <w:color w:val="000000" w:themeColor="text1"/>
          <w:kern w:val="36"/>
          <w:sz w:val="24"/>
          <w:szCs w:val="24"/>
          <w:u w:color="0432FF"/>
        </w:rPr>
        <w:t xml:space="preserve">. </w:t>
      </w:r>
      <w:r w:rsidRPr="00A5089D">
        <w:rPr>
          <w:rFonts w:ascii="Times New Roman" w:hAnsi="Times New Roman"/>
          <w:color w:val="000000" w:themeColor="text1"/>
          <w:sz w:val="24"/>
          <w:szCs w:val="24"/>
          <w:u w:color="0432FF"/>
        </w:rPr>
        <w:t xml:space="preserve">Este trabajo se ampara bajo el paraguas del neoinstitucionalismo, en particular, en la propuesta de los tres tipos de cambio de Hall (1993) y en el análisis de redes de política (Knoke, 1993; Klijn, 1998; Montpetit, 2005; Kisby, 2007; Bressers y O’toole, 1998; George y Bennett, 2004).  </w:t>
      </w:r>
    </w:p>
    <w:p w:rsidR="00237A40" w:rsidRPr="00A5089D" w:rsidRDefault="00237A40" w:rsidP="00537D1E">
      <w:pPr>
        <w:pStyle w:val="BodyA"/>
        <w:spacing w:line="240" w:lineRule="auto"/>
        <w:jc w:val="both"/>
        <w:rPr>
          <w:rFonts w:ascii="Times New Roman" w:hAnsi="Times New Roman"/>
          <w:color w:val="000000" w:themeColor="text1"/>
          <w:sz w:val="24"/>
          <w:szCs w:val="24"/>
          <w:u w:color="0432FF"/>
        </w:rPr>
      </w:pPr>
      <w:r w:rsidRPr="00A5089D">
        <w:rPr>
          <w:rFonts w:ascii="Times New Roman" w:hAnsi="Times New Roman"/>
          <w:color w:val="000000" w:themeColor="text1"/>
          <w:sz w:val="24"/>
          <w:szCs w:val="24"/>
          <w:u w:color="0432FF"/>
        </w:rPr>
        <w:t>Si bien el análisis de</w:t>
      </w:r>
      <w:r w:rsidR="00446262" w:rsidRPr="00A5089D">
        <w:rPr>
          <w:rFonts w:ascii="Times New Roman" w:hAnsi="Times New Roman"/>
          <w:color w:val="000000" w:themeColor="text1"/>
          <w:sz w:val="24"/>
          <w:szCs w:val="24"/>
          <w:u w:color="0432FF"/>
        </w:rPr>
        <w:t xml:space="preserve"> redes de política no es nuevo dentro de</w:t>
      </w:r>
      <w:r w:rsidR="00475A6C" w:rsidRPr="00A5089D">
        <w:rPr>
          <w:rFonts w:ascii="Times New Roman" w:hAnsi="Times New Roman"/>
          <w:color w:val="000000" w:themeColor="text1"/>
          <w:sz w:val="24"/>
          <w:szCs w:val="24"/>
          <w:u w:color="0432FF"/>
        </w:rPr>
        <w:t>l</w:t>
      </w:r>
      <w:r w:rsidR="00446262" w:rsidRPr="00A5089D">
        <w:rPr>
          <w:rFonts w:ascii="Times New Roman" w:hAnsi="Times New Roman"/>
          <w:color w:val="000000" w:themeColor="text1"/>
          <w:sz w:val="24"/>
          <w:szCs w:val="24"/>
          <w:u w:color="0432FF"/>
        </w:rPr>
        <w:t xml:space="preserve"> neoinstitucionalismo, otros enfoques han sido más utilizados para mostrar cómo se instrumenta el cambio de las políticas, tales como la teoría de las corrientes múltiples (Kingdon, 2003; Capano, 2009), la teoría de los equilibrios puntuales (Baumgartner y Jones, 2002) o la teoría de las coaliciones promotoras (Sabatier, 1999; Ordoñez-Matamoros, 2013). Nuestra opción teórica </w:t>
      </w:r>
      <w:r w:rsidR="001E5411" w:rsidRPr="00A5089D">
        <w:rPr>
          <w:rFonts w:ascii="Times New Roman" w:hAnsi="Times New Roman"/>
          <w:color w:val="000000" w:themeColor="text1"/>
          <w:sz w:val="24"/>
          <w:szCs w:val="24"/>
          <w:u w:color="0432FF"/>
        </w:rPr>
        <w:t xml:space="preserve">se fundamenta en que la acción de los actores no se debe a una ventana de oportunidad específica, ni al desarrollo de una agenda impulsada por los distintos sectores de la política. Tampoco se puede explicar el cambio a través de la combinación de las variaciones en la percepción pública debido a una crisis externa. Y finalmente, aunque tomamos en cuenta las ideas programáticas de los actores, no son sus sistemas </w:t>
      </w:r>
      <w:r w:rsidR="00544A6C" w:rsidRPr="00A5089D">
        <w:rPr>
          <w:rFonts w:ascii="Times New Roman" w:hAnsi="Times New Roman"/>
          <w:color w:val="000000" w:themeColor="text1"/>
          <w:sz w:val="24"/>
          <w:szCs w:val="24"/>
          <w:u w:color="0432FF"/>
        </w:rPr>
        <w:t>de creencias ni</w:t>
      </w:r>
      <w:r w:rsidR="001E5411" w:rsidRPr="00A5089D">
        <w:rPr>
          <w:rFonts w:ascii="Times New Roman" w:hAnsi="Times New Roman"/>
          <w:color w:val="000000" w:themeColor="text1"/>
          <w:sz w:val="24"/>
          <w:szCs w:val="24"/>
          <w:u w:color="0432FF"/>
        </w:rPr>
        <w:t xml:space="preserve"> sus valores los que definen el cambio de la política en el caso de estudio que presentamos en este trabajo.</w:t>
      </w:r>
      <w:r w:rsidR="00544A6C" w:rsidRPr="00A5089D">
        <w:rPr>
          <w:rFonts w:ascii="Times New Roman" w:hAnsi="Times New Roman"/>
          <w:color w:val="000000" w:themeColor="text1"/>
          <w:sz w:val="24"/>
          <w:szCs w:val="24"/>
          <w:u w:color="0432FF"/>
        </w:rPr>
        <w:t xml:space="preserve"> Por tanto, los enfoques antes mencionados no son útiles para explicar la hipótesis que planteamos en este texto.</w:t>
      </w:r>
    </w:p>
    <w:p w:rsidR="00544A6C" w:rsidRPr="00A5089D" w:rsidRDefault="00544A6C" w:rsidP="00537D1E">
      <w:pPr>
        <w:pStyle w:val="BodyA"/>
        <w:spacing w:line="240" w:lineRule="auto"/>
        <w:jc w:val="both"/>
        <w:rPr>
          <w:rFonts w:ascii="Times New Roman" w:hAnsi="Times New Roman"/>
          <w:color w:val="000000" w:themeColor="text1"/>
          <w:sz w:val="24"/>
          <w:szCs w:val="24"/>
          <w:u w:color="0432FF"/>
        </w:rPr>
      </w:pPr>
      <w:r w:rsidRPr="00A5089D">
        <w:rPr>
          <w:rFonts w:ascii="Times New Roman" w:hAnsi="Times New Roman"/>
          <w:color w:val="000000" w:themeColor="text1"/>
          <w:sz w:val="24"/>
          <w:szCs w:val="24"/>
          <w:u w:color="0432FF"/>
        </w:rPr>
        <w:t>En cambio, l</w:t>
      </w:r>
      <w:r w:rsidR="001E5411" w:rsidRPr="00A5089D">
        <w:rPr>
          <w:rFonts w:ascii="Times New Roman" w:hAnsi="Times New Roman"/>
          <w:color w:val="000000" w:themeColor="text1"/>
          <w:sz w:val="24"/>
          <w:szCs w:val="24"/>
          <w:u w:color="0432FF"/>
        </w:rPr>
        <w:t xml:space="preserve">a teoría de redes de política se concentra en elucidar las relaciones de influencia y la dirección de las interacciones que ocurren en los procesos de toma de decisiones (Klijn y Koppenjan, 2016; Lieberman, 2000; Howlett et al., </w:t>
      </w:r>
      <w:r w:rsidRPr="00A5089D">
        <w:rPr>
          <w:rFonts w:ascii="Times New Roman" w:hAnsi="Times New Roman"/>
          <w:color w:val="000000" w:themeColor="text1"/>
          <w:sz w:val="24"/>
          <w:szCs w:val="24"/>
          <w:u w:color="0432FF"/>
        </w:rPr>
        <w:t>2017; Eberhad et al. 2017), y sobre todo</w:t>
      </w:r>
      <w:r w:rsidR="00AF0DC9" w:rsidRPr="00A5089D">
        <w:rPr>
          <w:rFonts w:ascii="Times New Roman" w:hAnsi="Times New Roman"/>
          <w:color w:val="000000" w:themeColor="text1"/>
          <w:sz w:val="24"/>
          <w:szCs w:val="24"/>
          <w:u w:color="0432FF"/>
        </w:rPr>
        <w:t>,</w:t>
      </w:r>
      <w:r w:rsidRPr="00A5089D">
        <w:rPr>
          <w:rFonts w:ascii="Times New Roman" w:hAnsi="Times New Roman"/>
          <w:color w:val="000000" w:themeColor="text1"/>
          <w:sz w:val="24"/>
          <w:szCs w:val="24"/>
          <w:u w:color="0432FF"/>
        </w:rPr>
        <w:t xml:space="preserve"> nos ofrece las nociones de impacto exógeno (Real Dato, 2009) y de autoridad política (Marsh y Smith, 2000; Richardson, 2000) que nos resultan fundamentales para mostrar la causalidad entre la variable independiente y dependiente.</w:t>
      </w:r>
    </w:p>
    <w:p w:rsidR="00745BDB" w:rsidRPr="00A5089D" w:rsidRDefault="00745BDB" w:rsidP="00537D1E">
      <w:pPr>
        <w:pStyle w:val="BodyA"/>
        <w:spacing w:line="240" w:lineRule="auto"/>
        <w:jc w:val="both"/>
        <w:rPr>
          <w:rFonts w:ascii="Times New Roman" w:hAnsi="Times New Roman"/>
          <w:color w:val="000000" w:themeColor="text1"/>
          <w:sz w:val="24"/>
          <w:szCs w:val="24"/>
          <w:u w:color="0432FF"/>
        </w:rPr>
      </w:pPr>
      <w:r w:rsidRPr="00A5089D">
        <w:rPr>
          <w:rFonts w:ascii="Times New Roman" w:hAnsi="Times New Roman"/>
          <w:color w:val="000000" w:themeColor="text1"/>
          <w:sz w:val="24"/>
          <w:szCs w:val="24"/>
          <w:u w:color="0432FF"/>
        </w:rPr>
        <w:t xml:space="preserve">El análisis de redes asume que los actores participan en sistemas sociales conectándose con otros actores cuyas relaciones tienen una importante influencia en el comportamiento de cada uno (Knoke, 2008). Igualmente, las redes afectan las acciones, percepciones y creencias de los actores por medio de mecanismos estructurales </w:t>
      </w:r>
      <w:r w:rsidR="005A1DFA" w:rsidRPr="00A5089D">
        <w:rPr>
          <w:rFonts w:ascii="Times New Roman" w:hAnsi="Times New Roman"/>
          <w:color w:val="000000" w:themeColor="text1"/>
          <w:sz w:val="24"/>
          <w:szCs w:val="24"/>
          <w:u w:color="0432FF"/>
        </w:rPr>
        <w:t>que son construidos socialmente, ofreciendo la posibilidad de explicar tanto las estructuras como los cambios que ocurren a nivel micro con las alteraciones estructurales a nivel macro (Marsh y Rhodes, 1992).</w:t>
      </w:r>
    </w:p>
    <w:p w:rsidR="00544A6C" w:rsidRDefault="00343082" w:rsidP="00537D1E">
      <w:pPr>
        <w:pStyle w:val="BodyA"/>
        <w:spacing w:line="240" w:lineRule="auto"/>
        <w:jc w:val="both"/>
        <w:rPr>
          <w:rFonts w:ascii="Times New Roman" w:hAnsi="Times New Roman"/>
          <w:color w:val="000000" w:themeColor="text1"/>
          <w:sz w:val="24"/>
          <w:szCs w:val="24"/>
          <w:u w:color="0432FF"/>
        </w:rPr>
      </w:pPr>
      <w:r w:rsidRPr="00537D1E">
        <w:rPr>
          <w:rFonts w:ascii="Times New Roman" w:hAnsi="Times New Roman"/>
          <w:color w:val="000000" w:themeColor="text1"/>
          <w:sz w:val="24"/>
          <w:szCs w:val="24"/>
          <w:u w:color="0432FF"/>
        </w:rPr>
        <w:t>En términos metodológicos, este estudio de caso propone como variable independiente el cambio de la política pública, y como variable independiente la intervención de la “autoridad política”</w:t>
      </w:r>
      <w:r w:rsidRPr="00537D1E">
        <w:rPr>
          <w:rFonts w:ascii="Times New Roman" w:eastAsia="Times New Roman" w:hAnsi="Times New Roman" w:cs="Times New Roman"/>
          <w:color w:val="000000" w:themeColor="text1"/>
          <w:sz w:val="24"/>
          <w:szCs w:val="24"/>
          <w:u w:color="0432FF"/>
          <w:vertAlign w:val="superscript"/>
        </w:rPr>
        <w:footnoteReference w:id="2"/>
      </w:r>
      <w:r w:rsidRPr="00537D1E">
        <w:rPr>
          <w:rFonts w:ascii="Times New Roman" w:hAnsi="Times New Roman"/>
          <w:color w:val="000000" w:themeColor="text1"/>
          <w:sz w:val="24"/>
          <w:szCs w:val="24"/>
          <w:u w:color="0432FF"/>
        </w:rPr>
        <w:t xml:space="preserve"> en el cambio de los instrumentos de la política.</w:t>
      </w:r>
      <w:r w:rsidRPr="00537D1E">
        <w:rPr>
          <w:rFonts w:ascii="Times New Roman" w:hAnsi="Times New Roman"/>
          <w:iCs/>
          <w:color w:val="000000" w:themeColor="text1"/>
          <w:sz w:val="24"/>
          <w:szCs w:val="24"/>
          <w:u w:color="0432FF"/>
        </w:rPr>
        <w:t xml:space="preserve"> </w:t>
      </w:r>
      <w:r w:rsidR="00EF20A0">
        <w:rPr>
          <w:rFonts w:ascii="Times New Roman" w:hAnsi="Times New Roman"/>
          <w:iCs/>
          <w:color w:val="000000" w:themeColor="text1"/>
          <w:sz w:val="24"/>
          <w:szCs w:val="24"/>
          <w:u w:color="0432FF"/>
        </w:rPr>
        <w:t>S</w:t>
      </w:r>
      <w:r w:rsidRPr="00537D1E">
        <w:rPr>
          <w:rFonts w:ascii="Times New Roman" w:hAnsi="Times New Roman"/>
          <w:color w:val="000000" w:themeColor="text1"/>
          <w:sz w:val="24"/>
          <w:szCs w:val="24"/>
        </w:rPr>
        <w:t>e recurre a la aplicación de dos criterios del</w:t>
      </w:r>
      <w:r w:rsidRPr="00537D1E">
        <w:rPr>
          <w:rFonts w:ascii="Times New Roman" w:hAnsi="Times New Roman"/>
          <w:color w:val="000000" w:themeColor="text1"/>
          <w:sz w:val="24"/>
          <w:szCs w:val="24"/>
          <w:lang w:val="pt-PT"/>
        </w:rPr>
        <w:t xml:space="preserve"> caso </w:t>
      </w:r>
      <w:r w:rsidRPr="00537D1E">
        <w:rPr>
          <w:rFonts w:ascii="Times New Roman" w:hAnsi="Times New Roman"/>
          <w:color w:val="000000" w:themeColor="text1"/>
          <w:sz w:val="24"/>
          <w:szCs w:val="24"/>
        </w:rPr>
        <w:t>‘tí</w:t>
      </w:r>
      <w:r w:rsidRPr="00537D1E">
        <w:rPr>
          <w:rFonts w:ascii="Times New Roman" w:hAnsi="Times New Roman"/>
          <w:color w:val="000000" w:themeColor="text1"/>
          <w:sz w:val="24"/>
          <w:szCs w:val="24"/>
          <w:lang w:val="it-IT"/>
        </w:rPr>
        <w:t>pico</w:t>
      </w:r>
      <w:r w:rsidRPr="00537D1E">
        <w:rPr>
          <w:rFonts w:ascii="Times New Roman" w:hAnsi="Times New Roman"/>
          <w:color w:val="000000" w:themeColor="text1"/>
          <w:sz w:val="24"/>
          <w:szCs w:val="24"/>
        </w:rPr>
        <w:t>’ de Gerring (2008):</w:t>
      </w:r>
      <w:r w:rsidRPr="00537D1E">
        <w:rPr>
          <w:rFonts w:ascii="Times New Roman" w:hAnsi="Times New Roman"/>
          <w:color w:val="000000" w:themeColor="text1"/>
          <w:sz w:val="24"/>
          <w:szCs w:val="24"/>
          <w:u w:color="0432FF"/>
        </w:rPr>
        <w:t xml:space="preserve"> (i) la búsqueda</w:t>
      </w:r>
      <w:r w:rsidRPr="00537D1E">
        <w:rPr>
          <w:rFonts w:ascii="Times New Roman" w:hAnsi="Times New Roman"/>
          <w:color w:val="000000" w:themeColor="text1"/>
          <w:sz w:val="24"/>
          <w:szCs w:val="24"/>
        </w:rPr>
        <w:t xml:space="preserve"> de un </w:t>
      </w:r>
      <w:r w:rsidRPr="00537D1E">
        <w:rPr>
          <w:rFonts w:ascii="Times New Roman" w:hAnsi="Times New Roman"/>
          <w:color w:val="000000" w:themeColor="text1"/>
          <w:sz w:val="24"/>
          <w:szCs w:val="24"/>
        </w:rPr>
        <w:lastRenderedPageBreak/>
        <w:t xml:space="preserve">caso representativo que </w:t>
      </w:r>
      <w:r w:rsidRPr="00537D1E">
        <w:rPr>
          <w:rFonts w:ascii="Times New Roman" w:hAnsi="Times New Roman"/>
          <w:color w:val="000000" w:themeColor="text1"/>
          <w:sz w:val="24"/>
          <w:szCs w:val="24"/>
          <w:u w:color="0432FF"/>
          <w:lang w:val="pt-PT"/>
        </w:rPr>
        <w:t>permit</w:t>
      </w:r>
      <w:r w:rsidRPr="00537D1E">
        <w:rPr>
          <w:rFonts w:ascii="Times New Roman" w:hAnsi="Times New Roman"/>
          <w:color w:val="000000" w:themeColor="text1"/>
          <w:sz w:val="24"/>
          <w:szCs w:val="24"/>
          <w:u w:color="0432FF"/>
        </w:rPr>
        <w:t>a</w:t>
      </w:r>
      <w:r w:rsidRPr="00537D1E">
        <w:rPr>
          <w:rFonts w:ascii="Times New Roman" w:hAnsi="Times New Roman"/>
          <w:color w:val="000000" w:themeColor="text1"/>
          <w:sz w:val="24"/>
          <w:szCs w:val="24"/>
        </w:rPr>
        <w:t xml:space="preserve"> analizar la transformació</w:t>
      </w:r>
      <w:r w:rsidRPr="00537D1E">
        <w:rPr>
          <w:rFonts w:ascii="Times New Roman" w:hAnsi="Times New Roman"/>
          <w:color w:val="000000" w:themeColor="text1"/>
          <w:sz w:val="24"/>
          <w:szCs w:val="24"/>
          <w:lang w:val="fr-FR"/>
        </w:rPr>
        <w:t>n de la pol</w:t>
      </w:r>
      <w:r w:rsidRPr="00537D1E">
        <w:rPr>
          <w:rFonts w:ascii="Times New Roman" w:hAnsi="Times New Roman"/>
          <w:color w:val="000000" w:themeColor="text1"/>
          <w:sz w:val="24"/>
          <w:szCs w:val="24"/>
        </w:rPr>
        <w:t xml:space="preserve">ítica a partir de la alteración de sus instrumentos, y; (ii) </w:t>
      </w:r>
      <w:r w:rsidRPr="00537D1E">
        <w:rPr>
          <w:rFonts w:ascii="Times New Roman" w:hAnsi="Times New Roman"/>
          <w:color w:val="000000" w:themeColor="text1"/>
          <w:sz w:val="24"/>
          <w:szCs w:val="24"/>
          <w:u w:color="0432FF"/>
        </w:rPr>
        <w:t>contar con una hipótesis probable. Considerando lo expuesto, se escoge como caso de estudio la política de ampliación de la cobertura de agua y saneamiento en el Ecuador en</w:t>
      </w:r>
      <w:r w:rsidR="00EF20A0">
        <w:rPr>
          <w:rFonts w:ascii="Times New Roman" w:hAnsi="Times New Roman"/>
          <w:color w:val="000000" w:themeColor="text1"/>
          <w:sz w:val="24"/>
          <w:szCs w:val="24"/>
          <w:u w:color="0432FF"/>
        </w:rPr>
        <w:t xml:space="preserve">tre </w:t>
      </w:r>
      <w:r w:rsidRPr="00537D1E">
        <w:rPr>
          <w:rFonts w:ascii="Times New Roman" w:hAnsi="Times New Roman"/>
          <w:color w:val="000000" w:themeColor="text1"/>
          <w:sz w:val="24"/>
          <w:szCs w:val="24"/>
          <w:u w:color="0432FF"/>
        </w:rPr>
        <w:t>2008</w:t>
      </w:r>
      <w:r w:rsidR="00EF20A0">
        <w:rPr>
          <w:rFonts w:ascii="Times New Roman" w:hAnsi="Times New Roman"/>
          <w:color w:val="000000" w:themeColor="text1"/>
          <w:sz w:val="24"/>
          <w:szCs w:val="24"/>
          <w:u w:color="0432FF"/>
        </w:rPr>
        <w:t xml:space="preserve"> y </w:t>
      </w:r>
      <w:r w:rsidRPr="00537D1E">
        <w:rPr>
          <w:rFonts w:ascii="Times New Roman" w:hAnsi="Times New Roman"/>
          <w:color w:val="000000" w:themeColor="text1"/>
          <w:sz w:val="24"/>
          <w:szCs w:val="24"/>
          <w:u w:color="0432FF"/>
        </w:rPr>
        <w:t>2015. Elegimos este periodo</w:t>
      </w:r>
      <w:r w:rsidR="00EF20A0">
        <w:rPr>
          <w:rFonts w:ascii="Times New Roman" w:hAnsi="Times New Roman"/>
          <w:color w:val="000000" w:themeColor="text1"/>
          <w:sz w:val="24"/>
          <w:szCs w:val="24"/>
          <w:u w:color="0432FF"/>
        </w:rPr>
        <w:t xml:space="preserve"> </w:t>
      </w:r>
      <w:r w:rsidRPr="00537D1E">
        <w:rPr>
          <w:rFonts w:ascii="Times New Roman" w:hAnsi="Times New Roman"/>
          <w:color w:val="000000" w:themeColor="text1"/>
          <w:sz w:val="24"/>
          <w:szCs w:val="24"/>
          <w:u w:color="0432FF"/>
        </w:rPr>
        <w:t xml:space="preserve">ya que en el año 2008 se aprueba la nueva Constitución que establece la garantía del derecho al agua y saneamiento; lo que fortalece la implementación </w:t>
      </w:r>
      <w:r w:rsidR="00EF20A0">
        <w:rPr>
          <w:rFonts w:ascii="Times New Roman" w:hAnsi="Times New Roman"/>
          <w:color w:val="000000" w:themeColor="text1"/>
          <w:sz w:val="24"/>
          <w:szCs w:val="24"/>
          <w:u w:color="0432FF"/>
        </w:rPr>
        <w:t>de</w:t>
      </w:r>
      <w:r w:rsidRPr="00537D1E">
        <w:rPr>
          <w:rFonts w:ascii="Times New Roman" w:hAnsi="Times New Roman"/>
          <w:color w:val="000000" w:themeColor="text1"/>
          <w:sz w:val="24"/>
          <w:szCs w:val="24"/>
          <w:u w:color="0432FF"/>
        </w:rPr>
        <w:t xml:space="preserve"> Prosaneamiento, principal instrumento crediticio dirigido hacia los Gobiernos Autónomos Descentralizados (GAD) municipales con la finalidad de ampliar la cobertura de estos servicios básicos. En el año 2014 Prosaneamiento es alterado por la eliminación del componente crediticio no reembolsable, que incentivaba a los GAD para acceder a estos créditos bajo condiciones preferenciales. A raíz de ello, en el año 2015 se construye la  Estrategia Nacional de Agua y Saneamiento que establece orientaciones para las intervenciones en este sector. Se propone como hipótesis que el cambio de primer orden de la política, se debe a la intervención de una autoridad política externa a las redes de política en la implementación de la política</w:t>
      </w:r>
      <w:r w:rsidR="00296599">
        <w:rPr>
          <w:rFonts w:ascii="Times New Roman" w:hAnsi="Times New Roman"/>
          <w:color w:val="000000" w:themeColor="text1"/>
          <w:sz w:val="24"/>
          <w:szCs w:val="24"/>
          <w:u w:color="0432FF"/>
        </w:rPr>
        <w:t xml:space="preserve"> pública</w:t>
      </w:r>
      <w:r w:rsidRPr="00537D1E">
        <w:rPr>
          <w:rFonts w:ascii="Times New Roman" w:hAnsi="Times New Roman"/>
          <w:color w:val="000000" w:themeColor="text1"/>
          <w:sz w:val="24"/>
          <w:szCs w:val="24"/>
          <w:u w:color="0432FF"/>
        </w:rPr>
        <w:t>.</w:t>
      </w:r>
    </w:p>
    <w:p w:rsidR="00EB67F4" w:rsidRPr="00EB67F4" w:rsidRDefault="00EB67F4" w:rsidP="00537D1E">
      <w:pPr>
        <w:pStyle w:val="BodyA"/>
        <w:spacing w:line="240" w:lineRule="auto"/>
        <w:jc w:val="both"/>
        <w:rPr>
          <w:rFonts w:ascii="Times New Roman" w:hAnsi="Times New Roman"/>
          <w:color w:val="000000" w:themeColor="text1"/>
          <w:sz w:val="24"/>
          <w:szCs w:val="24"/>
          <w:u w:color="0432FF"/>
        </w:rPr>
      </w:pPr>
    </w:p>
    <w:p w:rsidR="00C04568" w:rsidRPr="00537D1E" w:rsidRDefault="00343082" w:rsidP="00537D1E">
      <w:pPr>
        <w:pStyle w:val="BodyA"/>
        <w:spacing w:line="240" w:lineRule="auto"/>
        <w:jc w:val="both"/>
        <w:rPr>
          <w:rFonts w:ascii="Times New Roman" w:eastAsia="Times New Roman" w:hAnsi="Times New Roman" w:cs="Times New Roman"/>
          <w:i/>
          <w:iCs/>
          <w:sz w:val="24"/>
          <w:szCs w:val="24"/>
          <w:u w:color="FF0000"/>
        </w:rPr>
      </w:pPr>
      <w:r w:rsidRPr="00537D1E">
        <w:rPr>
          <w:rFonts w:ascii="Times New Roman" w:hAnsi="Times New Roman"/>
          <w:i/>
          <w:iCs/>
          <w:sz w:val="24"/>
          <w:szCs w:val="24"/>
          <w:u w:color="0432FF"/>
        </w:rPr>
        <w:t>La política de cobertura de agua y saneamiento en el Ecuador</w:t>
      </w:r>
      <w:r w:rsidRPr="00537D1E">
        <w:rPr>
          <w:rFonts w:ascii="Times New Roman" w:hAnsi="Times New Roman"/>
          <w:i/>
          <w:iCs/>
          <w:sz w:val="24"/>
          <w:szCs w:val="24"/>
          <w:u w:color="FF0000"/>
        </w:rPr>
        <w:t xml:space="preserve">  </w:t>
      </w:r>
    </w:p>
    <w:p w:rsidR="00C04568" w:rsidRPr="00537D1E" w:rsidRDefault="00343082" w:rsidP="00537D1E">
      <w:pPr>
        <w:pStyle w:val="BodyAA"/>
        <w:spacing w:line="240" w:lineRule="auto"/>
        <w:jc w:val="both"/>
        <w:rPr>
          <w:rFonts w:ascii="Times New Roman" w:eastAsia="Times New Roman" w:hAnsi="Times New Roman" w:cs="Times New Roman"/>
          <w:sz w:val="24"/>
          <w:szCs w:val="24"/>
          <w:u w:color="FF0000"/>
        </w:rPr>
      </w:pPr>
      <w:r w:rsidRPr="00537D1E">
        <w:rPr>
          <w:rFonts w:ascii="Times New Roman" w:hAnsi="Times New Roman"/>
          <w:sz w:val="24"/>
          <w:szCs w:val="24"/>
          <w:u w:color="0432FF"/>
        </w:rPr>
        <w:t>El acceso a agua y saneamiento constituye un derecho que posibilita el cumplimiento de otros derechos tales como la salud, la alimentación, el hábitat y vivienda digna, la educación, y el empleo, entre otros. En Ecuador, el 38% de la pobreza y el 64% de la pobreza extrema por Necesidades Básicas Insatisfechas se explica por la dimensión correspondiente a las carencias de agua y saneamiento (SENPLADES, 2014a: 6). Las coberturas de estos servicios básicos a nivel nacional ocultan grand</w:t>
      </w:r>
      <w:r w:rsidR="00D90D7A" w:rsidRPr="00537D1E">
        <w:rPr>
          <w:rFonts w:ascii="Times New Roman" w:hAnsi="Times New Roman"/>
          <w:sz w:val="24"/>
          <w:szCs w:val="24"/>
          <w:u w:color="0432FF"/>
        </w:rPr>
        <w:t xml:space="preserve">es brechas territoriales entre </w:t>
      </w:r>
      <w:r w:rsidRPr="00537D1E">
        <w:rPr>
          <w:rFonts w:ascii="Times New Roman" w:hAnsi="Times New Roman"/>
          <w:sz w:val="24"/>
          <w:szCs w:val="24"/>
          <w:u w:color="0432FF"/>
        </w:rPr>
        <w:t>l</w:t>
      </w:r>
      <w:r w:rsidR="00D90D7A" w:rsidRPr="00537D1E">
        <w:rPr>
          <w:rFonts w:ascii="Times New Roman" w:hAnsi="Times New Roman"/>
          <w:sz w:val="24"/>
          <w:szCs w:val="24"/>
          <w:u w:color="0432FF"/>
        </w:rPr>
        <w:t>as</w:t>
      </w:r>
      <w:r w:rsidRPr="00537D1E">
        <w:rPr>
          <w:rFonts w:ascii="Times New Roman" w:hAnsi="Times New Roman"/>
          <w:sz w:val="24"/>
          <w:szCs w:val="24"/>
          <w:u w:color="0432FF"/>
        </w:rPr>
        <w:t xml:space="preserve"> área</w:t>
      </w:r>
      <w:r w:rsidR="00D90D7A" w:rsidRPr="00537D1E">
        <w:rPr>
          <w:rFonts w:ascii="Times New Roman" w:hAnsi="Times New Roman"/>
          <w:sz w:val="24"/>
          <w:szCs w:val="24"/>
          <w:u w:color="0432FF"/>
        </w:rPr>
        <w:t>s</w:t>
      </w:r>
      <w:r w:rsidRPr="00537D1E">
        <w:rPr>
          <w:rFonts w:ascii="Times New Roman" w:hAnsi="Times New Roman"/>
          <w:sz w:val="24"/>
          <w:szCs w:val="24"/>
          <w:u w:color="0432FF"/>
        </w:rPr>
        <w:t xml:space="preserve"> urbana y rural.</w:t>
      </w:r>
    </w:p>
    <w:p w:rsidR="00C04568" w:rsidRPr="00537D1E" w:rsidRDefault="00343082" w:rsidP="00537D1E">
      <w:pPr>
        <w:pStyle w:val="BodyAA"/>
        <w:spacing w:line="240" w:lineRule="auto"/>
        <w:jc w:val="both"/>
        <w:rPr>
          <w:rFonts w:ascii="Times New Roman" w:eastAsia="Times New Roman" w:hAnsi="Times New Roman" w:cs="Times New Roman"/>
          <w:sz w:val="24"/>
          <w:szCs w:val="24"/>
          <w:u w:color="0432FF"/>
        </w:rPr>
      </w:pPr>
      <w:r w:rsidRPr="00537D1E">
        <w:rPr>
          <w:rFonts w:ascii="Times New Roman" w:hAnsi="Times New Roman"/>
          <w:sz w:val="24"/>
          <w:szCs w:val="24"/>
          <w:u w:color="0432FF"/>
        </w:rPr>
        <w:t xml:space="preserve">Los orígenes de la política de agua y saneamiento se remontan a la década de los años 40, con la llegada del Servicio Cooperativo de los Estados Unidos a algunos países de la región, entre ellos Ecuador, para la construcción de la primera infraestructura hidrosanitaria en el país. El Instituto Ecuatoriano de Obras Sanitarias (IEOS) se crea en el año 1965, con las atribuciones de planificación, diseño y construcción de obras para la ampliación y mantenimiento de estos servicios. Históricamente la competencia de la prestación de agua y saneamiento ha estado a cargo de los GAD, cuyo mecanismo de financiamiento ha sido el </w:t>
      </w:r>
      <w:r w:rsidRPr="00537D1E">
        <w:rPr>
          <w:rFonts w:ascii="Times New Roman" w:hAnsi="Times New Roman"/>
          <w:sz w:val="24"/>
          <w:szCs w:val="24"/>
          <w:u w:color="FF0000"/>
        </w:rPr>
        <w:t>Banco del Estado (BdE) desde</w:t>
      </w:r>
      <w:r w:rsidRPr="00537D1E">
        <w:rPr>
          <w:rFonts w:ascii="Times New Roman" w:hAnsi="Times New Roman"/>
          <w:sz w:val="24"/>
          <w:szCs w:val="24"/>
          <w:u w:color="0432FF"/>
        </w:rPr>
        <w:t xml:space="preserve"> 1979. Con la eliminación del IEOS en 1992, el Ministerio de Desarrollo Urbano y Vivienda (MIDUVI) adopta la rectoría de</w:t>
      </w:r>
      <w:r w:rsidR="0007255D" w:rsidRPr="00537D1E">
        <w:rPr>
          <w:rFonts w:ascii="Times New Roman" w:hAnsi="Times New Roman"/>
          <w:sz w:val="24"/>
          <w:szCs w:val="24"/>
          <w:u w:color="0432FF"/>
        </w:rPr>
        <w:t xml:space="preserve"> este</w:t>
      </w:r>
      <w:r w:rsidRPr="00537D1E">
        <w:rPr>
          <w:rFonts w:ascii="Times New Roman" w:hAnsi="Times New Roman"/>
          <w:sz w:val="24"/>
          <w:szCs w:val="24"/>
          <w:u w:color="0432FF"/>
        </w:rPr>
        <w:t xml:space="preserve"> sector</w:t>
      </w:r>
      <w:r w:rsidR="0007255D" w:rsidRPr="00537D1E">
        <w:rPr>
          <w:rFonts w:ascii="Times New Roman" w:hAnsi="Times New Roman"/>
          <w:sz w:val="24"/>
          <w:szCs w:val="24"/>
          <w:u w:color="0432FF"/>
        </w:rPr>
        <w:t>.</w:t>
      </w:r>
      <w:r w:rsidRPr="00537D1E">
        <w:rPr>
          <w:rFonts w:ascii="Times New Roman" w:hAnsi="Times New Roman"/>
          <w:sz w:val="24"/>
          <w:szCs w:val="24"/>
          <w:u w:color="0432FF"/>
        </w:rPr>
        <w:t xml:space="preserve"> </w:t>
      </w:r>
    </w:p>
    <w:p w:rsidR="00C04568" w:rsidRPr="00537D1E" w:rsidRDefault="00343082" w:rsidP="00537D1E">
      <w:pPr>
        <w:pStyle w:val="BodyAA"/>
        <w:spacing w:line="240" w:lineRule="auto"/>
        <w:jc w:val="both"/>
        <w:rPr>
          <w:rFonts w:ascii="Times New Roman" w:eastAsia="Times New Roman" w:hAnsi="Times New Roman" w:cs="Times New Roman"/>
          <w:sz w:val="24"/>
          <w:szCs w:val="24"/>
          <w:u w:color="0432FF"/>
        </w:rPr>
      </w:pPr>
      <w:r w:rsidRPr="00537D1E">
        <w:rPr>
          <w:rFonts w:ascii="Times New Roman" w:hAnsi="Times New Roman"/>
          <w:sz w:val="24"/>
          <w:szCs w:val="24"/>
          <w:u w:color="0432FF"/>
        </w:rPr>
        <w:t xml:space="preserve">En el año 2004 se formula, como política de Estado, la Política Nacional de Agua Potable y Saneamiento con un espectro de acción que abarca desde el establecimiento de una guía tarifaria hasta la ejecución de programas con recursos propios y provenientes de la cooperación. Su implementación tiene bajos resultados debido a la escasa participación de los actores involucrados y a la ingobernabilidad que vive el país en el período 2000-2006. Ecuador llega a tener cuatro </w:t>
      </w:r>
      <w:r w:rsidR="00A8200D" w:rsidRPr="00537D1E">
        <w:rPr>
          <w:rFonts w:ascii="Times New Roman" w:hAnsi="Times New Roman"/>
          <w:sz w:val="24"/>
          <w:szCs w:val="24"/>
          <w:u w:color="0432FF"/>
        </w:rPr>
        <w:t>presidente</w:t>
      </w:r>
      <w:r w:rsidRPr="00537D1E">
        <w:rPr>
          <w:rFonts w:ascii="Times New Roman" w:hAnsi="Times New Roman"/>
          <w:sz w:val="24"/>
          <w:szCs w:val="24"/>
          <w:u w:color="0432FF"/>
        </w:rPr>
        <w:t>s en siete años, lo que repercute en una planificación y administración inestables.</w:t>
      </w:r>
    </w:p>
    <w:p w:rsidR="00C04568" w:rsidRPr="00537D1E" w:rsidRDefault="00343082" w:rsidP="00537D1E">
      <w:pPr>
        <w:pStyle w:val="BodyAA"/>
        <w:spacing w:line="240" w:lineRule="auto"/>
        <w:jc w:val="both"/>
        <w:rPr>
          <w:rFonts w:ascii="Times New Roman" w:eastAsia="Times New Roman" w:hAnsi="Times New Roman" w:cs="Times New Roman"/>
          <w:sz w:val="24"/>
          <w:szCs w:val="24"/>
        </w:rPr>
      </w:pPr>
      <w:r w:rsidRPr="00537D1E">
        <w:rPr>
          <w:rFonts w:ascii="Times New Roman" w:hAnsi="Times New Roman"/>
          <w:sz w:val="24"/>
          <w:szCs w:val="24"/>
          <w:u w:color="FF0000"/>
        </w:rPr>
        <w:t xml:space="preserve">Una vez que Rafael Correa llega a la Presidencia de la República en el 2006, se presenta el proyecto para el reemplazo de la Constitución de 1998, y para el 2008 el país adopta una nueva Constitución. La nueva norma constitucional establece un Estado de derechos que promueve y garantiza los derechos individuales, colectivos y de la naturaleza, lo que marca el inicio del período de análisis de la política escogida debido </w:t>
      </w:r>
      <w:r w:rsidRPr="00537D1E">
        <w:rPr>
          <w:rFonts w:ascii="Times New Roman" w:hAnsi="Times New Roman"/>
          <w:sz w:val="24"/>
          <w:szCs w:val="24"/>
          <w:u w:color="FF0000"/>
        </w:rPr>
        <w:lastRenderedPageBreak/>
        <w:t xml:space="preserve">al sitial que se le otorga al derecho al agua y saneamiento. El agua adquiere el estatus de </w:t>
      </w:r>
      <w:r w:rsidRPr="00537D1E">
        <w:rPr>
          <w:rFonts w:ascii="Times New Roman" w:hAnsi="Times New Roman"/>
          <w:sz w:val="24"/>
          <w:szCs w:val="24"/>
        </w:rPr>
        <w:t>patrimonio nacional estratégico de uso público y</w:t>
      </w:r>
      <w:r w:rsidRPr="00537D1E">
        <w:rPr>
          <w:rFonts w:ascii="Times New Roman" w:hAnsi="Times New Roman"/>
          <w:sz w:val="24"/>
          <w:szCs w:val="24"/>
          <w:u w:color="0432FF"/>
        </w:rPr>
        <w:t xml:space="preserve"> de derecho de las personas que debe ser velado por el Estado </w:t>
      </w:r>
      <w:r w:rsidR="00732F6F">
        <w:rPr>
          <w:rFonts w:ascii="Times New Roman" w:hAnsi="Times New Roman"/>
          <w:sz w:val="24"/>
          <w:szCs w:val="24"/>
          <w:u w:color="0432FF"/>
        </w:rPr>
        <w:t>mediante</w:t>
      </w:r>
      <w:r w:rsidRPr="00537D1E">
        <w:rPr>
          <w:rFonts w:ascii="Times New Roman" w:hAnsi="Times New Roman"/>
          <w:sz w:val="24"/>
          <w:szCs w:val="24"/>
          <w:u w:color="0432FF"/>
        </w:rPr>
        <w:t xml:space="preserve"> una política nacional de agua y saneamiento. En este contexto, se ratifica a los GAD la </w:t>
      </w:r>
      <w:r w:rsidRPr="00537D1E">
        <w:rPr>
          <w:rFonts w:ascii="Times New Roman" w:hAnsi="Times New Roman"/>
          <w:sz w:val="24"/>
          <w:szCs w:val="24"/>
        </w:rPr>
        <w:t xml:space="preserve">competencia de la prestación de </w:t>
      </w:r>
      <w:r w:rsidR="005F4D43" w:rsidRPr="00537D1E">
        <w:rPr>
          <w:rFonts w:ascii="Times New Roman" w:hAnsi="Times New Roman"/>
          <w:sz w:val="24"/>
          <w:szCs w:val="24"/>
        </w:rPr>
        <w:t xml:space="preserve">estos </w:t>
      </w:r>
      <w:r w:rsidRPr="00537D1E">
        <w:rPr>
          <w:rFonts w:ascii="Times New Roman" w:hAnsi="Times New Roman"/>
          <w:sz w:val="24"/>
          <w:szCs w:val="24"/>
        </w:rPr>
        <w:t xml:space="preserve">servicios, y se le otorga a la Secretaría Nacional del Agua (SENAGUA) la rectoría y la formulación de la política nacional en lugar del MIDUVI. </w:t>
      </w:r>
    </w:p>
    <w:p w:rsidR="00C04568" w:rsidRPr="00537D1E" w:rsidRDefault="00343082" w:rsidP="00537D1E">
      <w:pPr>
        <w:pStyle w:val="Default"/>
        <w:spacing w:after="200"/>
        <w:jc w:val="both"/>
        <w:rPr>
          <w:rFonts w:ascii="Times New Roman" w:hAnsi="Times New Roman"/>
          <w:sz w:val="24"/>
          <w:szCs w:val="24"/>
          <w:u w:color="FF0000"/>
        </w:rPr>
      </w:pPr>
      <w:r w:rsidRPr="00537D1E">
        <w:rPr>
          <w:rFonts w:ascii="Times New Roman" w:hAnsi="Times New Roman"/>
          <w:sz w:val="24"/>
          <w:szCs w:val="24"/>
          <w:u w:color="0432FF"/>
        </w:rPr>
        <w:t xml:space="preserve">Con el objeto de mejorar la cobertura </w:t>
      </w:r>
      <w:r w:rsidR="00F3604F" w:rsidRPr="00537D1E">
        <w:rPr>
          <w:rFonts w:ascii="Times New Roman" w:hAnsi="Times New Roman"/>
          <w:sz w:val="24"/>
          <w:szCs w:val="24"/>
          <w:u w:color="0432FF"/>
        </w:rPr>
        <w:t xml:space="preserve">especialmente en </w:t>
      </w:r>
      <w:r w:rsidR="006201BE" w:rsidRPr="00537D1E">
        <w:rPr>
          <w:rFonts w:ascii="Times New Roman" w:hAnsi="Times New Roman"/>
          <w:sz w:val="24"/>
          <w:szCs w:val="24"/>
          <w:u w:color="0432FF"/>
        </w:rPr>
        <w:t>el área</w:t>
      </w:r>
      <w:r w:rsidRPr="00537D1E">
        <w:rPr>
          <w:rFonts w:ascii="Times New Roman" w:hAnsi="Times New Roman"/>
          <w:sz w:val="24"/>
          <w:szCs w:val="24"/>
          <w:u w:color="0432FF"/>
        </w:rPr>
        <w:t xml:space="preserve"> rural, en 2007 </w:t>
      </w:r>
      <w:r w:rsidRPr="00537D1E">
        <w:rPr>
          <w:rFonts w:ascii="Times New Roman" w:hAnsi="Times New Roman"/>
          <w:sz w:val="24"/>
          <w:szCs w:val="24"/>
          <w:u w:color="FF0000"/>
        </w:rPr>
        <w:t xml:space="preserve">se crea el programa Prosaneamiento con el financiamiento del BdE para preinversión, inversión y fortalecimiento de capacidades. Este financiamiento tiene un importante componente no reembolsable y cuenta con niveles de subvención a los GAD, </w:t>
      </w:r>
      <w:r w:rsidR="005F4D43" w:rsidRPr="00537D1E">
        <w:rPr>
          <w:rFonts w:ascii="Times New Roman" w:hAnsi="Times New Roman"/>
          <w:sz w:val="24"/>
          <w:szCs w:val="24"/>
          <w:u w:color="FF0000"/>
        </w:rPr>
        <w:t xml:space="preserve">para </w:t>
      </w:r>
      <w:r w:rsidRPr="00537D1E">
        <w:rPr>
          <w:rFonts w:ascii="Times New Roman" w:hAnsi="Times New Roman"/>
          <w:sz w:val="24"/>
          <w:szCs w:val="24"/>
          <w:u w:color="FF0000"/>
        </w:rPr>
        <w:t xml:space="preserve">incentivar la construcción y mantenimiento de obras vinculas a la prestación del servicio de agua y saneamiento. </w:t>
      </w:r>
    </w:p>
    <w:p w:rsidR="00C04568" w:rsidRPr="0093084C" w:rsidRDefault="00F95A09" w:rsidP="00ED33CE">
      <w:pPr>
        <w:pStyle w:val="Default"/>
        <w:spacing w:line="360" w:lineRule="auto"/>
        <w:jc w:val="center"/>
        <w:rPr>
          <w:rFonts w:ascii="Times New Roman" w:hAnsi="Times New Roman"/>
          <w:b/>
          <w:bCs/>
          <w:sz w:val="24"/>
          <w:u w:color="FF0000"/>
          <w:shd w:val="clear" w:color="auto" w:fill="CDDDAC"/>
        </w:rPr>
      </w:pPr>
      <w:r w:rsidRPr="0093084C">
        <w:rPr>
          <w:rFonts w:ascii="Times New Roman" w:hAnsi="Times New Roman"/>
          <w:b/>
          <w:bCs/>
          <w:sz w:val="24"/>
          <w:u w:color="FF0000"/>
        </w:rPr>
        <w:t>Tabla</w:t>
      </w:r>
      <w:r w:rsidR="00343082" w:rsidRPr="0093084C">
        <w:rPr>
          <w:rFonts w:ascii="Times New Roman" w:hAnsi="Times New Roman"/>
          <w:b/>
          <w:bCs/>
          <w:sz w:val="24"/>
          <w:u w:color="FF0000"/>
        </w:rPr>
        <w:t xml:space="preserve"> 1. </w:t>
      </w:r>
      <w:r w:rsidR="00617201" w:rsidRPr="0093084C">
        <w:rPr>
          <w:rFonts w:ascii="Times New Roman" w:hAnsi="Times New Roman"/>
          <w:b/>
          <w:bCs/>
          <w:sz w:val="24"/>
          <w:u w:color="FF0000"/>
        </w:rPr>
        <w:t>C</w:t>
      </w:r>
      <w:r w:rsidR="00343082" w:rsidRPr="0093084C">
        <w:rPr>
          <w:rFonts w:ascii="Times New Roman" w:hAnsi="Times New Roman"/>
          <w:b/>
          <w:bCs/>
          <w:sz w:val="24"/>
          <w:u w:color="FF0000"/>
        </w:rPr>
        <w:t>obertura de agua y saneamiento 2007</w:t>
      </w:r>
      <w:r w:rsidR="00451DAB" w:rsidRPr="0093084C">
        <w:rPr>
          <w:rFonts w:ascii="Times New Roman" w:hAnsi="Times New Roman"/>
          <w:b/>
          <w:bCs/>
          <w:sz w:val="24"/>
          <w:u w:color="FF0000"/>
        </w:rPr>
        <w:t xml:space="preserve"> y 2014.</w:t>
      </w:r>
      <w:r w:rsidR="00ED33CE" w:rsidRPr="0093084C">
        <w:rPr>
          <w:rFonts w:ascii="Times New Roman" w:hAnsi="Times New Roman"/>
          <w:b/>
          <w:bCs/>
          <w:sz w:val="24"/>
          <w:u w:color="FF0000"/>
        </w:rPr>
        <w:t xml:space="preserve"> </w:t>
      </w:r>
    </w:p>
    <w:tbl>
      <w:tblPr>
        <w:tblW w:w="6680" w:type="dxa"/>
        <w:jc w:val="center"/>
        <w:tblCellMar>
          <w:left w:w="70" w:type="dxa"/>
          <w:right w:w="70" w:type="dxa"/>
        </w:tblCellMar>
        <w:tblLook w:val="04A0" w:firstRow="1" w:lastRow="0" w:firstColumn="1" w:lastColumn="0" w:noHBand="0" w:noVBand="1"/>
      </w:tblPr>
      <w:tblGrid>
        <w:gridCol w:w="2820"/>
        <w:gridCol w:w="1460"/>
        <w:gridCol w:w="1200"/>
        <w:gridCol w:w="1200"/>
      </w:tblGrid>
      <w:tr w:rsidR="00343082" w:rsidRPr="001C114F" w:rsidTr="00852773">
        <w:trPr>
          <w:trHeight w:val="300"/>
          <w:jc w:val="center"/>
        </w:trPr>
        <w:tc>
          <w:tcPr>
            <w:tcW w:w="2820" w:type="dxa"/>
            <w:tcBorders>
              <w:top w:val="single" w:sz="4" w:space="0" w:color="auto"/>
              <w:bottom w:val="single" w:sz="4" w:space="0" w:color="auto"/>
            </w:tcBorders>
            <w:shd w:val="clear" w:color="auto" w:fill="auto"/>
            <w:noWrap/>
            <w:vAlign w:val="bottom"/>
            <w:hideMark/>
          </w:tcPr>
          <w:p w:rsidR="00343082" w:rsidRPr="00852773" w:rsidRDefault="00343082" w:rsidP="001C114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es-EC" w:eastAsia="es-EC"/>
              </w:rPr>
            </w:pPr>
            <w:r w:rsidRPr="00852773">
              <w:rPr>
                <w:rFonts w:eastAsia="Times New Roman"/>
                <w:color w:val="000000"/>
                <w:sz w:val="22"/>
                <w:szCs w:val="22"/>
                <w:bdr w:val="none" w:sz="0" w:space="0" w:color="auto"/>
                <w:lang w:val="es-EC" w:eastAsia="es-EC"/>
              </w:rPr>
              <w:t>Indicador</w:t>
            </w:r>
          </w:p>
        </w:tc>
        <w:tc>
          <w:tcPr>
            <w:tcW w:w="1460" w:type="dxa"/>
            <w:tcBorders>
              <w:top w:val="single" w:sz="4" w:space="0" w:color="auto"/>
              <w:bottom w:val="single" w:sz="4" w:space="0" w:color="auto"/>
            </w:tcBorders>
            <w:shd w:val="clear" w:color="auto" w:fill="auto"/>
            <w:noWrap/>
            <w:vAlign w:val="bottom"/>
            <w:hideMark/>
          </w:tcPr>
          <w:p w:rsidR="00343082" w:rsidRPr="00852773" w:rsidRDefault="00343082" w:rsidP="001C114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es-EC" w:eastAsia="es-EC"/>
              </w:rPr>
            </w:pPr>
            <w:r w:rsidRPr="00852773">
              <w:rPr>
                <w:rFonts w:eastAsia="Times New Roman"/>
                <w:color w:val="000000"/>
                <w:sz w:val="22"/>
                <w:szCs w:val="22"/>
                <w:bdr w:val="none" w:sz="0" w:space="0" w:color="auto"/>
                <w:lang w:val="es-EC" w:eastAsia="es-EC"/>
              </w:rPr>
              <w:t>Desagregación</w:t>
            </w:r>
          </w:p>
        </w:tc>
        <w:tc>
          <w:tcPr>
            <w:tcW w:w="1200" w:type="dxa"/>
            <w:tcBorders>
              <w:top w:val="single" w:sz="4" w:space="0" w:color="auto"/>
              <w:bottom w:val="single" w:sz="4" w:space="0" w:color="auto"/>
            </w:tcBorders>
            <w:shd w:val="clear" w:color="auto" w:fill="auto"/>
            <w:noWrap/>
            <w:vAlign w:val="bottom"/>
            <w:hideMark/>
          </w:tcPr>
          <w:p w:rsidR="00343082" w:rsidRPr="00852773" w:rsidRDefault="00343082" w:rsidP="001C114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es-EC" w:eastAsia="es-EC"/>
              </w:rPr>
            </w:pPr>
            <w:r w:rsidRPr="00852773">
              <w:rPr>
                <w:rFonts w:eastAsia="Times New Roman"/>
                <w:color w:val="000000"/>
                <w:sz w:val="22"/>
                <w:szCs w:val="22"/>
                <w:bdr w:val="none" w:sz="0" w:space="0" w:color="auto"/>
                <w:lang w:val="es-EC" w:eastAsia="es-EC"/>
              </w:rPr>
              <w:t>2007</w:t>
            </w:r>
          </w:p>
        </w:tc>
        <w:tc>
          <w:tcPr>
            <w:tcW w:w="1200" w:type="dxa"/>
            <w:tcBorders>
              <w:top w:val="single" w:sz="4" w:space="0" w:color="auto"/>
              <w:bottom w:val="single" w:sz="4" w:space="0" w:color="auto"/>
            </w:tcBorders>
            <w:shd w:val="clear" w:color="auto" w:fill="auto"/>
            <w:noWrap/>
            <w:vAlign w:val="bottom"/>
            <w:hideMark/>
          </w:tcPr>
          <w:p w:rsidR="00343082" w:rsidRPr="00852773" w:rsidRDefault="00343082" w:rsidP="001C114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es-EC" w:eastAsia="es-EC"/>
              </w:rPr>
            </w:pPr>
            <w:r w:rsidRPr="00852773">
              <w:rPr>
                <w:rFonts w:eastAsia="Times New Roman"/>
                <w:color w:val="000000"/>
                <w:sz w:val="22"/>
                <w:szCs w:val="22"/>
                <w:bdr w:val="none" w:sz="0" w:space="0" w:color="auto"/>
                <w:lang w:val="es-EC" w:eastAsia="es-EC"/>
              </w:rPr>
              <w:t>2014</w:t>
            </w:r>
          </w:p>
        </w:tc>
      </w:tr>
      <w:tr w:rsidR="00343082" w:rsidRPr="001C114F" w:rsidTr="00852773">
        <w:trPr>
          <w:trHeight w:val="300"/>
          <w:jc w:val="center"/>
        </w:trPr>
        <w:tc>
          <w:tcPr>
            <w:tcW w:w="2820" w:type="dxa"/>
            <w:vMerge w:val="restart"/>
            <w:tcBorders>
              <w:top w:val="single" w:sz="4" w:space="0" w:color="auto"/>
            </w:tcBorders>
            <w:shd w:val="clear" w:color="auto" w:fill="auto"/>
            <w:vAlign w:val="center"/>
            <w:hideMark/>
          </w:tcPr>
          <w:p w:rsidR="00343082" w:rsidRPr="001C114F" w:rsidRDefault="00343082" w:rsidP="003430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Viviendas con agua por red pública (%)</w:t>
            </w:r>
          </w:p>
        </w:tc>
        <w:tc>
          <w:tcPr>
            <w:tcW w:w="1460" w:type="dxa"/>
            <w:tcBorders>
              <w:top w:val="single" w:sz="4" w:space="0" w:color="auto"/>
            </w:tcBorders>
            <w:shd w:val="clear" w:color="auto" w:fill="auto"/>
            <w:noWrap/>
            <w:vAlign w:val="bottom"/>
            <w:hideMark/>
          </w:tcPr>
          <w:p w:rsidR="00343082" w:rsidRPr="001C114F" w:rsidRDefault="00343082" w:rsidP="003430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Nacional</w:t>
            </w:r>
          </w:p>
        </w:tc>
        <w:tc>
          <w:tcPr>
            <w:tcW w:w="1200" w:type="dxa"/>
            <w:tcBorders>
              <w:top w:val="single" w:sz="4" w:space="0" w:color="auto"/>
            </w:tcBorders>
            <w:shd w:val="clear" w:color="auto" w:fill="auto"/>
            <w:noWrap/>
            <w:vAlign w:val="bottom"/>
            <w:hideMark/>
          </w:tcPr>
          <w:p w:rsidR="00343082" w:rsidRPr="001C114F" w:rsidRDefault="00343082" w:rsidP="006172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71</w:t>
            </w:r>
            <w:r w:rsidR="001C114F">
              <w:rPr>
                <w:rFonts w:eastAsia="Times New Roman"/>
                <w:color w:val="000000"/>
                <w:sz w:val="22"/>
                <w:szCs w:val="22"/>
                <w:bdr w:val="none" w:sz="0" w:space="0" w:color="auto"/>
                <w:lang w:val="es-EC" w:eastAsia="es-EC"/>
              </w:rPr>
              <w:t>,</w:t>
            </w:r>
            <w:r w:rsidRPr="001C114F">
              <w:rPr>
                <w:rFonts w:eastAsia="Times New Roman"/>
                <w:color w:val="000000"/>
                <w:sz w:val="22"/>
                <w:szCs w:val="22"/>
                <w:bdr w:val="none" w:sz="0" w:space="0" w:color="auto"/>
                <w:lang w:val="es-EC" w:eastAsia="es-EC"/>
              </w:rPr>
              <w:t>7%</w:t>
            </w:r>
          </w:p>
        </w:tc>
        <w:tc>
          <w:tcPr>
            <w:tcW w:w="1200" w:type="dxa"/>
            <w:tcBorders>
              <w:top w:val="single" w:sz="4" w:space="0" w:color="auto"/>
            </w:tcBorders>
            <w:shd w:val="clear" w:color="auto" w:fill="auto"/>
            <w:noWrap/>
            <w:vAlign w:val="bottom"/>
            <w:hideMark/>
          </w:tcPr>
          <w:p w:rsidR="00343082" w:rsidRPr="001C114F" w:rsidRDefault="00343082" w:rsidP="006172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77</w:t>
            </w:r>
            <w:r w:rsidR="001C114F">
              <w:rPr>
                <w:rFonts w:eastAsia="Times New Roman"/>
                <w:color w:val="000000"/>
                <w:sz w:val="22"/>
                <w:szCs w:val="22"/>
                <w:bdr w:val="none" w:sz="0" w:space="0" w:color="auto"/>
                <w:lang w:val="es-EC" w:eastAsia="es-EC"/>
              </w:rPr>
              <w:t>,</w:t>
            </w:r>
            <w:r w:rsidRPr="001C114F">
              <w:rPr>
                <w:rFonts w:eastAsia="Times New Roman"/>
                <w:color w:val="000000"/>
                <w:sz w:val="22"/>
                <w:szCs w:val="22"/>
                <w:bdr w:val="none" w:sz="0" w:space="0" w:color="auto"/>
                <w:lang w:val="es-EC" w:eastAsia="es-EC"/>
              </w:rPr>
              <w:t>2%</w:t>
            </w:r>
          </w:p>
        </w:tc>
      </w:tr>
      <w:tr w:rsidR="00343082" w:rsidRPr="001C114F" w:rsidTr="00852773">
        <w:trPr>
          <w:trHeight w:val="300"/>
          <w:jc w:val="center"/>
        </w:trPr>
        <w:tc>
          <w:tcPr>
            <w:tcW w:w="2820" w:type="dxa"/>
            <w:vMerge/>
            <w:vAlign w:val="center"/>
            <w:hideMark/>
          </w:tcPr>
          <w:p w:rsidR="00343082" w:rsidRPr="001C114F" w:rsidRDefault="00343082" w:rsidP="003430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es-EC" w:eastAsia="es-EC"/>
              </w:rPr>
            </w:pPr>
          </w:p>
        </w:tc>
        <w:tc>
          <w:tcPr>
            <w:tcW w:w="1460" w:type="dxa"/>
            <w:shd w:val="clear" w:color="auto" w:fill="auto"/>
            <w:noWrap/>
            <w:vAlign w:val="bottom"/>
            <w:hideMark/>
          </w:tcPr>
          <w:p w:rsidR="00343082" w:rsidRPr="001C114F" w:rsidRDefault="00343082" w:rsidP="003430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Urbano</w:t>
            </w:r>
          </w:p>
        </w:tc>
        <w:tc>
          <w:tcPr>
            <w:tcW w:w="1200" w:type="dxa"/>
            <w:shd w:val="clear" w:color="auto" w:fill="auto"/>
            <w:noWrap/>
            <w:vAlign w:val="bottom"/>
            <w:hideMark/>
          </w:tcPr>
          <w:p w:rsidR="00343082" w:rsidRPr="001C114F" w:rsidRDefault="00343082" w:rsidP="006172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90</w:t>
            </w:r>
            <w:r w:rsidR="001C114F">
              <w:rPr>
                <w:rFonts w:eastAsia="Times New Roman"/>
                <w:color w:val="000000"/>
                <w:sz w:val="22"/>
                <w:szCs w:val="22"/>
                <w:bdr w:val="none" w:sz="0" w:space="0" w:color="auto"/>
                <w:lang w:val="es-EC" w:eastAsia="es-EC"/>
              </w:rPr>
              <w:t>,</w:t>
            </w:r>
            <w:r w:rsidRPr="001C114F">
              <w:rPr>
                <w:rFonts w:eastAsia="Times New Roman"/>
                <w:color w:val="000000"/>
                <w:sz w:val="22"/>
                <w:szCs w:val="22"/>
                <w:bdr w:val="none" w:sz="0" w:space="0" w:color="auto"/>
                <w:lang w:val="es-EC" w:eastAsia="es-EC"/>
              </w:rPr>
              <w:t>4%</w:t>
            </w:r>
          </w:p>
        </w:tc>
        <w:tc>
          <w:tcPr>
            <w:tcW w:w="1200" w:type="dxa"/>
            <w:shd w:val="clear" w:color="auto" w:fill="auto"/>
            <w:noWrap/>
            <w:vAlign w:val="bottom"/>
            <w:hideMark/>
          </w:tcPr>
          <w:p w:rsidR="00343082" w:rsidRPr="001C114F" w:rsidRDefault="00343082" w:rsidP="006172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93</w:t>
            </w:r>
            <w:r w:rsidR="001C114F">
              <w:rPr>
                <w:rFonts w:eastAsia="Times New Roman"/>
                <w:color w:val="000000"/>
                <w:sz w:val="22"/>
                <w:szCs w:val="22"/>
                <w:bdr w:val="none" w:sz="0" w:space="0" w:color="auto"/>
                <w:lang w:val="es-EC" w:eastAsia="es-EC"/>
              </w:rPr>
              <w:t>,</w:t>
            </w:r>
            <w:r w:rsidRPr="001C114F">
              <w:rPr>
                <w:rFonts w:eastAsia="Times New Roman"/>
                <w:color w:val="000000"/>
                <w:sz w:val="22"/>
                <w:szCs w:val="22"/>
                <w:bdr w:val="none" w:sz="0" w:space="0" w:color="auto"/>
                <w:lang w:val="es-EC" w:eastAsia="es-EC"/>
              </w:rPr>
              <w:t>4%</w:t>
            </w:r>
          </w:p>
        </w:tc>
      </w:tr>
      <w:tr w:rsidR="00343082" w:rsidRPr="001C114F" w:rsidTr="00852773">
        <w:trPr>
          <w:trHeight w:val="300"/>
          <w:jc w:val="center"/>
        </w:trPr>
        <w:tc>
          <w:tcPr>
            <w:tcW w:w="2820" w:type="dxa"/>
            <w:vMerge/>
            <w:tcBorders>
              <w:bottom w:val="single" w:sz="4" w:space="0" w:color="auto"/>
            </w:tcBorders>
            <w:vAlign w:val="center"/>
            <w:hideMark/>
          </w:tcPr>
          <w:p w:rsidR="00343082" w:rsidRPr="001C114F" w:rsidRDefault="00343082" w:rsidP="003430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es-EC" w:eastAsia="es-EC"/>
              </w:rPr>
            </w:pPr>
          </w:p>
        </w:tc>
        <w:tc>
          <w:tcPr>
            <w:tcW w:w="1460" w:type="dxa"/>
            <w:tcBorders>
              <w:bottom w:val="single" w:sz="4" w:space="0" w:color="auto"/>
            </w:tcBorders>
            <w:shd w:val="clear" w:color="auto" w:fill="auto"/>
            <w:noWrap/>
            <w:vAlign w:val="bottom"/>
            <w:hideMark/>
          </w:tcPr>
          <w:p w:rsidR="00343082" w:rsidRPr="001C114F" w:rsidRDefault="00343082" w:rsidP="003430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Rural</w:t>
            </w:r>
          </w:p>
        </w:tc>
        <w:tc>
          <w:tcPr>
            <w:tcW w:w="1200" w:type="dxa"/>
            <w:tcBorders>
              <w:bottom w:val="single" w:sz="4" w:space="0" w:color="auto"/>
            </w:tcBorders>
            <w:shd w:val="clear" w:color="auto" w:fill="auto"/>
            <w:noWrap/>
            <w:vAlign w:val="bottom"/>
            <w:hideMark/>
          </w:tcPr>
          <w:p w:rsidR="00343082" w:rsidRPr="001C114F" w:rsidRDefault="00343082" w:rsidP="006172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31</w:t>
            </w:r>
            <w:r w:rsidR="001C114F">
              <w:rPr>
                <w:rFonts w:eastAsia="Times New Roman"/>
                <w:color w:val="000000"/>
                <w:sz w:val="22"/>
                <w:szCs w:val="22"/>
                <w:bdr w:val="none" w:sz="0" w:space="0" w:color="auto"/>
                <w:lang w:val="es-EC" w:eastAsia="es-EC"/>
              </w:rPr>
              <w:t>,</w:t>
            </w:r>
            <w:r w:rsidRPr="001C114F">
              <w:rPr>
                <w:rFonts w:eastAsia="Times New Roman"/>
                <w:color w:val="000000"/>
                <w:sz w:val="22"/>
                <w:szCs w:val="22"/>
                <w:bdr w:val="none" w:sz="0" w:space="0" w:color="auto"/>
                <w:lang w:val="es-EC" w:eastAsia="es-EC"/>
              </w:rPr>
              <w:t>1%</w:t>
            </w:r>
          </w:p>
        </w:tc>
        <w:tc>
          <w:tcPr>
            <w:tcW w:w="1200" w:type="dxa"/>
            <w:tcBorders>
              <w:bottom w:val="single" w:sz="4" w:space="0" w:color="auto"/>
            </w:tcBorders>
            <w:shd w:val="clear" w:color="auto" w:fill="auto"/>
            <w:noWrap/>
            <w:vAlign w:val="bottom"/>
            <w:hideMark/>
          </w:tcPr>
          <w:p w:rsidR="00343082" w:rsidRPr="001C114F" w:rsidRDefault="00343082" w:rsidP="006172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40</w:t>
            </w:r>
            <w:r w:rsidR="001C114F">
              <w:rPr>
                <w:rFonts w:eastAsia="Times New Roman"/>
                <w:color w:val="000000"/>
                <w:sz w:val="22"/>
                <w:szCs w:val="22"/>
                <w:bdr w:val="none" w:sz="0" w:space="0" w:color="auto"/>
                <w:lang w:val="es-EC" w:eastAsia="es-EC"/>
              </w:rPr>
              <w:t>,</w:t>
            </w:r>
            <w:r w:rsidRPr="001C114F">
              <w:rPr>
                <w:rFonts w:eastAsia="Times New Roman"/>
                <w:color w:val="000000"/>
                <w:sz w:val="22"/>
                <w:szCs w:val="22"/>
                <w:bdr w:val="none" w:sz="0" w:space="0" w:color="auto"/>
                <w:lang w:val="es-EC" w:eastAsia="es-EC"/>
              </w:rPr>
              <w:t>9%</w:t>
            </w:r>
          </w:p>
        </w:tc>
      </w:tr>
      <w:tr w:rsidR="00343082" w:rsidRPr="001C114F" w:rsidTr="00852773">
        <w:trPr>
          <w:trHeight w:val="300"/>
          <w:jc w:val="center"/>
        </w:trPr>
        <w:tc>
          <w:tcPr>
            <w:tcW w:w="2820" w:type="dxa"/>
            <w:vMerge w:val="restart"/>
            <w:tcBorders>
              <w:top w:val="single" w:sz="4" w:space="0" w:color="auto"/>
            </w:tcBorders>
            <w:shd w:val="clear" w:color="auto" w:fill="auto"/>
            <w:vAlign w:val="center"/>
            <w:hideMark/>
          </w:tcPr>
          <w:p w:rsidR="00343082" w:rsidRPr="001C114F" w:rsidRDefault="00343082" w:rsidP="003430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Viviendas con alcantarillado sanitario (%)</w:t>
            </w:r>
          </w:p>
        </w:tc>
        <w:tc>
          <w:tcPr>
            <w:tcW w:w="1460" w:type="dxa"/>
            <w:tcBorders>
              <w:top w:val="single" w:sz="4" w:space="0" w:color="auto"/>
            </w:tcBorders>
            <w:shd w:val="clear" w:color="auto" w:fill="auto"/>
            <w:noWrap/>
            <w:vAlign w:val="bottom"/>
            <w:hideMark/>
          </w:tcPr>
          <w:p w:rsidR="00343082" w:rsidRPr="001C114F" w:rsidRDefault="00343082" w:rsidP="003430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Nacional</w:t>
            </w:r>
          </w:p>
        </w:tc>
        <w:tc>
          <w:tcPr>
            <w:tcW w:w="1200" w:type="dxa"/>
            <w:tcBorders>
              <w:top w:val="single" w:sz="4" w:space="0" w:color="auto"/>
            </w:tcBorders>
            <w:shd w:val="clear" w:color="auto" w:fill="auto"/>
            <w:noWrap/>
            <w:vAlign w:val="bottom"/>
            <w:hideMark/>
          </w:tcPr>
          <w:p w:rsidR="00343082" w:rsidRPr="001C114F" w:rsidRDefault="00343082" w:rsidP="006172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55</w:t>
            </w:r>
            <w:r w:rsidR="001C114F">
              <w:rPr>
                <w:rFonts w:eastAsia="Times New Roman"/>
                <w:color w:val="000000"/>
                <w:sz w:val="22"/>
                <w:szCs w:val="22"/>
                <w:bdr w:val="none" w:sz="0" w:space="0" w:color="auto"/>
                <w:lang w:val="es-EC" w:eastAsia="es-EC"/>
              </w:rPr>
              <w:t>,</w:t>
            </w:r>
            <w:r w:rsidRPr="001C114F">
              <w:rPr>
                <w:rFonts w:eastAsia="Times New Roman"/>
                <w:color w:val="000000"/>
                <w:sz w:val="22"/>
                <w:szCs w:val="22"/>
                <w:bdr w:val="none" w:sz="0" w:space="0" w:color="auto"/>
                <w:lang w:val="es-EC" w:eastAsia="es-EC"/>
              </w:rPr>
              <w:t>2%</w:t>
            </w:r>
          </w:p>
        </w:tc>
        <w:tc>
          <w:tcPr>
            <w:tcW w:w="1200" w:type="dxa"/>
            <w:tcBorders>
              <w:top w:val="single" w:sz="4" w:space="0" w:color="auto"/>
            </w:tcBorders>
            <w:shd w:val="clear" w:color="auto" w:fill="auto"/>
            <w:noWrap/>
            <w:vAlign w:val="bottom"/>
            <w:hideMark/>
          </w:tcPr>
          <w:p w:rsidR="00343082" w:rsidRPr="001C114F" w:rsidRDefault="00343082" w:rsidP="006172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61</w:t>
            </w:r>
            <w:r w:rsidR="001C114F">
              <w:rPr>
                <w:rFonts w:eastAsia="Times New Roman"/>
                <w:color w:val="000000"/>
                <w:sz w:val="22"/>
                <w:szCs w:val="22"/>
                <w:bdr w:val="none" w:sz="0" w:space="0" w:color="auto"/>
                <w:lang w:val="es-EC" w:eastAsia="es-EC"/>
              </w:rPr>
              <w:t>,</w:t>
            </w:r>
            <w:r w:rsidRPr="001C114F">
              <w:rPr>
                <w:rFonts w:eastAsia="Times New Roman"/>
                <w:color w:val="000000"/>
                <w:sz w:val="22"/>
                <w:szCs w:val="22"/>
                <w:bdr w:val="none" w:sz="0" w:space="0" w:color="auto"/>
                <w:lang w:val="es-EC" w:eastAsia="es-EC"/>
              </w:rPr>
              <w:t>4%</w:t>
            </w:r>
          </w:p>
        </w:tc>
      </w:tr>
      <w:tr w:rsidR="00343082" w:rsidRPr="001C114F" w:rsidTr="00852773">
        <w:trPr>
          <w:trHeight w:val="300"/>
          <w:jc w:val="center"/>
        </w:trPr>
        <w:tc>
          <w:tcPr>
            <w:tcW w:w="2820" w:type="dxa"/>
            <w:vMerge/>
            <w:vAlign w:val="center"/>
            <w:hideMark/>
          </w:tcPr>
          <w:p w:rsidR="00343082" w:rsidRPr="001C114F" w:rsidRDefault="00343082" w:rsidP="003430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es-EC" w:eastAsia="es-EC"/>
              </w:rPr>
            </w:pPr>
          </w:p>
        </w:tc>
        <w:tc>
          <w:tcPr>
            <w:tcW w:w="1460" w:type="dxa"/>
            <w:shd w:val="clear" w:color="auto" w:fill="auto"/>
            <w:noWrap/>
            <w:vAlign w:val="bottom"/>
            <w:hideMark/>
          </w:tcPr>
          <w:p w:rsidR="00343082" w:rsidRPr="001C114F" w:rsidRDefault="00343082" w:rsidP="003430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Urbano</w:t>
            </w:r>
          </w:p>
        </w:tc>
        <w:tc>
          <w:tcPr>
            <w:tcW w:w="1200" w:type="dxa"/>
            <w:shd w:val="clear" w:color="auto" w:fill="auto"/>
            <w:noWrap/>
            <w:vAlign w:val="bottom"/>
            <w:hideMark/>
          </w:tcPr>
          <w:p w:rsidR="00343082" w:rsidRPr="001C114F" w:rsidRDefault="00343082" w:rsidP="006172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73</w:t>
            </w:r>
            <w:r w:rsidR="001C114F">
              <w:rPr>
                <w:rFonts w:eastAsia="Times New Roman"/>
                <w:color w:val="000000"/>
                <w:sz w:val="22"/>
                <w:szCs w:val="22"/>
                <w:bdr w:val="none" w:sz="0" w:space="0" w:color="auto"/>
                <w:lang w:val="es-EC" w:eastAsia="es-EC"/>
              </w:rPr>
              <w:t>,</w:t>
            </w:r>
            <w:r w:rsidRPr="001C114F">
              <w:rPr>
                <w:rFonts w:eastAsia="Times New Roman"/>
                <w:color w:val="000000"/>
                <w:sz w:val="22"/>
                <w:szCs w:val="22"/>
                <w:bdr w:val="none" w:sz="0" w:space="0" w:color="auto"/>
                <w:lang w:val="es-EC" w:eastAsia="es-EC"/>
              </w:rPr>
              <w:t>8%</w:t>
            </w:r>
          </w:p>
        </w:tc>
        <w:tc>
          <w:tcPr>
            <w:tcW w:w="1200" w:type="dxa"/>
            <w:shd w:val="clear" w:color="auto" w:fill="auto"/>
            <w:noWrap/>
            <w:vAlign w:val="bottom"/>
            <w:hideMark/>
          </w:tcPr>
          <w:p w:rsidR="00343082" w:rsidRPr="001C114F" w:rsidRDefault="00343082" w:rsidP="006172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77</w:t>
            </w:r>
            <w:r w:rsidR="001C114F">
              <w:rPr>
                <w:rFonts w:eastAsia="Times New Roman"/>
                <w:color w:val="000000"/>
                <w:sz w:val="22"/>
                <w:szCs w:val="22"/>
                <w:bdr w:val="none" w:sz="0" w:space="0" w:color="auto"/>
                <w:lang w:val="es-EC" w:eastAsia="es-EC"/>
              </w:rPr>
              <w:t>,</w:t>
            </w:r>
            <w:r w:rsidRPr="001C114F">
              <w:rPr>
                <w:rFonts w:eastAsia="Times New Roman"/>
                <w:color w:val="000000"/>
                <w:sz w:val="22"/>
                <w:szCs w:val="22"/>
                <w:bdr w:val="none" w:sz="0" w:space="0" w:color="auto"/>
                <w:lang w:val="es-EC" w:eastAsia="es-EC"/>
              </w:rPr>
              <w:t>5%</w:t>
            </w:r>
          </w:p>
        </w:tc>
      </w:tr>
      <w:tr w:rsidR="00343082" w:rsidRPr="001C114F" w:rsidTr="00852773">
        <w:trPr>
          <w:trHeight w:val="70"/>
          <w:jc w:val="center"/>
        </w:trPr>
        <w:tc>
          <w:tcPr>
            <w:tcW w:w="2820" w:type="dxa"/>
            <w:vMerge/>
            <w:tcBorders>
              <w:bottom w:val="single" w:sz="4" w:space="0" w:color="auto"/>
            </w:tcBorders>
            <w:vAlign w:val="center"/>
            <w:hideMark/>
          </w:tcPr>
          <w:p w:rsidR="00343082" w:rsidRPr="001C114F" w:rsidRDefault="00343082" w:rsidP="003430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es-EC" w:eastAsia="es-EC"/>
              </w:rPr>
            </w:pPr>
          </w:p>
        </w:tc>
        <w:tc>
          <w:tcPr>
            <w:tcW w:w="1460" w:type="dxa"/>
            <w:tcBorders>
              <w:bottom w:val="single" w:sz="4" w:space="0" w:color="auto"/>
            </w:tcBorders>
            <w:shd w:val="clear" w:color="auto" w:fill="auto"/>
            <w:noWrap/>
            <w:vAlign w:val="bottom"/>
            <w:hideMark/>
          </w:tcPr>
          <w:p w:rsidR="00343082" w:rsidRPr="001C114F" w:rsidRDefault="00343082" w:rsidP="003430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Rural</w:t>
            </w:r>
          </w:p>
        </w:tc>
        <w:tc>
          <w:tcPr>
            <w:tcW w:w="1200" w:type="dxa"/>
            <w:tcBorders>
              <w:bottom w:val="single" w:sz="4" w:space="0" w:color="auto"/>
            </w:tcBorders>
            <w:shd w:val="clear" w:color="auto" w:fill="auto"/>
            <w:noWrap/>
            <w:vAlign w:val="bottom"/>
            <w:hideMark/>
          </w:tcPr>
          <w:p w:rsidR="00343082" w:rsidRPr="001C114F" w:rsidRDefault="00343082" w:rsidP="006172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14</w:t>
            </w:r>
            <w:r w:rsidR="001C114F">
              <w:rPr>
                <w:rFonts w:eastAsia="Times New Roman"/>
                <w:color w:val="000000"/>
                <w:sz w:val="22"/>
                <w:szCs w:val="22"/>
                <w:bdr w:val="none" w:sz="0" w:space="0" w:color="auto"/>
                <w:lang w:val="es-EC" w:eastAsia="es-EC"/>
              </w:rPr>
              <w:t>,</w:t>
            </w:r>
            <w:r w:rsidRPr="001C114F">
              <w:rPr>
                <w:rFonts w:eastAsia="Times New Roman"/>
                <w:color w:val="000000"/>
                <w:sz w:val="22"/>
                <w:szCs w:val="22"/>
                <w:bdr w:val="none" w:sz="0" w:space="0" w:color="auto"/>
                <w:lang w:val="es-EC" w:eastAsia="es-EC"/>
              </w:rPr>
              <w:t>7%</w:t>
            </w:r>
          </w:p>
        </w:tc>
        <w:tc>
          <w:tcPr>
            <w:tcW w:w="1200" w:type="dxa"/>
            <w:tcBorders>
              <w:bottom w:val="single" w:sz="4" w:space="0" w:color="auto"/>
            </w:tcBorders>
            <w:shd w:val="clear" w:color="auto" w:fill="auto"/>
            <w:noWrap/>
            <w:vAlign w:val="bottom"/>
            <w:hideMark/>
          </w:tcPr>
          <w:p w:rsidR="00343082" w:rsidRPr="001C114F" w:rsidRDefault="00343082" w:rsidP="0061720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es-EC" w:eastAsia="es-EC"/>
              </w:rPr>
            </w:pPr>
            <w:r w:rsidRPr="001C114F">
              <w:rPr>
                <w:rFonts w:eastAsia="Times New Roman"/>
                <w:color w:val="000000"/>
                <w:sz w:val="22"/>
                <w:szCs w:val="22"/>
                <w:bdr w:val="none" w:sz="0" w:space="0" w:color="auto"/>
                <w:lang w:val="es-EC" w:eastAsia="es-EC"/>
              </w:rPr>
              <w:t>25</w:t>
            </w:r>
            <w:r w:rsidR="001C114F">
              <w:rPr>
                <w:rFonts w:eastAsia="Times New Roman"/>
                <w:color w:val="000000"/>
                <w:sz w:val="22"/>
                <w:szCs w:val="22"/>
                <w:bdr w:val="none" w:sz="0" w:space="0" w:color="auto"/>
                <w:lang w:val="es-EC" w:eastAsia="es-EC"/>
              </w:rPr>
              <w:t>,</w:t>
            </w:r>
            <w:r w:rsidRPr="001C114F">
              <w:rPr>
                <w:rFonts w:eastAsia="Times New Roman"/>
                <w:color w:val="000000"/>
                <w:sz w:val="22"/>
                <w:szCs w:val="22"/>
                <w:bdr w:val="none" w:sz="0" w:space="0" w:color="auto"/>
                <w:lang w:val="es-EC" w:eastAsia="es-EC"/>
              </w:rPr>
              <w:t>5%</w:t>
            </w:r>
          </w:p>
        </w:tc>
      </w:tr>
    </w:tbl>
    <w:p w:rsidR="00C04568" w:rsidRPr="0093084C" w:rsidRDefault="00343082">
      <w:pPr>
        <w:pStyle w:val="Default"/>
        <w:spacing w:after="200" w:line="360" w:lineRule="auto"/>
        <w:jc w:val="both"/>
        <w:rPr>
          <w:rFonts w:ascii="Times New Roman" w:eastAsia="Times New Roman" w:hAnsi="Times New Roman" w:cs="Times New Roman"/>
          <w:sz w:val="24"/>
          <w:szCs w:val="20"/>
          <w:u w:color="0432FF"/>
        </w:rPr>
      </w:pPr>
      <w:r w:rsidRPr="0093084C">
        <w:rPr>
          <w:rFonts w:ascii="Times New Roman" w:hAnsi="Times New Roman"/>
          <w:sz w:val="24"/>
          <w:szCs w:val="20"/>
          <w:u w:color="FF0000"/>
        </w:rPr>
        <w:t xml:space="preserve">Fuente: </w:t>
      </w:r>
      <w:r w:rsidR="00B2508D" w:rsidRPr="0093084C">
        <w:rPr>
          <w:rFonts w:ascii="Times New Roman" w:hAnsi="Times New Roman"/>
          <w:sz w:val="24"/>
          <w:szCs w:val="20"/>
          <w:u w:color="FF0000"/>
        </w:rPr>
        <w:t>INEC –</w:t>
      </w:r>
      <w:r w:rsidR="00A31DB1" w:rsidRPr="0093084C">
        <w:rPr>
          <w:rFonts w:ascii="Times New Roman" w:hAnsi="Times New Roman"/>
          <w:sz w:val="24"/>
          <w:szCs w:val="20"/>
          <w:u w:color="FF0000"/>
        </w:rPr>
        <w:t>En</w:t>
      </w:r>
      <w:r w:rsidR="009840CB" w:rsidRPr="0093084C">
        <w:rPr>
          <w:rFonts w:ascii="Times New Roman" w:hAnsi="Times New Roman"/>
          <w:sz w:val="24"/>
          <w:szCs w:val="20"/>
          <w:u w:color="FF0000"/>
        </w:rPr>
        <w:t xml:space="preserve">cuesta Nacional de Empleo, Desempleo y Subempleo </w:t>
      </w:r>
      <w:r w:rsidR="00B2508D" w:rsidRPr="0093084C">
        <w:rPr>
          <w:rFonts w:ascii="Times New Roman" w:hAnsi="Times New Roman"/>
          <w:sz w:val="24"/>
          <w:szCs w:val="20"/>
          <w:u w:color="FF0000"/>
        </w:rPr>
        <w:t>(</w:t>
      </w:r>
      <w:r w:rsidR="00A31DB1" w:rsidRPr="0093084C">
        <w:rPr>
          <w:rFonts w:ascii="Times New Roman" w:hAnsi="Times New Roman"/>
          <w:sz w:val="24"/>
          <w:szCs w:val="20"/>
          <w:u w:color="FF0000"/>
        </w:rPr>
        <w:t>2007</w:t>
      </w:r>
      <w:r w:rsidR="003B502A" w:rsidRPr="0093084C">
        <w:rPr>
          <w:rFonts w:ascii="Times New Roman" w:hAnsi="Times New Roman"/>
          <w:sz w:val="24"/>
          <w:szCs w:val="20"/>
          <w:u w:color="FF0000"/>
        </w:rPr>
        <w:t xml:space="preserve"> y </w:t>
      </w:r>
      <w:r w:rsidR="00A31DB1" w:rsidRPr="0093084C">
        <w:rPr>
          <w:rFonts w:ascii="Times New Roman" w:hAnsi="Times New Roman"/>
          <w:sz w:val="24"/>
          <w:szCs w:val="20"/>
          <w:u w:color="FF0000"/>
        </w:rPr>
        <w:t>2014</w:t>
      </w:r>
      <w:r w:rsidR="00B2508D" w:rsidRPr="0093084C">
        <w:rPr>
          <w:rFonts w:ascii="Times New Roman" w:hAnsi="Times New Roman"/>
          <w:sz w:val="24"/>
          <w:szCs w:val="20"/>
          <w:u w:color="FF0000"/>
        </w:rPr>
        <w:t>)</w:t>
      </w:r>
      <w:r w:rsidR="00A31DB1" w:rsidRPr="0093084C">
        <w:rPr>
          <w:rFonts w:ascii="Times New Roman" w:hAnsi="Times New Roman"/>
          <w:sz w:val="24"/>
          <w:szCs w:val="20"/>
          <w:u w:color="FF0000"/>
        </w:rPr>
        <w:t>.</w:t>
      </w:r>
    </w:p>
    <w:p w:rsidR="00C04568" w:rsidRPr="00537D1E" w:rsidRDefault="00343082" w:rsidP="00537D1E">
      <w:pPr>
        <w:pStyle w:val="Default"/>
        <w:spacing w:after="200"/>
        <w:jc w:val="both"/>
        <w:rPr>
          <w:rFonts w:ascii="Times New Roman" w:eastAsia="Times New Roman" w:hAnsi="Times New Roman" w:cs="Times New Roman"/>
          <w:color w:val="0432FF"/>
          <w:sz w:val="24"/>
          <w:szCs w:val="24"/>
        </w:rPr>
      </w:pPr>
      <w:r w:rsidRPr="00537D1E">
        <w:rPr>
          <w:rFonts w:ascii="Times New Roman" w:hAnsi="Times New Roman"/>
          <w:sz w:val="24"/>
          <w:szCs w:val="24"/>
          <w:u w:color="FF0000"/>
        </w:rPr>
        <w:t xml:space="preserve">A pesar de </w:t>
      </w:r>
      <w:r w:rsidR="008C7DC7" w:rsidRPr="00537D1E">
        <w:rPr>
          <w:rFonts w:ascii="Times New Roman" w:hAnsi="Times New Roman"/>
          <w:sz w:val="24"/>
          <w:szCs w:val="24"/>
          <w:u w:color="FF0000"/>
        </w:rPr>
        <w:t>los</w:t>
      </w:r>
      <w:r w:rsidRPr="00537D1E">
        <w:rPr>
          <w:rFonts w:ascii="Times New Roman" w:hAnsi="Times New Roman"/>
          <w:sz w:val="24"/>
          <w:szCs w:val="24"/>
          <w:u w:color="FF0000"/>
        </w:rPr>
        <w:t xml:space="preserve"> </w:t>
      </w:r>
      <w:r w:rsidR="008C7DC7" w:rsidRPr="00537D1E">
        <w:rPr>
          <w:rFonts w:ascii="Times New Roman" w:hAnsi="Times New Roman"/>
          <w:sz w:val="24"/>
          <w:szCs w:val="24"/>
          <w:u w:color="FF0000"/>
        </w:rPr>
        <w:t xml:space="preserve">buenos </w:t>
      </w:r>
      <w:r w:rsidRPr="00537D1E">
        <w:rPr>
          <w:rFonts w:ascii="Times New Roman" w:hAnsi="Times New Roman"/>
          <w:sz w:val="24"/>
          <w:szCs w:val="24"/>
          <w:u w:color="FF0000"/>
        </w:rPr>
        <w:t>resultados</w:t>
      </w:r>
      <w:r w:rsidR="008C7DC7" w:rsidRPr="00537D1E">
        <w:rPr>
          <w:rFonts w:ascii="Times New Roman" w:hAnsi="Times New Roman"/>
          <w:sz w:val="24"/>
          <w:szCs w:val="24"/>
          <w:u w:color="FF0000"/>
        </w:rPr>
        <w:t xml:space="preserve"> en cuanto al incremento de coberturas</w:t>
      </w:r>
      <w:r w:rsidR="007E4E74" w:rsidRPr="00537D1E">
        <w:rPr>
          <w:rFonts w:ascii="Times New Roman" w:hAnsi="Times New Roman"/>
          <w:sz w:val="24"/>
          <w:szCs w:val="24"/>
          <w:u w:color="FF0000"/>
        </w:rPr>
        <w:t xml:space="preserve"> (</w:t>
      </w:r>
      <w:r w:rsidR="00555836" w:rsidRPr="00537D1E">
        <w:rPr>
          <w:rFonts w:ascii="Times New Roman" w:hAnsi="Times New Roman"/>
          <w:sz w:val="24"/>
          <w:szCs w:val="24"/>
          <w:u w:color="FF0000"/>
        </w:rPr>
        <w:t>Tabla</w:t>
      </w:r>
      <w:r w:rsidR="007E4E74" w:rsidRPr="00537D1E">
        <w:rPr>
          <w:rFonts w:ascii="Times New Roman" w:hAnsi="Times New Roman"/>
          <w:sz w:val="24"/>
          <w:szCs w:val="24"/>
          <w:u w:color="FF0000"/>
        </w:rPr>
        <w:t xml:space="preserve"> 1)</w:t>
      </w:r>
      <w:r w:rsidRPr="00537D1E">
        <w:rPr>
          <w:rFonts w:ascii="Times New Roman" w:hAnsi="Times New Roman"/>
          <w:sz w:val="24"/>
          <w:szCs w:val="24"/>
          <w:u w:color="FF0000"/>
        </w:rPr>
        <w:t>, e</w:t>
      </w:r>
      <w:r w:rsidRPr="00537D1E">
        <w:rPr>
          <w:rFonts w:ascii="Times New Roman" w:hAnsi="Times New Roman"/>
          <w:sz w:val="24"/>
          <w:szCs w:val="24"/>
          <w:u w:color="0432FF"/>
        </w:rPr>
        <w:t>n</w:t>
      </w:r>
      <w:r w:rsidRPr="00537D1E">
        <w:rPr>
          <w:rFonts w:ascii="Times New Roman" w:hAnsi="Times New Roman"/>
          <w:sz w:val="24"/>
          <w:szCs w:val="24"/>
        </w:rPr>
        <w:t xml:space="preserve"> el 2014 el </w:t>
      </w:r>
      <w:r w:rsidR="009C1B7F">
        <w:rPr>
          <w:rFonts w:ascii="Times New Roman" w:hAnsi="Times New Roman"/>
          <w:sz w:val="24"/>
          <w:szCs w:val="24"/>
        </w:rPr>
        <w:t>p</w:t>
      </w:r>
      <w:r w:rsidR="00A8200D" w:rsidRPr="00537D1E">
        <w:rPr>
          <w:rFonts w:ascii="Times New Roman" w:hAnsi="Times New Roman"/>
          <w:sz w:val="24"/>
          <w:szCs w:val="24"/>
        </w:rPr>
        <w:t>residente</w:t>
      </w:r>
      <w:r w:rsidRPr="00537D1E">
        <w:rPr>
          <w:rFonts w:ascii="Times New Roman" w:hAnsi="Times New Roman"/>
          <w:sz w:val="24"/>
          <w:szCs w:val="24"/>
        </w:rPr>
        <w:t xml:space="preserve"> decide promover la eliminación de los subsidios en el financiamiento de la política, lo que ocasiona un cambio en la selección de los instrumentos, fenómeno que motiva esta investigación.</w:t>
      </w:r>
      <w:r w:rsidRPr="00537D1E">
        <w:rPr>
          <w:rFonts w:ascii="Times New Roman" w:hAnsi="Times New Roman"/>
          <w:sz w:val="24"/>
          <w:szCs w:val="24"/>
          <w:u w:color="FF0000"/>
        </w:rPr>
        <w:t xml:space="preserve"> </w:t>
      </w:r>
      <w:r w:rsidRPr="00537D1E">
        <w:rPr>
          <w:rFonts w:ascii="Times New Roman" w:hAnsi="Times New Roman"/>
          <w:sz w:val="24"/>
          <w:szCs w:val="24"/>
          <w:u w:color="0432FF"/>
        </w:rPr>
        <w:t xml:space="preserve">Este artículo explica </w:t>
      </w:r>
      <w:r w:rsidRPr="00537D1E">
        <w:rPr>
          <w:rFonts w:ascii="Times New Roman" w:hAnsi="Times New Roman"/>
          <w:sz w:val="24"/>
          <w:szCs w:val="24"/>
        </w:rPr>
        <w:t xml:space="preserve">la incidencia de la autoridad del </w:t>
      </w:r>
      <w:r w:rsidR="009C1B7F">
        <w:rPr>
          <w:rFonts w:ascii="Times New Roman" w:hAnsi="Times New Roman"/>
          <w:sz w:val="24"/>
          <w:szCs w:val="24"/>
        </w:rPr>
        <w:t>p</w:t>
      </w:r>
      <w:r w:rsidR="00A8200D" w:rsidRPr="00537D1E">
        <w:rPr>
          <w:rFonts w:ascii="Times New Roman" w:hAnsi="Times New Roman"/>
          <w:sz w:val="24"/>
          <w:szCs w:val="24"/>
        </w:rPr>
        <w:t>residente</w:t>
      </w:r>
      <w:r w:rsidRPr="00537D1E">
        <w:rPr>
          <w:rFonts w:ascii="Times New Roman" w:hAnsi="Times New Roman"/>
          <w:sz w:val="24"/>
          <w:szCs w:val="24"/>
        </w:rPr>
        <w:t xml:space="preserve"> en la toma de decisiones e</w:t>
      </w:r>
      <w:r w:rsidRPr="00537D1E">
        <w:rPr>
          <w:rFonts w:ascii="Times New Roman" w:hAnsi="Times New Roman"/>
          <w:sz w:val="24"/>
          <w:szCs w:val="24"/>
          <w:u w:color="0432FF"/>
        </w:rPr>
        <w:t>n tres momentos</w:t>
      </w:r>
      <w:r w:rsidRPr="00537D1E">
        <w:rPr>
          <w:rFonts w:ascii="Times New Roman" w:hAnsi="Times New Roman"/>
          <w:sz w:val="24"/>
          <w:szCs w:val="24"/>
        </w:rPr>
        <w:t xml:space="preserve">: (i) el contexto de la política, sus actores, redes e instrumentos; (ii) las relaciones de influencia y dominación en la toma de decisiones desde las agendas de las redes de política y la intervención del </w:t>
      </w:r>
      <w:r w:rsidR="009C1B7F">
        <w:rPr>
          <w:rFonts w:ascii="Times New Roman" w:hAnsi="Times New Roman"/>
          <w:sz w:val="24"/>
          <w:szCs w:val="24"/>
        </w:rPr>
        <w:t>p</w:t>
      </w:r>
      <w:r w:rsidR="00A8200D" w:rsidRPr="00537D1E">
        <w:rPr>
          <w:rFonts w:ascii="Times New Roman" w:hAnsi="Times New Roman"/>
          <w:sz w:val="24"/>
          <w:szCs w:val="24"/>
        </w:rPr>
        <w:t>residente</w:t>
      </w:r>
      <w:r w:rsidRPr="00537D1E">
        <w:rPr>
          <w:rFonts w:ascii="Times New Roman" w:hAnsi="Times New Roman"/>
          <w:sz w:val="24"/>
          <w:szCs w:val="24"/>
        </w:rPr>
        <w:t>; y (iii) el cambio de política dado por la alteración de sus instrumentos y la reorganización de sus recursos.</w:t>
      </w:r>
    </w:p>
    <w:p w:rsidR="00C04568" w:rsidRPr="00537D1E" w:rsidRDefault="00343082" w:rsidP="00537D1E">
      <w:pPr>
        <w:pStyle w:val="Ttulo1"/>
        <w:spacing w:line="240" w:lineRule="auto"/>
        <w:rPr>
          <w:rFonts w:ascii="Times New Roman" w:eastAsia="Times New Roman" w:hAnsi="Times New Roman" w:cs="Times New Roman"/>
          <w:color w:val="000000"/>
          <w:sz w:val="24"/>
          <w:szCs w:val="24"/>
          <w:u w:color="000000"/>
        </w:rPr>
      </w:pPr>
      <w:r w:rsidRPr="00537D1E">
        <w:rPr>
          <w:rFonts w:ascii="Times New Roman" w:hAnsi="Times New Roman"/>
          <w:color w:val="000000"/>
          <w:sz w:val="24"/>
          <w:szCs w:val="24"/>
          <w:u w:color="000000"/>
        </w:rPr>
        <w:t>Modelo de análisis</w:t>
      </w:r>
    </w:p>
    <w:p w:rsidR="00C04568" w:rsidRPr="00537D1E" w:rsidRDefault="00C04568" w:rsidP="00537D1E">
      <w:pPr>
        <w:pStyle w:val="BodyAA"/>
        <w:spacing w:after="0" w:line="240" w:lineRule="auto"/>
        <w:jc w:val="both"/>
        <w:rPr>
          <w:rFonts w:ascii="Times New Roman" w:eastAsia="Times New Roman" w:hAnsi="Times New Roman" w:cs="Times New Roman"/>
          <w:sz w:val="24"/>
          <w:szCs w:val="24"/>
        </w:rPr>
      </w:pPr>
    </w:p>
    <w:p w:rsidR="00C04568" w:rsidRPr="00537D1E" w:rsidRDefault="00343082" w:rsidP="00537D1E">
      <w:pPr>
        <w:pStyle w:val="BodyAA"/>
        <w:spacing w:after="0" w:line="240" w:lineRule="auto"/>
        <w:jc w:val="both"/>
        <w:rPr>
          <w:rFonts w:ascii="Times New Roman" w:eastAsia="Times New Roman" w:hAnsi="Times New Roman" w:cs="Times New Roman"/>
          <w:sz w:val="24"/>
          <w:szCs w:val="24"/>
        </w:rPr>
      </w:pPr>
      <w:r w:rsidRPr="00537D1E">
        <w:rPr>
          <w:rFonts w:ascii="Times New Roman" w:hAnsi="Times New Roman"/>
          <w:sz w:val="24"/>
          <w:szCs w:val="24"/>
        </w:rPr>
        <w:t xml:space="preserve">Para identificar si nos encontramos frente a un cambio incremental o radical en nuestro estudio </w:t>
      </w:r>
      <w:r w:rsidR="00F645BC" w:rsidRPr="00537D1E">
        <w:rPr>
          <w:rFonts w:ascii="Times New Roman" w:hAnsi="Times New Roman"/>
          <w:sz w:val="24"/>
          <w:szCs w:val="24"/>
        </w:rPr>
        <w:t>utilizam</w:t>
      </w:r>
      <w:r w:rsidRPr="00537D1E">
        <w:rPr>
          <w:rFonts w:ascii="Times New Roman" w:hAnsi="Times New Roman"/>
          <w:sz w:val="24"/>
          <w:szCs w:val="24"/>
        </w:rPr>
        <w:t>o</w:t>
      </w:r>
      <w:r w:rsidR="00F645BC" w:rsidRPr="00537D1E">
        <w:rPr>
          <w:rFonts w:ascii="Times New Roman" w:hAnsi="Times New Roman"/>
          <w:sz w:val="24"/>
          <w:szCs w:val="24"/>
        </w:rPr>
        <w:t>s</w:t>
      </w:r>
      <w:r w:rsidRPr="00537D1E">
        <w:rPr>
          <w:rFonts w:ascii="Times New Roman" w:hAnsi="Times New Roman"/>
          <w:sz w:val="24"/>
          <w:szCs w:val="24"/>
        </w:rPr>
        <w:t xml:space="preserve"> la tipología de Hall (1993) de cambio de primero orden, segundo y tercer orden.  El cambio de primer orden ocurre cuando los instrumentos son ajustados en función de la experiencia pasada y de nuevos conocimientos que responden a decisiones técnicas, manteniendo los instrumentos y los objetivos de la política intactos. El cambio de segundo orden hace referencia a la creación de nuevos instrumentos mientras que los objetivos generales de la política siguen siendo los mismos (Hall, 1993: 278). El cambio de tercer orden, también denominado paradigmático o revolucionario, implica cambios simultáneos en los tres componentes de la política; por tanto, es el resultado de un cambio de paradigma como consecuencia de la insatisfacción</w:t>
      </w:r>
      <w:r w:rsidR="009054C4" w:rsidRPr="00537D1E">
        <w:rPr>
          <w:rFonts w:ascii="Times New Roman" w:hAnsi="Times New Roman"/>
          <w:sz w:val="24"/>
          <w:szCs w:val="24"/>
        </w:rPr>
        <w:t xml:space="preserve"> de</w:t>
      </w:r>
      <w:r w:rsidRPr="00537D1E">
        <w:rPr>
          <w:rFonts w:ascii="Times New Roman" w:hAnsi="Times New Roman"/>
          <w:sz w:val="24"/>
          <w:szCs w:val="24"/>
        </w:rPr>
        <w:t xml:space="preserve"> experiencias pasadas, de la influencia de nuevas ideas y de la presencia de crisis institucionales; este cambio está vinculado a eventos exógenos (Hall, </w:t>
      </w:r>
      <w:r w:rsidRPr="00537D1E">
        <w:rPr>
          <w:rFonts w:ascii="Times New Roman" w:hAnsi="Times New Roman"/>
          <w:sz w:val="24"/>
          <w:szCs w:val="24"/>
        </w:rPr>
        <w:lastRenderedPageBreak/>
        <w:t xml:space="preserve">1993: 279).  </w:t>
      </w:r>
      <w:r w:rsidRPr="00537D1E">
        <w:rPr>
          <w:rFonts w:ascii="Times New Roman" w:hAnsi="Times New Roman"/>
          <w:sz w:val="24"/>
          <w:szCs w:val="24"/>
          <w:u w:color="0432FF"/>
        </w:rPr>
        <w:t>El caso que presentamos en este artículo se refiere a un cambio de primer orden</w:t>
      </w:r>
      <w:r w:rsidRPr="00537D1E">
        <w:rPr>
          <w:rFonts w:ascii="Times New Roman" w:hAnsi="Times New Roman"/>
          <w:sz w:val="24"/>
          <w:szCs w:val="24"/>
        </w:rPr>
        <w:t>.</w:t>
      </w:r>
    </w:p>
    <w:p w:rsidR="00C04568" w:rsidRPr="00537D1E" w:rsidRDefault="00C04568" w:rsidP="00537D1E">
      <w:pPr>
        <w:pStyle w:val="BodyAA"/>
        <w:spacing w:after="0" w:line="240" w:lineRule="auto"/>
        <w:jc w:val="both"/>
        <w:rPr>
          <w:rFonts w:ascii="Times New Roman" w:eastAsia="Times New Roman" w:hAnsi="Times New Roman" w:cs="Times New Roman"/>
          <w:sz w:val="24"/>
          <w:szCs w:val="24"/>
        </w:rPr>
      </w:pPr>
    </w:p>
    <w:p w:rsidR="00C04568" w:rsidRPr="00537D1E" w:rsidRDefault="00343082" w:rsidP="00537D1E">
      <w:pPr>
        <w:pStyle w:val="BodyAA"/>
        <w:spacing w:after="0" w:line="240" w:lineRule="auto"/>
        <w:jc w:val="both"/>
        <w:rPr>
          <w:rFonts w:ascii="Times New Roman" w:eastAsia="Times New Roman" w:hAnsi="Times New Roman" w:cs="Times New Roman"/>
          <w:sz w:val="24"/>
          <w:szCs w:val="24"/>
        </w:rPr>
      </w:pPr>
      <w:r w:rsidRPr="00537D1E">
        <w:rPr>
          <w:rFonts w:ascii="Times New Roman" w:hAnsi="Times New Roman"/>
          <w:sz w:val="24"/>
          <w:szCs w:val="24"/>
        </w:rPr>
        <w:t xml:space="preserve">El modelo de análisis escogido para explicar por qué ocurre este cambio de la política se basa en el modelo de redes de política (Klijn, 1998; Kisby, 2007; Bressers y O’toole, 2007) y en la noción de impacto exógeno (Real Dato, 2009) y de autoridad política (Marsh y Smith, 2000; </w:t>
      </w:r>
      <w:r w:rsidRPr="00537D1E">
        <w:rPr>
          <w:rFonts w:ascii="Times New Roman" w:hAnsi="Times New Roman"/>
          <w:color w:val="000000" w:themeColor="text1"/>
          <w:sz w:val="24"/>
          <w:szCs w:val="24"/>
        </w:rPr>
        <w:t xml:space="preserve">Knoke, 1993; Richardson, 2000). Sostenemos que una </w:t>
      </w:r>
      <w:r w:rsidRPr="00537D1E">
        <w:rPr>
          <w:rFonts w:ascii="Times New Roman" w:hAnsi="Times New Roman"/>
          <w:color w:val="000000" w:themeColor="text1"/>
          <w:sz w:val="24"/>
          <w:szCs w:val="24"/>
          <w:u w:color="FF0000"/>
        </w:rPr>
        <w:t xml:space="preserve">autoridad política ajena </w:t>
      </w:r>
      <w:r w:rsidRPr="00537D1E">
        <w:rPr>
          <w:rFonts w:ascii="Times New Roman" w:hAnsi="Times New Roman"/>
          <w:color w:val="000000" w:themeColor="text1"/>
          <w:sz w:val="24"/>
          <w:szCs w:val="24"/>
        </w:rPr>
        <w:t>a las redes de política encargadas de la implementación de la política</w:t>
      </w:r>
      <w:r w:rsidR="0006190D" w:rsidRPr="00537D1E">
        <w:rPr>
          <w:rFonts w:ascii="Times New Roman" w:hAnsi="Times New Roman"/>
          <w:color w:val="000000" w:themeColor="text1"/>
          <w:sz w:val="24"/>
          <w:szCs w:val="24"/>
        </w:rPr>
        <w:t>,</w:t>
      </w:r>
      <w:r w:rsidRPr="00537D1E">
        <w:rPr>
          <w:rFonts w:ascii="Times New Roman" w:hAnsi="Times New Roman"/>
          <w:color w:val="000000" w:themeColor="text1"/>
          <w:sz w:val="24"/>
          <w:szCs w:val="24"/>
        </w:rPr>
        <w:t xml:space="preserve"> logra imponerse en la toma de decisiones y transforma la implementación a través de un giro en la selección de los instrumentos.</w:t>
      </w:r>
    </w:p>
    <w:p w:rsidR="00C04568" w:rsidRPr="00537D1E" w:rsidRDefault="00C04568" w:rsidP="00537D1E">
      <w:pPr>
        <w:pStyle w:val="BodyAA"/>
        <w:spacing w:after="0" w:line="240" w:lineRule="auto"/>
        <w:jc w:val="both"/>
        <w:rPr>
          <w:rFonts w:ascii="Times New Roman" w:eastAsia="Times New Roman" w:hAnsi="Times New Roman" w:cs="Times New Roman"/>
          <w:sz w:val="24"/>
          <w:szCs w:val="24"/>
        </w:rPr>
      </w:pPr>
    </w:p>
    <w:p w:rsidR="00C04568" w:rsidRPr="00537D1E" w:rsidRDefault="00343082" w:rsidP="00537D1E">
      <w:pPr>
        <w:pStyle w:val="BodyA"/>
        <w:spacing w:line="240" w:lineRule="auto"/>
        <w:jc w:val="both"/>
        <w:rPr>
          <w:rFonts w:ascii="Times New Roman" w:eastAsia="Times New Roman" w:hAnsi="Times New Roman" w:cs="Times New Roman"/>
          <w:sz w:val="24"/>
          <w:szCs w:val="24"/>
        </w:rPr>
      </w:pPr>
      <w:r w:rsidRPr="00537D1E">
        <w:rPr>
          <w:rFonts w:ascii="Times New Roman" w:hAnsi="Times New Roman"/>
          <w:kern w:val="36"/>
          <w:sz w:val="24"/>
          <w:szCs w:val="24"/>
        </w:rPr>
        <w:t xml:space="preserve">Esta investigación se </w:t>
      </w:r>
      <w:r w:rsidRPr="00537D1E">
        <w:rPr>
          <w:rFonts w:ascii="Times New Roman" w:hAnsi="Times New Roman"/>
          <w:sz w:val="24"/>
          <w:szCs w:val="24"/>
        </w:rPr>
        <w:t xml:space="preserve">centra en el estudio del cambio de política a partir de la alteración de sus instrumentos, entendidos como “técnicas de gobernanza que, de una u otra forma, incluyen la utilización de la autoridad del Estado o su limitación consiente” (Howlett </w:t>
      </w:r>
      <w:r w:rsidRPr="0093084C">
        <w:rPr>
          <w:rFonts w:ascii="Times New Roman" w:hAnsi="Times New Roman"/>
          <w:i/>
          <w:sz w:val="24"/>
          <w:szCs w:val="24"/>
        </w:rPr>
        <w:t>et</w:t>
      </w:r>
      <w:r w:rsidRPr="00537D1E">
        <w:rPr>
          <w:rFonts w:ascii="Times New Roman" w:hAnsi="Times New Roman"/>
          <w:sz w:val="24"/>
          <w:szCs w:val="24"/>
        </w:rPr>
        <w:t xml:space="preserve"> </w:t>
      </w:r>
      <w:r w:rsidRPr="0093084C">
        <w:rPr>
          <w:rFonts w:ascii="Times New Roman" w:hAnsi="Times New Roman"/>
          <w:i/>
          <w:sz w:val="24"/>
          <w:szCs w:val="24"/>
        </w:rPr>
        <w:t>al</w:t>
      </w:r>
      <w:r w:rsidRPr="00537D1E">
        <w:rPr>
          <w:rFonts w:ascii="Times New Roman" w:hAnsi="Times New Roman"/>
          <w:sz w:val="24"/>
          <w:szCs w:val="24"/>
        </w:rPr>
        <w:t>., 2006: 130). Si bien los instrumentos tienen un alto contenido técnico, es importante notar que también están altamente influenciados por el deseo de los actores de la política de mantener o alcanzar el poder polí</w:t>
      </w:r>
      <w:r w:rsidRPr="00537D1E">
        <w:rPr>
          <w:rFonts w:ascii="Times New Roman" w:hAnsi="Times New Roman"/>
          <w:sz w:val="24"/>
          <w:szCs w:val="24"/>
          <w:lang w:val="it-IT"/>
        </w:rPr>
        <w:t xml:space="preserve">tico. Según Bressers y O’toole (2007), existe un vínculo entre las relaciones de poder del contexto sociopolítico y la toma de decisiones sobre la selección de los instrumentos de la política, puesto que “los </w:t>
      </w:r>
      <w:r w:rsidRPr="00537D1E">
        <w:rPr>
          <w:rFonts w:ascii="Times New Roman" w:hAnsi="Times New Roman"/>
          <w:sz w:val="24"/>
          <w:szCs w:val="24"/>
          <w:lang w:val="pt-PT"/>
        </w:rPr>
        <w:t>instrumentos est</w:t>
      </w:r>
      <w:r w:rsidRPr="00537D1E">
        <w:rPr>
          <w:rFonts w:ascii="Times New Roman" w:hAnsi="Times New Roman"/>
          <w:sz w:val="24"/>
          <w:szCs w:val="24"/>
        </w:rPr>
        <w:t xml:space="preserve">án usualmente destinados a alterar el </w:t>
      </w:r>
      <w:r w:rsidRPr="00537D1E">
        <w:rPr>
          <w:rFonts w:ascii="Times New Roman" w:hAnsi="Times New Roman"/>
          <w:i/>
          <w:iCs/>
          <w:sz w:val="24"/>
          <w:szCs w:val="24"/>
          <w:lang w:val="fr-FR"/>
        </w:rPr>
        <w:t>status quo</w:t>
      </w:r>
      <w:r w:rsidRPr="00537D1E">
        <w:rPr>
          <w:rFonts w:ascii="Times New Roman" w:hAnsi="Times New Roman"/>
          <w:sz w:val="24"/>
          <w:szCs w:val="24"/>
        </w:rPr>
        <w:t xml:space="preserve">, presentando implicaciones con respecto a cambios en la distribución de costos y beneficios vía gobernanza” </w:t>
      </w:r>
      <w:r w:rsidRPr="00537D1E">
        <w:rPr>
          <w:rFonts w:ascii="Times New Roman" w:hAnsi="Times New Roman"/>
          <w:sz w:val="24"/>
          <w:szCs w:val="24"/>
          <w:lang w:val="fr-FR"/>
        </w:rPr>
        <w:t>(Bressers y O</w:t>
      </w:r>
      <w:r w:rsidRPr="00537D1E">
        <w:rPr>
          <w:rFonts w:ascii="Times New Roman" w:hAnsi="Times New Roman"/>
          <w:sz w:val="24"/>
          <w:szCs w:val="24"/>
        </w:rPr>
        <w:t xml:space="preserve">’toole, 2007: 133). </w:t>
      </w:r>
    </w:p>
    <w:p w:rsidR="00C04568" w:rsidRPr="00537D1E" w:rsidRDefault="00343082" w:rsidP="00537D1E">
      <w:pPr>
        <w:pStyle w:val="BodyA"/>
        <w:spacing w:line="240" w:lineRule="auto"/>
        <w:jc w:val="both"/>
        <w:rPr>
          <w:rFonts w:ascii="Times New Roman" w:eastAsia="Times New Roman" w:hAnsi="Times New Roman" w:cs="Times New Roman"/>
          <w:color w:val="0432FF"/>
          <w:sz w:val="24"/>
          <w:szCs w:val="24"/>
          <w:u w:color="0432FF"/>
        </w:rPr>
      </w:pPr>
      <w:r w:rsidRPr="00537D1E">
        <w:rPr>
          <w:rFonts w:ascii="Times New Roman" w:hAnsi="Times New Roman"/>
          <w:sz w:val="24"/>
          <w:szCs w:val="24"/>
        </w:rPr>
        <w:t>La única forma en que se alteren las relaciones de poder de los actores que configuran las redes de política es que factores exógenos causen directamente el cambio de la política, lo que Real Dato denomina el mecanismo de impacto exógeno, donde el cambio se produce “como consecuencia de acontecimientos originados más allá de los límites del subsistema, en otros ámbitos de acción con los que se relaciona” (</w:t>
      </w:r>
      <w:r w:rsidR="00565BF1" w:rsidRPr="00537D1E">
        <w:rPr>
          <w:rFonts w:ascii="Times New Roman" w:hAnsi="Times New Roman"/>
          <w:sz w:val="24"/>
          <w:szCs w:val="24"/>
        </w:rPr>
        <w:t xml:space="preserve">Real Dato, </w:t>
      </w:r>
      <w:r w:rsidRPr="00537D1E">
        <w:rPr>
          <w:rFonts w:ascii="Times New Roman" w:hAnsi="Times New Roman"/>
          <w:sz w:val="24"/>
          <w:szCs w:val="24"/>
        </w:rPr>
        <w:t>2009: 135). Sin embargo, si el núcleo de decisiones de las redes se omite, las decisiones externas pueden ser capaces de moldear directamente los elementos del cambio, ocasionando que la toma de decisiones suba a un nivel superior o a una arena de acción exterior.</w:t>
      </w:r>
    </w:p>
    <w:p w:rsidR="00C04568" w:rsidRPr="00537D1E" w:rsidRDefault="00343082" w:rsidP="00537D1E">
      <w:pPr>
        <w:pStyle w:val="BodyA"/>
        <w:spacing w:line="240" w:lineRule="auto"/>
        <w:jc w:val="both"/>
        <w:rPr>
          <w:color w:val="FF0000"/>
          <w:sz w:val="24"/>
          <w:szCs w:val="24"/>
          <w:u w:color="FF0000"/>
          <w:shd w:val="clear" w:color="auto" w:fill="FFFF00"/>
        </w:rPr>
      </w:pPr>
      <w:r w:rsidRPr="00537D1E">
        <w:rPr>
          <w:rFonts w:ascii="Times New Roman" w:hAnsi="Times New Roman"/>
          <w:sz w:val="24"/>
          <w:szCs w:val="24"/>
          <w:u w:color="0432FF"/>
        </w:rPr>
        <w:t>Marsh y Smith (2000) sostienen que</w:t>
      </w:r>
      <w:r w:rsidRPr="00537D1E">
        <w:rPr>
          <w:rFonts w:ascii="Times New Roman" w:hAnsi="Times New Roman"/>
          <w:sz w:val="24"/>
          <w:szCs w:val="24"/>
        </w:rPr>
        <w:t xml:space="preserve"> existen factores contextuales econó</w:t>
      </w:r>
      <w:r w:rsidRPr="00537D1E">
        <w:rPr>
          <w:rFonts w:ascii="Times New Roman" w:hAnsi="Times New Roman"/>
          <w:sz w:val="24"/>
          <w:szCs w:val="24"/>
          <w:lang w:val="pt-PT"/>
        </w:rPr>
        <w:t>micos, ideol</w:t>
      </w:r>
      <w:r w:rsidR="00C9094C" w:rsidRPr="00537D1E">
        <w:rPr>
          <w:rFonts w:ascii="Times New Roman" w:hAnsi="Times New Roman"/>
          <w:sz w:val="24"/>
          <w:szCs w:val="24"/>
        </w:rPr>
        <w:t>ógicos y políticos</w:t>
      </w:r>
      <w:r w:rsidRPr="00537D1E">
        <w:rPr>
          <w:rFonts w:ascii="Times New Roman" w:hAnsi="Times New Roman"/>
          <w:sz w:val="24"/>
          <w:szCs w:val="24"/>
        </w:rPr>
        <w:t xml:space="preserve"> que pueden influir sobre el proceso de la polí</w:t>
      </w:r>
      <w:r w:rsidRPr="00537D1E">
        <w:rPr>
          <w:rFonts w:ascii="Times New Roman" w:hAnsi="Times New Roman"/>
          <w:sz w:val="24"/>
          <w:szCs w:val="24"/>
          <w:lang w:val="it-IT"/>
        </w:rPr>
        <w:t xml:space="preserve">tica. </w:t>
      </w:r>
      <w:r w:rsidRPr="00537D1E">
        <w:rPr>
          <w:rFonts w:ascii="Times New Roman" w:hAnsi="Times New Roman"/>
          <w:sz w:val="24"/>
          <w:szCs w:val="24"/>
          <w:u w:color="0432FF"/>
        </w:rPr>
        <w:t xml:space="preserve">Inspirados en la propuesta de Richardson </w:t>
      </w:r>
      <w:r w:rsidRPr="00537D1E">
        <w:rPr>
          <w:rFonts w:ascii="Times New Roman" w:hAnsi="Times New Roman"/>
          <w:sz w:val="24"/>
          <w:szCs w:val="24"/>
        </w:rPr>
        <w:t xml:space="preserve">(2000) </w:t>
      </w:r>
      <w:r w:rsidRPr="00537D1E">
        <w:rPr>
          <w:rFonts w:ascii="Times New Roman" w:hAnsi="Times New Roman"/>
          <w:sz w:val="24"/>
          <w:szCs w:val="24"/>
          <w:u w:color="0432FF"/>
        </w:rPr>
        <w:t>sobre la importancia</w:t>
      </w:r>
      <w:r w:rsidRPr="00537D1E">
        <w:rPr>
          <w:rFonts w:ascii="Times New Roman" w:hAnsi="Times New Roman"/>
          <w:sz w:val="24"/>
          <w:szCs w:val="24"/>
        </w:rPr>
        <w:t xml:space="preserve"> del poder del Estado, las transformaciones en el comportamiento de los grupos de inter</w:t>
      </w:r>
      <w:r w:rsidRPr="00537D1E">
        <w:rPr>
          <w:rFonts w:ascii="Times New Roman" w:hAnsi="Times New Roman"/>
          <w:sz w:val="24"/>
          <w:szCs w:val="24"/>
          <w:lang w:val="fr-FR"/>
        </w:rPr>
        <w:t>é</w:t>
      </w:r>
      <w:r w:rsidRPr="00537D1E">
        <w:rPr>
          <w:rFonts w:ascii="Times New Roman" w:hAnsi="Times New Roman"/>
          <w:sz w:val="24"/>
          <w:szCs w:val="24"/>
        </w:rPr>
        <w:t xml:space="preserve">s, el rol del conocimiento y de las ideas, estos autores proponen que la autoridad política probablemente es la restricción más importante del contexto de la </w:t>
      </w:r>
      <w:r w:rsidRPr="00537D1E">
        <w:rPr>
          <w:rFonts w:ascii="Times New Roman" w:hAnsi="Times New Roman"/>
          <w:color w:val="000000" w:themeColor="text1"/>
          <w:sz w:val="24"/>
          <w:szCs w:val="24"/>
        </w:rPr>
        <w:t>toma de decisión de las redes de política, por lo que no es posible ignorar la presión política directa en el cambio de la polí</w:t>
      </w:r>
      <w:r w:rsidRPr="00537D1E">
        <w:rPr>
          <w:rFonts w:ascii="Times New Roman" w:hAnsi="Times New Roman"/>
          <w:color w:val="000000" w:themeColor="text1"/>
          <w:sz w:val="24"/>
          <w:szCs w:val="24"/>
          <w:lang w:val="it-IT"/>
        </w:rPr>
        <w:t xml:space="preserve">tica </w:t>
      </w:r>
      <w:r w:rsidRPr="00537D1E">
        <w:rPr>
          <w:rFonts w:ascii="Times New Roman" w:hAnsi="Times New Roman"/>
          <w:color w:val="000000" w:themeColor="text1"/>
          <w:sz w:val="24"/>
          <w:szCs w:val="24"/>
        </w:rPr>
        <w:t xml:space="preserve">(Marsh y Smith, 2000: 8). </w:t>
      </w:r>
      <w:r w:rsidRPr="00537D1E">
        <w:rPr>
          <w:rFonts w:ascii="Times New Roman" w:hAnsi="Times New Roman"/>
          <w:color w:val="000000" w:themeColor="text1"/>
          <w:sz w:val="24"/>
          <w:szCs w:val="24"/>
          <w:u w:color="FF0000"/>
          <w:shd w:val="clear" w:color="auto" w:fill="FFFFFF"/>
        </w:rPr>
        <w:t>A partir de estas nociones teóricas, para efectos de esta investigación la autoridad política se desempeña como un actor particular que es vocero de sí mismo, no forma parte del subsistema en donde se discute la polí</w:t>
      </w:r>
      <w:r w:rsidRPr="00537D1E">
        <w:rPr>
          <w:rFonts w:ascii="Times New Roman" w:hAnsi="Times New Roman"/>
          <w:color w:val="000000" w:themeColor="text1"/>
          <w:sz w:val="24"/>
          <w:szCs w:val="24"/>
          <w:u w:color="FF0000"/>
          <w:shd w:val="clear" w:color="auto" w:fill="FFFFFF"/>
          <w:lang w:val="it-IT"/>
        </w:rPr>
        <w:t>tica p</w:t>
      </w:r>
      <w:r w:rsidRPr="00537D1E">
        <w:rPr>
          <w:rFonts w:ascii="Times New Roman" w:hAnsi="Times New Roman"/>
          <w:color w:val="000000" w:themeColor="text1"/>
          <w:sz w:val="24"/>
          <w:szCs w:val="24"/>
          <w:u w:color="FF0000"/>
          <w:shd w:val="clear" w:color="auto" w:fill="FFFFFF"/>
        </w:rPr>
        <w:t>ública, pero es capaz de tomar decisiones e imponerse jerárquicamente desde un á</w:t>
      </w:r>
      <w:r w:rsidRPr="00537D1E">
        <w:rPr>
          <w:rFonts w:ascii="Times New Roman" w:hAnsi="Times New Roman"/>
          <w:color w:val="000000" w:themeColor="text1"/>
          <w:sz w:val="24"/>
          <w:szCs w:val="24"/>
          <w:u w:color="FF0000"/>
          <w:shd w:val="clear" w:color="auto" w:fill="FFFFFF"/>
          <w:lang w:val="it-IT"/>
        </w:rPr>
        <w:t>mbito de acci</w:t>
      </w:r>
      <w:r w:rsidRPr="00537D1E">
        <w:rPr>
          <w:rFonts w:ascii="Times New Roman" w:hAnsi="Times New Roman"/>
          <w:color w:val="000000" w:themeColor="text1"/>
          <w:sz w:val="24"/>
          <w:szCs w:val="24"/>
          <w:u w:color="FF0000"/>
          <w:shd w:val="clear" w:color="auto" w:fill="FFFFFF"/>
        </w:rPr>
        <w:t>ó</w:t>
      </w:r>
      <w:r w:rsidRPr="00537D1E">
        <w:rPr>
          <w:rFonts w:ascii="Times New Roman" w:hAnsi="Times New Roman"/>
          <w:color w:val="000000" w:themeColor="text1"/>
          <w:sz w:val="24"/>
          <w:szCs w:val="24"/>
          <w:u w:color="FF0000"/>
          <w:shd w:val="clear" w:color="auto" w:fill="FFFFFF"/>
          <w:lang w:val="pt-PT"/>
        </w:rPr>
        <w:t xml:space="preserve">n superior. </w:t>
      </w:r>
    </w:p>
    <w:p w:rsidR="00C04568" w:rsidRPr="00537D1E" w:rsidRDefault="00343082" w:rsidP="00537D1E">
      <w:pPr>
        <w:pStyle w:val="Sinespaciado"/>
        <w:jc w:val="both"/>
        <w:rPr>
          <w:rFonts w:ascii="Times New Roman" w:eastAsia="Times New Roman" w:hAnsi="Times New Roman" w:cs="Times New Roman"/>
          <w:sz w:val="24"/>
          <w:szCs w:val="24"/>
        </w:rPr>
      </w:pPr>
      <w:r w:rsidRPr="00537D1E">
        <w:rPr>
          <w:rFonts w:ascii="Times New Roman" w:hAnsi="Times New Roman"/>
          <w:sz w:val="24"/>
          <w:szCs w:val="24"/>
        </w:rPr>
        <w:t xml:space="preserve">Para analizar la relación entre las variables </w:t>
      </w:r>
      <w:r w:rsidRPr="00537D1E">
        <w:rPr>
          <w:rFonts w:ascii="Times New Roman" w:hAnsi="Times New Roman"/>
          <w:sz w:val="24"/>
          <w:szCs w:val="24"/>
          <w:u w:color="0432FF"/>
        </w:rPr>
        <w:t xml:space="preserve">dependiente </w:t>
      </w:r>
      <w:r w:rsidRPr="00537D1E">
        <w:rPr>
          <w:rFonts w:ascii="Times New Roman" w:hAnsi="Times New Roman"/>
          <w:sz w:val="24"/>
          <w:szCs w:val="24"/>
        </w:rPr>
        <w:t xml:space="preserve">e independiente se ha escogido </w:t>
      </w:r>
      <w:r w:rsidRPr="00537D1E">
        <w:rPr>
          <w:rFonts w:ascii="Times New Roman" w:hAnsi="Times New Roman"/>
          <w:sz w:val="24"/>
          <w:szCs w:val="24"/>
          <w:u w:color="0432FF"/>
        </w:rPr>
        <w:t>el</w:t>
      </w:r>
      <w:r w:rsidRPr="00537D1E">
        <w:rPr>
          <w:rFonts w:ascii="Times New Roman" w:hAnsi="Times New Roman"/>
          <w:sz w:val="24"/>
          <w:szCs w:val="24"/>
        </w:rPr>
        <w:t xml:space="preserve"> enfoque de redes de política debido a su fortaleza teórico-metodológica para explicar cómo el contexto, los actores y sus relaciones inciden en un determinado resultado de política: en este caso, el cambio de primer orden de la política.</w:t>
      </w:r>
      <w:r w:rsidR="006316A9" w:rsidRPr="00537D1E">
        <w:rPr>
          <w:rFonts w:ascii="Times New Roman" w:hAnsi="Times New Roman"/>
          <w:sz w:val="24"/>
          <w:szCs w:val="24"/>
        </w:rPr>
        <w:t xml:space="preserve"> L</w:t>
      </w:r>
      <w:r w:rsidRPr="00537D1E">
        <w:rPr>
          <w:rFonts w:ascii="Times New Roman" w:hAnsi="Times New Roman"/>
          <w:sz w:val="24"/>
          <w:szCs w:val="24"/>
          <w:u w:color="0432FF"/>
        </w:rPr>
        <w:t xml:space="preserve">as redes de política </w:t>
      </w:r>
      <w:r w:rsidRPr="00537D1E">
        <w:rPr>
          <w:rFonts w:ascii="Times New Roman" w:hAnsi="Times New Roman"/>
          <w:sz w:val="24"/>
          <w:szCs w:val="24"/>
          <w:u w:color="0432FF"/>
        </w:rPr>
        <w:lastRenderedPageBreak/>
        <w:t>permiten mostrar cómo</w:t>
      </w:r>
      <w:r w:rsidRPr="00537D1E">
        <w:rPr>
          <w:rFonts w:ascii="Times New Roman" w:hAnsi="Times New Roman"/>
          <w:sz w:val="24"/>
          <w:szCs w:val="24"/>
        </w:rPr>
        <w:t xml:space="preserve"> el resultado de la política afecta al contexto, a los actores y sus relaciones, reorganizando el proceso de la política pública.  </w:t>
      </w:r>
    </w:p>
    <w:p w:rsidR="00C04568" w:rsidRPr="00537D1E" w:rsidRDefault="00C04568" w:rsidP="00537D1E">
      <w:pPr>
        <w:pStyle w:val="Sinespaciado"/>
        <w:jc w:val="both"/>
        <w:rPr>
          <w:rFonts w:ascii="Times New Roman" w:eastAsia="Times New Roman" w:hAnsi="Times New Roman" w:cs="Times New Roman"/>
          <w:sz w:val="24"/>
          <w:szCs w:val="24"/>
        </w:rPr>
      </w:pPr>
    </w:p>
    <w:p w:rsidR="00C04568" w:rsidRPr="00537D1E" w:rsidRDefault="00343082" w:rsidP="00537D1E">
      <w:pPr>
        <w:pStyle w:val="Sinespaciado"/>
        <w:jc w:val="both"/>
        <w:rPr>
          <w:rFonts w:ascii="Times New Roman" w:eastAsia="Times New Roman" w:hAnsi="Times New Roman" w:cs="Times New Roman"/>
          <w:sz w:val="24"/>
          <w:szCs w:val="24"/>
        </w:rPr>
      </w:pPr>
      <w:r w:rsidRPr="00537D1E">
        <w:rPr>
          <w:rFonts w:ascii="Times New Roman" w:hAnsi="Times New Roman"/>
          <w:sz w:val="24"/>
          <w:szCs w:val="24"/>
        </w:rPr>
        <w:t xml:space="preserve">Definimos a las redes de política como estructuras sociales que mantienen patrones de relaciones más o menos estables entre actores independientes en torno a problemas o programas políticos (Knoke, 1993; Klijn, 1998).  Las redes nos muestran la estructura de las relaciones que establecen los actores y las instituciones durante el cambio de la política pública, y esta estructura es fundamental para comprender los intereses de los actores, sus preferencias y las negociaciones de influencia y dominación que ejercen entre ellos (Knoke, 1993). </w:t>
      </w:r>
      <w:r w:rsidR="006316A9" w:rsidRPr="00537D1E">
        <w:rPr>
          <w:rFonts w:ascii="Times New Roman" w:hAnsi="Times New Roman"/>
          <w:sz w:val="24"/>
          <w:szCs w:val="24"/>
        </w:rPr>
        <w:t>L</w:t>
      </w:r>
      <w:r w:rsidRPr="00537D1E">
        <w:rPr>
          <w:rFonts w:ascii="Times New Roman" w:hAnsi="Times New Roman"/>
          <w:sz w:val="24"/>
          <w:szCs w:val="24"/>
        </w:rPr>
        <w:t>as redes son portadoras de agencias y mantienen una visión del mundo que funciona como una limitación estructural derivada de una cultura común que condiciona la acción de los miembros de la red.  Es por ello que es fundamen</w:t>
      </w:r>
      <w:r w:rsidR="00611320" w:rsidRPr="00537D1E">
        <w:rPr>
          <w:rFonts w:ascii="Times New Roman" w:hAnsi="Times New Roman"/>
          <w:sz w:val="24"/>
          <w:szCs w:val="24"/>
        </w:rPr>
        <w:t xml:space="preserve">tal entender cómo se producen, </w:t>
      </w:r>
      <w:r w:rsidRPr="00537D1E">
        <w:rPr>
          <w:rFonts w:ascii="Times New Roman" w:hAnsi="Times New Roman"/>
          <w:sz w:val="24"/>
          <w:szCs w:val="24"/>
        </w:rPr>
        <w:t>reproducen y cambian los patrones de comportamiento dentro de la red, por qué las preferencias de los actores y sus construcciones discursivas ayudan a generar los límites y las oportunidades que la estructura de la red ofrece, y cómo dicha estructura condiciona las preferencias y los discursos de los actores (Marsh y Smith, 2000).</w:t>
      </w:r>
    </w:p>
    <w:p w:rsidR="00C04568" w:rsidRPr="00537D1E" w:rsidRDefault="00C04568" w:rsidP="00537D1E">
      <w:pPr>
        <w:pStyle w:val="Sinespaciado"/>
        <w:jc w:val="both"/>
        <w:rPr>
          <w:rFonts w:ascii="Times New Roman" w:eastAsia="Times New Roman" w:hAnsi="Times New Roman" w:cs="Times New Roman"/>
          <w:color w:val="0432FF"/>
          <w:sz w:val="24"/>
          <w:szCs w:val="24"/>
          <w:u w:color="0432FF"/>
        </w:rPr>
      </w:pPr>
    </w:p>
    <w:p w:rsidR="00C04568" w:rsidRPr="00537D1E" w:rsidRDefault="00343082" w:rsidP="00537D1E">
      <w:pPr>
        <w:pStyle w:val="Sinespaciado"/>
        <w:jc w:val="both"/>
        <w:rPr>
          <w:rFonts w:ascii="Times New Roman" w:hAnsi="Times New Roman"/>
          <w:sz w:val="24"/>
          <w:szCs w:val="24"/>
        </w:rPr>
      </w:pPr>
      <w:r w:rsidRPr="00537D1E">
        <w:rPr>
          <w:rFonts w:ascii="Times New Roman" w:hAnsi="Times New Roman"/>
          <w:sz w:val="24"/>
          <w:szCs w:val="24"/>
        </w:rPr>
        <w:t>Utilizamos el modelo ideacional de redes de política de Kisby</w:t>
      </w:r>
      <w:r w:rsidR="00D82373" w:rsidRPr="00537D1E">
        <w:rPr>
          <w:rFonts w:ascii="Times New Roman" w:hAnsi="Times New Roman"/>
          <w:sz w:val="24"/>
          <w:szCs w:val="24"/>
        </w:rPr>
        <w:t xml:space="preserve"> (</w:t>
      </w:r>
      <w:r w:rsidR="00555836" w:rsidRPr="00537D1E">
        <w:rPr>
          <w:rFonts w:ascii="Times New Roman" w:hAnsi="Times New Roman"/>
          <w:sz w:val="24"/>
          <w:szCs w:val="24"/>
        </w:rPr>
        <w:t>Gráfico</w:t>
      </w:r>
      <w:r w:rsidR="00D82373" w:rsidRPr="00537D1E">
        <w:rPr>
          <w:rFonts w:ascii="Times New Roman" w:hAnsi="Times New Roman"/>
          <w:sz w:val="24"/>
          <w:szCs w:val="24"/>
        </w:rPr>
        <w:t xml:space="preserve"> 1)</w:t>
      </w:r>
      <w:r w:rsidRPr="00537D1E">
        <w:rPr>
          <w:rFonts w:ascii="Times New Roman" w:hAnsi="Times New Roman"/>
          <w:sz w:val="24"/>
          <w:szCs w:val="24"/>
        </w:rPr>
        <w:t xml:space="preserve"> para mostrar cómo se estructuran las redes de política de ampliación de la cobertura de agua y saneamiento en el Ecuador (2008-2015). Este modelo permite explicar el contexto ideacional dentro del cual es formulada la política pública a partir de las creencias programáticas de los actores, sus habilidades innatas y sus aprendizajes estratégicos. Del mismo modo, ayuda a comprender el contexto estructural donde se establecen las relaciones entre los actores y el intercambio de sus recursos. La combinación del contexto ideacional y del estructural permite entender cómo se producen los resultados de la política pública.</w:t>
      </w:r>
    </w:p>
    <w:p w:rsidR="001240C7" w:rsidRDefault="001240C7">
      <w:pPr>
        <w:pStyle w:val="Sinespaciado"/>
        <w:spacing w:line="360" w:lineRule="auto"/>
        <w:jc w:val="both"/>
        <w:rPr>
          <w:rFonts w:ascii="Times New Roman" w:hAnsi="Times New Roman"/>
        </w:rPr>
      </w:pPr>
    </w:p>
    <w:p w:rsidR="00C04568" w:rsidRPr="00537D1E" w:rsidRDefault="000029AD">
      <w:pPr>
        <w:pStyle w:val="Epgrafe"/>
        <w:spacing w:after="0"/>
        <w:jc w:val="center"/>
        <w:rPr>
          <w:rFonts w:ascii="Times New Roman" w:eastAsia="Times New Roman" w:hAnsi="Times New Roman" w:cs="Times New Roman"/>
          <w:sz w:val="24"/>
          <w:szCs w:val="22"/>
        </w:rPr>
      </w:pPr>
      <w:r w:rsidRPr="00537D1E">
        <w:rPr>
          <w:rFonts w:ascii="Times New Roman" w:hAnsi="Times New Roman"/>
          <w:color w:val="000000"/>
          <w:sz w:val="24"/>
          <w:szCs w:val="22"/>
          <w:u w:color="000000"/>
        </w:rPr>
        <w:t>Gráfico</w:t>
      </w:r>
      <w:r w:rsidR="00447A89" w:rsidRPr="00537D1E">
        <w:rPr>
          <w:rFonts w:ascii="Times New Roman" w:hAnsi="Times New Roman"/>
          <w:color w:val="000000"/>
          <w:sz w:val="24"/>
          <w:szCs w:val="22"/>
          <w:u w:color="000000"/>
        </w:rPr>
        <w:t xml:space="preserve"> 1</w:t>
      </w:r>
      <w:r w:rsidR="00343082" w:rsidRPr="00537D1E">
        <w:rPr>
          <w:rFonts w:ascii="Times New Roman" w:hAnsi="Times New Roman"/>
          <w:color w:val="000000"/>
          <w:sz w:val="24"/>
          <w:szCs w:val="22"/>
          <w:u w:color="000000"/>
        </w:rPr>
        <w:t>. Modelo ideacional de Kisby</w:t>
      </w:r>
    </w:p>
    <w:p w:rsidR="00C04568" w:rsidRDefault="00DE6D93">
      <w:pPr>
        <w:pStyle w:val="Sinespaciado"/>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s-EC"/>
        </w:rPr>
        <w:drawing>
          <wp:anchor distT="0" distB="0" distL="0" distR="0" simplePos="0" relativeHeight="251658240" behindDoc="0" locked="0" layoutInCell="1" allowOverlap="1" wp14:anchorId="4790F6B0" wp14:editId="1F549B27">
            <wp:simplePos x="0" y="0"/>
            <wp:positionH relativeFrom="page">
              <wp:posOffset>1104900</wp:posOffset>
            </wp:positionH>
            <wp:positionV relativeFrom="line">
              <wp:posOffset>128905</wp:posOffset>
            </wp:positionV>
            <wp:extent cx="5448300" cy="3019425"/>
            <wp:effectExtent l="0" t="0" r="0" b="9525"/>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8">
                      <a:extLst/>
                    </a:blip>
                    <a:stretch>
                      <a:fillRect/>
                    </a:stretch>
                  </pic:blipFill>
                  <pic:spPr>
                    <a:xfrm>
                      <a:off x="0" y="0"/>
                      <a:ext cx="5448300" cy="3019425"/>
                    </a:xfrm>
                    <a:prstGeom prst="rect">
                      <a:avLst/>
                    </a:prstGeom>
                    <a:ln w="12700" cap="flat">
                      <a:noFill/>
                      <a:miter lim="400000"/>
                    </a:ln>
                    <a:effectLst/>
                  </pic:spPr>
                </pic:pic>
              </a:graphicData>
            </a:graphic>
            <wp14:sizeRelV relativeFrom="margin">
              <wp14:pctHeight>0</wp14:pctHeight>
            </wp14:sizeRelV>
          </wp:anchor>
        </w:drawing>
      </w:r>
    </w:p>
    <w:p w:rsidR="00C04568" w:rsidRDefault="00C04568">
      <w:pPr>
        <w:pStyle w:val="Sinespaciado"/>
        <w:spacing w:line="360" w:lineRule="auto"/>
        <w:jc w:val="both"/>
        <w:rPr>
          <w:rFonts w:ascii="Times New Roman" w:eastAsia="Times New Roman" w:hAnsi="Times New Roman" w:cs="Times New Roman"/>
        </w:rPr>
      </w:pPr>
    </w:p>
    <w:p w:rsidR="00C04568" w:rsidRDefault="00C04568">
      <w:pPr>
        <w:pStyle w:val="Sinespaciado"/>
        <w:spacing w:line="360" w:lineRule="auto"/>
        <w:jc w:val="both"/>
        <w:rPr>
          <w:rFonts w:ascii="Times New Roman" w:eastAsia="Times New Roman" w:hAnsi="Times New Roman" w:cs="Times New Roman"/>
        </w:rPr>
      </w:pPr>
    </w:p>
    <w:p w:rsidR="00C04568" w:rsidRDefault="00C04568">
      <w:pPr>
        <w:pStyle w:val="Sinespaciado"/>
        <w:spacing w:line="360" w:lineRule="auto"/>
        <w:jc w:val="both"/>
        <w:rPr>
          <w:rFonts w:ascii="Times New Roman" w:eastAsia="Times New Roman" w:hAnsi="Times New Roman" w:cs="Times New Roman"/>
        </w:rPr>
      </w:pPr>
    </w:p>
    <w:p w:rsidR="00C04568" w:rsidRDefault="00C04568">
      <w:pPr>
        <w:pStyle w:val="Sinespaciado"/>
        <w:spacing w:line="360" w:lineRule="auto"/>
        <w:jc w:val="both"/>
        <w:rPr>
          <w:rFonts w:ascii="Times New Roman" w:eastAsia="Times New Roman" w:hAnsi="Times New Roman" w:cs="Times New Roman"/>
        </w:rPr>
      </w:pPr>
    </w:p>
    <w:p w:rsidR="00C04568" w:rsidRDefault="00C04568">
      <w:pPr>
        <w:pStyle w:val="Sinespaciado"/>
        <w:spacing w:line="360" w:lineRule="auto"/>
        <w:jc w:val="both"/>
        <w:rPr>
          <w:rFonts w:ascii="Times New Roman" w:eastAsia="Times New Roman" w:hAnsi="Times New Roman" w:cs="Times New Roman"/>
        </w:rPr>
      </w:pPr>
    </w:p>
    <w:p w:rsidR="00C04568" w:rsidRDefault="00C04568">
      <w:pPr>
        <w:pStyle w:val="Sinespaciado"/>
        <w:spacing w:line="360" w:lineRule="auto"/>
        <w:jc w:val="both"/>
        <w:rPr>
          <w:rFonts w:ascii="Times New Roman" w:eastAsia="Times New Roman" w:hAnsi="Times New Roman" w:cs="Times New Roman"/>
        </w:rPr>
      </w:pPr>
    </w:p>
    <w:p w:rsidR="00C04568" w:rsidRDefault="00C04568">
      <w:pPr>
        <w:pStyle w:val="Sinespaciado"/>
        <w:spacing w:line="360" w:lineRule="auto"/>
        <w:jc w:val="both"/>
        <w:rPr>
          <w:rFonts w:ascii="Times New Roman" w:eastAsia="Times New Roman" w:hAnsi="Times New Roman" w:cs="Times New Roman"/>
        </w:rPr>
      </w:pPr>
    </w:p>
    <w:p w:rsidR="00C04568" w:rsidRDefault="00C04568">
      <w:pPr>
        <w:pStyle w:val="Sinespaciado"/>
        <w:spacing w:line="360" w:lineRule="auto"/>
        <w:jc w:val="both"/>
        <w:rPr>
          <w:rFonts w:ascii="Times New Roman" w:eastAsia="Times New Roman" w:hAnsi="Times New Roman" w:cs="Times New Roman"/>
        </w:rPr>
      </w:pPr>
    </w:p>
    <w:p w:rsidR="00C04568" w:rsidRDefault="00C04568">
      <w:pPr>
        <w:pStyle w:val="Sinespaciado"/>
        <w:spacing w:line="360" w:lineRule="auto"/>
        <w:jc w:val="both"/>
        <w:rPr>
          <w:rFonts w:ascii="Times New Roman" w:eastAsia="Times New Roman" w:hAnsi="Times New Roman" w:cs="Times New Roman"/>
        </w:rPr>
      </w:pPr>
    </w:p>
    <w:p w:rsidR="00C04568" w:rsidRDefault="00C04568">
      <w:pPr>
        <w:pStyle w:val="Sinespaciado"/>
        <w:spacing w:line="360" w:lineRule="auto"/>
        <w:jc w:val="both"/>
        <w:rPr>
          <w:rFonts w:ascii="Times New Roman" w:eastAsia="Times New Roman" w:hAnsi="Times New Roman" w:cs="Times New Roman"/>
        </w:rPr>
      </w:pPr>
    </w:p>
    <w:p w:rsidR="00C04568" w:rsidRDefault="00C04568">
      <w:pPr>
        <w:pStyle w:val="Sinespaciado"/>
        <w:spacing w:line="360" w:lineRule="auto"/>
        <w:jc w:val="both"/>
        <w:rPr>
          <w:rFonts w:ascii="Times New Roman" w:eastAsia="Times New Roman" w:hAnsi="Times New Roman" w:cs="Times New Roman"/>
        </w:rPr>
      </w:pPr>
    </w:p>
    <w:p w:rsidR="00C04568" w:rsidRDefault="00343082">
      <w:pPr>
        <w:pStyle w:val="BodyA"/>
        <w:jc w:val="both"/>
        <w:rPr>
          <w:rFonts w:ascii="Times New Roman" w:eastAsia="Times New Roman" w:hAnsi="Times New Roman" w:cs="Times New Roman"/>
        </w:rPr>
      </w:pPr>
      <w:r>
        <w:rPr>
          <w:rFonts w:ascii="Times New Roman" w:eastAsia="Times New Roman" w:hAnsi="Times New Roman" w:cs="Times New Roman"/>
        </w:rPr>
        <w:tab/>
        <w:t>Fuente: Kisby (2007) con base en Marsh y Smith (2000).</w:t>
      </w:r>
    </w:p>
    <w:p w:rsidR="00C04568" w:rsidRPr="004D72FD" w:rsidRDefault="00343082" w:rsidP="004D72FD">
      <w:pPr>
        <w:pStyle w:val="Sinespaciado"/>
        <w:spacing w:line="360" w:lineRule="auto"/>
        <w:jc w:val="center"/>
        <w:rPr>
          <w:rFonts w:ascii="Times New Roman" w:eastAsia="Times New Roman" w:hAnsi="Times New Roman" w:cs="Times New Roman"/>
          <w:sz w:val="20"/>
          <w:szCs w:val="20"/>
        </w:rPr>
      </w:pPr>
      <w:r w:rsidRPr="004D72FD">
        <w:rPr>
          <w:rFonts w:ascii="Times New Roman" w:hAnsi="Times New Roman"/>
          <w:sz w:val="20"/>
          <w:szCs w:val="20"/>
        </w:rPr>
        <w:t>Fuente: Traducción propia de Kisby, 2007: 84 (adapt</w:t>
      </w:r>
      <w:r w:rsidR="004D72FD" w:rsidRPr="004D72FD">
        <w:rPr>
          <w:rFonts w:ascii="Times New Roman" w:hAnsi="Times New Roman"/>
          <w:sz w:val="20"/>
          <w:szCs w:val="20"/>
        </w:rPr>
        <w:t>ado de Marsh y Smith, 2010: 10)</w:t>
      </w:r>
    </w:p>
    <w:p w:rsidR="00C04568" w:rsidRDefault="00C04568">
      <w:pPr>
        <w:pStyle w:val="Epgrafe"/>
        <w:spacing w:after="0"/>
        <w:jc w:val="center"/>
        <w:rPr>
          <w:rFonts w:ascii="Times New Roman" w:eastAsia="Times New Roman" w:hAnsi="Times New Roman" w:cs="Times New Roman"/>
          <w:color w:val="000000"/>
          <w:sz w:val="22"/>
          <w:szCs w:val="22"/>
          <w:u w:color="000000"/>
        </w:rPr>
      </w:pPr>
    </w:p>
    <w:p w:rsidR="00C04568" w:rsidRPr="00537D1E" w:rsidRDefault="00343082" w:rsidP="00537D1E">
      <w:pPr>
        <w:pStyle w:val="BodyA"/>
        <w:spacing w:line="240" w:lineRule="auto"/>
        <w:jc w:val="both"/>
        <w:rPr>
          <w:rFonts w:ascii="Times New Roman" w:eastAsia="Times New Roman" w:hAnsi="Times New Roman" w:cs="Times New Roman"/>
          <w:sz w:val="24"/>
        </w:rPr>
      </w:pPr>
      <w:r w:rsidRPr="00537D1E">
        <w:rPr>
          <w:rFonts w:ascii="Times New Roman" w:hAnsi="Times New Roman"/>
          <w:sz w:val="24"/>
          <w:u w:color="0432FF"/>
          <w:shd w:val="clear" w:color="auto" w:fill="FFFFFF"/>
        </w:rPr>
        <w:lastRenderedPageBreak/>
        <w:t>Para explicar por qué ocurre el cambio de la política pública desde la perspectiva de redes de política, es imprescindible entender cómo funciona el poder político dentro de la red, es decir cómo funciona la “</w:t>
      </w:r>
      <w:r w:rsidRPr="00537D1E">
        <w:rPr>
          <w:rFonts w:ascii="Times New Roman" w:hAnsi="Times New Roman"/>
          <w:sz w:val="24"/>
          <w:shd w:val="clear" w:color="auto" w:fill="FFFFFF"/>
        </w:rPr>
        <w:t>interacció</w:t>
      </w:r>
      <w:r w:rsidRPr="00537D1E">
        <w:rPr>
          <w:rFonts w:ascii="Times New Roman" w:hAnsi="Times New Roman"/>
          <w:sz w:val="24"/>
          <w:shd w:val="clear" w:color="auto" w:fill="FFFFFF"/>
          <w:lang w:val="pt-PT"/>
        </w:rPr>
        <w:t>n real o potencial entre dos o m</w:t>
      </w:r>
      <w:r w:rsidRPr="00537D1E">
        <w:rPr>
          <w:rFonts w:ascii="Times New Roman" w:hAnsi="Times New Roman"/>
          <w:sz w:val="24"/>
          <w:shd w:val="clear" w:color="auto" w:fill="FFFFFF"/>
        </w:rPr>
        <w:t xml:space="preserve">ás actores sociales, en el que uno ejerce mayor control sobre el otro” </w:t>
      </w:r>
      <w:r w:rsidRPr="00537D1E">
        <w:rPr>
          <w:rFonts w:ascii="Times New Roman" w:hAnsi="Times New Roman"/>
          <w:sz w:val="24"/>
          <w:shd w:val="clear" w:color="auto" w:fill="FFFFFF"/>
          <w:lang w:val="de-DE"/>
        </w:rPr>
        <w:t>(Emerson, 1962:</w:t>
      </w:r>
      <w:r w:rsidRPr="00537D1E">
        <w:rPr>
          <w:rFonts w:ascii="Times New Roman" w:hAnsi="Times New Roman"/>
          <w:sz w:val="24"/>
          <w:shd w:val="clear" w:color="auto" w:fill="FFFFFF"/>
        </w:rPr>
        <w:t xml:space="preserve"> 32). Según Knoke, el poder político se ejerce </w:t>
      </w:r>
      <w:r w:rsidR="00732F6F">
        <w:rPr>
          <w:rFonts w:ascii="Times New Roman" w:hAnsi="Times New Roman"/>
          <w:sz w:val="24"/>
          <w:shd w:val="clear" w:color="auto" w:fill="FFFFFF"/>
        </w:rPr>
        <w:t xml:space="preserve">mediante </w:t>
      </w:r>
      <w:r w:rsidRPr="00537D1E">
        <w:rPr>
          <w:rFonts w:ascii="Times New Roman" w:hAnsi="Times New Roman"/>
          <w:sz w:val="24"/>
          <w:shd w:val="clear" w:color="auto" w:fill="FFFFFF"/>
        </w:rPr>
        <w:t>procesos de influencia y de dominación. L</w:t>
      </w:r>
      <w:r w:rsidRPr="00537D1E">
        <w:rPr>
          <w:rFonts w:ascii="Times New Roman" w:hAnsi="Times New Roman"/>
          <w:sz w:val="24"/>
        </w:rPr>
        <w:t xml:space="preserve">a influencia opera </w:t>
      </w:r>
      <w:r w:rsidRPr="00537D1E">
        <w:rPr>
          <w:rFonts w:ascii="Times New Roman" w:hAnsi="Times New Roman"/>
          <w:sz w:val="24"/>
          <w:u w:color="0432FF"/>
        </w:rPr>
        <w:t>a través de</w:t>
      </w:r>
      <w:r w:rsidRPr="00537D1E">
        <w:rPr>
          <w:rFonts w:ascii="Times New Roman" w:hAnsi="Times New Roman"/>
          <w:sz w:val="24"/>
          <w:lang w:val="it-IT"/>
        </w:rPr>
        <w:t xml:space="preserve"> la persuasi</w:t>
      </w:r>
      <w:r w:rsidRPr="00537D1E">
        <w:rPr>
          <w:rFonts w:ascii="Times New Roman" w:hAnsi="Times New Roman"/>
          <w:sz w:val="24"/>
        </w:rPr>
        <w:t>ón que un actor ejerce sobre otro</w:t>
      </w:r>
      <w:r w:rsidRPr="00537D1E">
        <w:rPr>
          <w:rFonts w:ascii="Times New Roman" w:hAnsi="Times New Roman"/>
          <w:sz w:val="24"/>
          <w:u w:color="0432FF"/>
        </w:rPr>
        <w:t xml:space="preserve"> por medio del intercambio de información que tiene por objeto cambiar la percepción y las creencias del actor influenciado</w:t>
      </w:r>
      <w:r w:rsidRPr="00537D1E">
        <w:rPr>
          <w:rFonts w:ascii="Times New Roman" w:hAnsi="Times New Roman"/>
          <w:sz w:val="24"/>
          <w:u w:color="0432FF"/>
          <w:lang w:val="pt-PT"/>
        </w:rPr>
        <w:t xml:space="preserve">. </w:t>
      </w:r>
      <w:r w:rsidRPr="00537D1E">
        <w:rPr>
          <w:rFonts w:ascii="Times New Roman" w:hAnsi="Times New Roman"/>
          <w:sz w:val="24"/>
          <w:u w:color="0432FF"/>
        </w:rPr>
        <w:t>La dominación es una relación de poder en la que un actor controla el comportamiento de otro ofreciendo un beneficio o un daño (</w:t>
      </w:r>
      <w:r w:rsidR="00732F6F" w:rsidRPr="00537D1E">
        <w:rPr>
          <w:rFonts w:ascii="Times New Roman" w:hAnsi="Times New Roman"/>
          <w:sz w:val="24"/>
          <w:shd w:val="clear" w:color="auto" w:fill="FFFFFF"/>
        </w:rPr>
        <w:t>Knoke</w:t>
      </w:r>
      <w:r w:rsidR="00732F6F">
        <w:rPr>
          <w:rFonts w:ascii="Times New Roman" w:hAnsi="Times New Roman"/>
          <w:sz w:val="24"/>
          <w:shd w:val="clear" w:color="auto" w:fill="FFFFFF"/>
        </w:rPr>
        <w:t>,</w:t>
      </w:r>
      <w:r w:rsidR="00732F6F" w:rsidRPr="00537D1E">
        <w:rPr>
          <w:rFonts w:ascii="Times New Roman" w:hAnsi="Times New Roman"/>
          <w:sz w:val="24"/>
          <w:u w:color="0432FF"/>
        </w:rPr>
        <w:t xml:space="preserve"> </w:t>
      </w:r>
      <w:r w:rsidRPr="00537D1E">
        <w:rPr>
          <w:rFonts w:ascii="Times New Roman" w:hAnsi="Times New Roman"/>
          <w:sz w:val="24"/>
          <w:u w:color="0432FF"/>
        </w:rPr>
        <w:t xml:space="preserve">1993: 166). </w:t>
      </w:r>
      <w:r w:rsidRPr="00537D1E">
        <w:rPr>
          <w:rFonts w:ascii="Times New Roman" w:hAnsi="Times New Roman"/>
          <w:sz w:val="24"/>
        </w:rPr>
        <w:t>Cuando la influencia y la dominación operan simultáneamente en una relación entre dos actores, toma la forma de poder autoritario. En nuestro estudio, esta noción de poder autoritario contribuye a explicar cómo y por qué se da el cambio de la política pública.</w:t>
      </w:r>
    </w:p>
    <w:p w:rsidR="00C04568" w:rsidRPr="00537D1E" w:rsidRDefault="00343082" w:rsidP="00537D1E">
      <w:pPr>
        <w:pStyle w:val="BodyA"/>
        <w:spacing w:line="240" w:lineRule="auto"/>
        <w:jc w:val="both"/>
        <w:rPr>
          <w:rFonts w:ascii="Times New Roman" w:eastAsia="Times New Roman" w:hAnsi="Times New Roman" w:cs="Times New Roman"/>
          <w:sz w:val="24"/>
        </w:rPr>
      </w:pPr>
      <w:r w:rsidRPr="00537D1E">
        <w:rPr>
          <w:rFonts w:ascii="Times New Roman" w:hAnsi="Times New Roman"/>
          <w:sz w:val="24"/>
        </w:rPr>
        <w:t xml:space="preserve">En términos metodológicos, hemos operacionalizado el modelo ideacional desde el análisis de redes propuesto por Sanz (2003). Partimos de que las redes contienen “un conjunto de herramientas para conectar el mundo de los actores individuales y colectivos con las estructuras sociales emergentes, que resultan de las relaciones que los actores establecen” </w:t>
      </w:r>
      <w:r w:rsidRPr="00537D1E">
        <w:rPr>
          <w:rFonts w:ascii="Times New Roman" w:hAnsi="Times New Roman"/>
          <w:sz w:val="24"/>
          <w:lang w:val="pt-PT"/>
        </w:rPr>
        <w:t>(</w:t>
      </w:r>
      <w:r w:rsidR="0044658F" w:rsidRPr="00537D1E">
        <w:rPr>
          <w:rFonts w:ascii="Times New Roman" w:hAnsi="Times New Roman"/>
          <w:sz w:val="24"/>
          <w:lang w:val="pt-PT"/>
        </w:rPr>
        <w:t xml:space="preserve">Sanz, </w:t>
      </w:r>
      <w:r w:rsidR="0044592B" w:rsidRPr="00537D1E">
        <w:rPr>
          <w:rFonts w:ascii="Times New Roman" w:hAnsi="Times New Roman"/>
          <w:sz w:val="24"/>
          <w:lang w:val="pt-PT"/>
        </w:rPr>
        <w:t>2003: 2</w:t>
      </w:r>
      <w:r w:rsidRPr="00537D1E">
        <w:rPr>
          <w:rFonts w:ascii="Times New Roman" w:hAnsi="Times New Roman"/>
          <w:sz w:val="24"/>
          <w:lang w:val="pt-PT"/>
        </w:rPr>
        <w:t>1). Este an</w:t>
      </w:r>
      <w:r w:rsidRPr="00537D1E">
        <w:rPr>
          <w:rFonts w:ascii="Times New Roman" w:hAnsi="Times New Roman"/>
          <w:sz w:val="24"/>
        </w:rPr>
        <w:t xml:space="preserve">álisis </w:t>
      </w:r>
      <w:r w:rsidRPr="00537D1E">
        <w:rPr>
          <w:rFonts w:ascii="Times New Roman" w:hAnsi="Times New Roman"/>
          <w:sz w:val="24"/>
          <w:shd w:val="clear" w:color="auto" w:fill="FFFFFF"/>
        </w:rPr>
        <w:t>permite</w:t>
      </w:r>
      <w:r w:rsidRPr="00537D1E">
        <w:rPr>
          <w:rFonts w:ascii="Times New Roman" w:hAnsi="Times New Roman"/>
          <w:sz w:val="24"/>
        </w:rPr>
        <w:t xml:space="preserve"> integrar métodos cualitativos y cuantitativos para analizar las interacciones entre las conductas individuales y los patrones de las relaciones en la estructura de la red. </w:t>
      </w:r>
      <w:r w:rsidR="00256F52" w:rsidRPr="00537D1E">
        <w:rPr>
          <w:rFonts w:ascii="Times New Roman" w:hAnsi="Times New Roman"/>
          <w:sz w:val="24"/>
        </w:rPr>
        <w:t>L</w:t>
      </w:r>
      <w:r w:rsidRPr="00537D1E">
        <w:rPr>
          <w:rFonts w:ascii="Times New Roman" w:hAnsi="Times New Roman"/>
          <w:sz w:val="24"/>
        </w:rPr>
        <w:t>os métodos cualitativos ayuda</w:t>
      </w:r>
      <w:r w:rsidR="00897239" w:rsidRPr="00537D1E">
        <w:rPr>
          <w:rFonts w:ascii="Times New Roman" w:hAnsi="Times New Roman"/>
          <w:sz w:val="24"/>
        </w:rPr>
        <w:t>n</w:t>
      </w:r>
      <w:r w:rsidRPr="00537D1E">
        <w:rPr>
          <w:rFonts w:ascii="Times New Roman" w:hAnsi="Times New Roman"/>
          <w:sz w:val="24"/>
        </w:rPr>
        <w:t xml:space="preserve"> a agrupar a los actores en torno a sus ideas progra</w:t>
      </w:r>
      <w:r w:rsidR="00256F52" w:rsidRPr="00537D1E">
        <w:rPr>
          <w:rFonts w:ascii="Times New Roman" w:hAnsi="Times New Roman"/>
          <w:sz w:val="24"/>
        </w:rPr>
        <w:t xml:space="preserve">máticas, estrategias y recursos, mientras que </w:t>
      </w:r>
      <w:r w:rsidRPr="00537D1E">
        <w:rPr>
          <w:rFonts w:ascii="Times New Roman" w:hAnsi="Times New Roman"/>
          <w:sz w:val="24"/>
        </w:rPr>
        <w:t>los métodos cuantitativos</w:t>
      </w:r>
      <w:r w:rsidR="00256F52" w:rsidRPr="00537D1E">
        <w:rPr>
          <w:rFonts w:ascii="Times New Roman" w:hAnsi="Times New Roman"/>
          <w:sz w:val="24"/>
        </w:rPr>
        <w:t>,</w:t>
      </w:r>
      <w:r w:rsidRPr="00537D1E">
        <w:rPr>
          <w:rFonts w:ascii="Times New Roman" w:hAnsi="Times New Roman"/>
          <w:sz w:val="24"/>
        </w:rPr>
        <w:t xml:space="preserve"> basados en el análisis estadístico de grafos, ofrecen la posibilidad de caracterizar a los actores y sus ví</w:t>
      </w:r>
      <w:r w:rsidRPr="00537D1E">
        <w:rPr>
          <w:rFonts w:ascii="Times New Roman" w:hAnsi="Times New Roman"/>
          <w:sz w:val="24"/>
          <w:lang w:val="pt-PT"/>
        </w:rPr>
        <w:t>nculos.</w:t>
      </w:r>
    </w:p>
    <w:p w:rsidR="00C04568" w:rsidRPr="00A5089D" w:rsidRDefault="00343082" w:rsidP="00537D1E">
      <w:pPr>
        <w:pStyle w:val="BodyA"/>
        <w:spacing w:line="240" w:lineRule="auto"/>
        <w:jc w:val="both"/>
        <w:rPr>
          <w:rFonts w:ascii="Times New Roman" w:hAnsi="Times New Roman"/>
          <w:color w:val="000000" w:themeColor="text1"/>
          <w:sz w:val="24"/>
          <w:lang w:val="pt-PT"/>
        </w:rPr>
      </w:pPr>
      <w:r w:rsidRPr="00537D1E">
        <w:rPr>
          <w:rFonts w:ascii="Times New Roman" w:hAnsi="Times New Roman"/>
          <w:sz w:val="24"/>
          <w:lang w:val="pt-PT"/>
        </w:rPr>
        <w:t xml:space="preserve">Para construir las redes de política se ha procedido al rastreo de los actores y sus mediaciones </w:t>
      </w:r>
      <w:r w:rsidR="00C33BF7">
        <w:rPr>
          <w:rFonts w:ascii="Times New Roman" w:hAnsi="Times New Roman"/>
          <w:sz w:val="24"/>
          <w:lang w:val="pt-PT"/>
        </w:rPr>
        <w:t>a través</w:t>
      </w:r>
      <w:r w:rsidRPr="00537D1E">
        <w:rPr>
          <w:rFonts w:ascii="Times New Roman" w:hAnsi="Times New Roman"/>
          <w:sz w:val="24"/>
          <w:lang w:val="pt-PT"/>
        </w:rPr>
        <w:t xml:space="preserve"> </w:t>
      </w:r>
      <w:r w:rsidR="00C33BF7">
        <w:rPr>
          <w:rFonts w:ascii="Times New Roman" w:hAnsi="Times New Roman"/>
          <w:sz w:val="24"/>
          <w:lang w:val="pt-PT"/>
        </w:rPr>
        <w:t>d</w:t>
      </w:r>
      <w:r w:rsidRPr="00537D1E">
        <w:rPr>
          <w:rFonts w:ascii="Times New Roman" w:hAnsi="Times New Roman"/>
          <w:sz w:val="24"/>
          <w:lang w:val="pt-PT"/>
        </w:rPr>
        <w:t>el mecanismo de bola de nieve en documentos oficiales (repositorios institucionales) y en los Enlaces Ciudadanos</w:t>
      </w:r>
      <w:r w:rsidR="005740BA" w:rsidRPr="00537D1E">
        <w:rPr>
          <w:rStyle w:val="Refdenotaalpie"/>
          <w:rFonts w:ascii="Times New Roman" w:hAnsi="Times New Roman"/>
          <w:sz w:val="24"/>
          <w:lang w:val="pt-PT"/>
        </w:rPr>
        <w:footnoteReference w:id="3"/>
      </w:r>
      <w:r w:rsidRPr="00537D1E">
        <w:rPr>
          <w:rFonts w:ascii="Times New Roman" w:hAnsi="Times New Roman"/>
          <w:sz w:val="24"/>
          <w:lang w:val="pt-PT"/>
        </w:rPr>
        <w:t xml:space="preserve"> 325 y 378 </w:t>
      </w:r>
      <w:r w:rsidR="006C628B" w:rsidRPr="00537D1E">
        <w:rPr>
          <w:rFonts w:ascii="Times New Roman" w:hAnsi="Times New Roman"/>
          <w:sz w:val="24"/>
          <w:lang w:val="pt-PT"/>
        </w:rPr>
        <w:t xml:space="preserve">y archivos de prensa entre 2008 y </w:t>
      </w:r>
      <w:r w:rsidRPr="00537D1E">
        <w:rPr>
          <w:rFonts w:ascii="Times New Roman" w:hAnsi="Times New Roman"/>
          <w:sz w:val="24"/>
          <w:lang w:val="pt-PT"/>
        </w:rPr>
        <w:t xml:space="preserve">2015. También se han realizado entrevistas semiestructuradas a oficiales </w:t>
      </w:r>
      <w:r w:rsidRPr="00A5089D">
        <w:rPr>
          <w:rFonts w:ascii="Times New Roman" w:hAnsi="Times New Roman"/>
          <w:color w:val="000000" w:themeColor="text1"/>
          <w:sz w:val="24"/>
          <w:lang w:val="pt-PT"/>
        </w:rPr>
        <w:t xml:space="preserve">gubernamentales y a representantes de los GAD para alimentar datos sobre las ideas programáticas de los actores en torno a la visión institucional de la política, a las agendas de los actores no institucionales, a los procesos de toma de decisión y al impacto de la </w:t>
      </w:r>
      <w:r w:rsidRPr="00A5089D">
        <w:rPr>
          <w:rFonts w:ascii="Times New Roman" w:hAnsi="Times New Roman"/>
          <w:color w:val="000000" w:themeColor="text1"/>
          <w:sz w:val="24"/>
          <w:u w:color="FF0000"/>
          <w:lang w:val="pt-PT"/>
        </w:rPr>
        <w:t xml:space="preserve">autoridad política </w:t>
      </w:r>
      <w:r w:rsidRPr="00A5089D">
        <w:rPr>
          <w:rFonts w:ascii="Times New Roman" w:hAnsi="Times New Roman"/>
          <w:color w:val="000000" w:themeColor="text1"/>
          <w:sz w:val="24"/>
          <w:lang w:val="pt-PT"/>
        </w:rPr>
        <w:t>en el cambio de la política pública.</w:t>
      </w:r>
    </w:p>
    <w:p w:rsidR="00E70075" w:rsidRPr="00A5089D" w:rsidRDefault="00E70075" w:rsidP="00E70075">
      <w:pPr>
        <w:pStyle w:val="BodyA"/>
        <w:spacing w:line="240" w:lineRule="auto"/>
        <w:jc w:val="both"/>
        <w:rPr>
          <w:rFonts w:ascii="Times New Roman" w:hAnsi="Times New Roman"/>
          <w:color w:val="000000" w:themeColor="text1"/>
          <w:sz w:val="24"/>
          <w:szCs w:val="24"/>
          <w:u w:color="0432FF"/>
        </w:rPr>
      </w:pPr>
      <w:r w:rsidRPr="00A5089D">
        <w:rPr>
          <w:rFonts w:ascii="Times New Roman" w:hAnsi="Times New Roman"/>
          <w:color w:val="000000" w:themeColor="text1"/>
          <w:sz w:val="24"/>
          <w:szCs w:val="24"/>
          <w:u w:color="0432FF"/>
        </w:rPr>
        <w:t xml:space="preserve">A través de estas técnicas se procedió a rastrear a los actores en función de la referenciación de unos con otros y a establecer la intensidad de sus relaciones. Cada una de estas relaciones fue </w:t>
      </w:r>
      <w:r w:rsidR="008C4EB4" w:rsidRPr="00A5089D">
        <w:rPr>
          <w:rFonts w:ascii="Times New Roman" w:hAnsi="Times New Roman"/>
          <w:color w:val="000000" w:themeColor="text1"/>
          <w:sz w:val="24"/>
          <w:szCs w:val="24"/>
          <w:u w:color="0432FF"/>
        </w:rPr>
        <w:t>asentada</w:t>
      </w:r>
      <w:r w:rsidRPr="00A5089D">
        <w:rPr>
          <w:rFonts w:ascii="Times New Roman" w:hAnsi="Times New Roman"/>
          <w:color w:val="000000" w:themeColor="text1"/>
          <w:sz w:val="24"/>
          <w:szCs w:val="24"/>
          <w:u w:color="0432FF"/>
        </w:rPr>
        <w:t xml:space="preserve"> y codificada en una base de datos con el fin de mostrar gráficamente la red. Un primer registro se dedicó a los nodos y su tipología: instituciones, instrumentos, hechos, actores particulares, organismos internacionales. Un segundo registro </w:t>
      </w:r>
      <w:r w:rsidR="008C4EB4" w:rsidRPr="00A5089D">
        <w:rPr>
          <w:rFonts w:ascii="Times New Roman" w:hAnsi="Times New Roman"/>
          <w:color w:val="000000" w:themeColor="text1"/>
          <w:sz w:val="24"/>
          <w:szCs w:val="24"/>
          <w:u w:color="0432FF"/>
        </w:rPr>
        <w:t xml:space="preserve">se estableció entre los actores y las ideas programáticas que los cohesionan en redes de política. El resultado </w:t>
      </w:r>
      <w:r w:rsidR="00475A6C" w:rsidRPr="00A5089D">
        <w:rPr>
          <w:rFonts w:ascii="Times New Roman" w:hAnsi="Times New Roman"/>
          <w:color w:val="000000" w:themeColor="text1"/>
          <w:sz w:val="24"/>
          <w:szCs w:val="24"/>
          <w:u w:color="0432FF"/>
        </w:rPr>
        <w:t>de ambos registros se export</w:t>
      </w:r>
      <w:r w:rsidR="00BA6C45" w:rsidRPr="00A5089D">
        <w:rPr>
          <w:rFonts w:ascii="Times New Roman" w:hAnsi="Times New Roman"/>
          <w:color w:val="000000" w:themeColor="text1"/>
          <w:sz w:val="24"/>
          <w:szCs w:val="24"/>
          <w:u w:color="0432FF"/>
        </w:rPr>
        <w:t>ó</w:t>
      </w:r>
      <w:r w:rsidR="008C4EB4" w:rsidRPr="00A5089D">
        <w:rPr>
          <w:rFonts w:ascii="Times New Roman" w:hAnsi="Times New Roman"/>
          <w:color w:val="000000" w:themeColor="text1"/>
          <w:sz w:val="24"/>
          <w:szCs w:val="24"/>
          <w:u w:color="0432FF"/>
        </w:rPr>
        <w:t xml:space="preserve"> al programa de análisis de redes sociales Gephi 0.82 con el fin de graficar la red y de minimizar errores en la información digitalizada.</w:t>
      </w:r>
    </w:p>
    <w:p w:rsidR="00E70075" w:rsidRPr="00A5089D" w:rsidRDefault="00D1109F" w:rsidP="00537D1E">
      <w:pPr>
        <w:pStyle w:val="BodyA"/>
        <w:spacing w:line="240" w:lineRule="auto"/>
        <w:jc w:val="both"/>
        <w:rPr>
          <w:rFonts w:ascii="Times New Roman" w:eastAsia="Times New Roman" w:hAnsi="Times New Roman" w:cs="Times New Roman"/>
          <w:color w:val="000000" w:themeColor="text1"/>
          <w:sz w:val="24"/>
        </w:rPr>
      </w:pPr>
      <w:r w:rsidRPr="00A5089D">
        <w:rPr>
          <w:rFonts w:ascii="Times New Roman" w:eastAsia="Times New Roman" w:hAnsi="Times New Roman" w:cs="Times New Roman"/>
          <w:color w:val="000000" w:themeColor="text1"/>
          <w:sz w:val="24"/>
        </w:rPr>
        <w:t>El análisis cuantit</w:t>
      </w:r>
      <w:r w:rsidR="00BA6C45" w:rsidRPr="00A5089D">
        <w:rPr>
          <w:rFonts w:ascii="Times New Roman" w:eastAsia="Times New Roman" w:hAnsi="Times New Roman" w:cs="Times New Roman"/>
          <w:color w:val="000000" w:themeColor="text1"/>
          <w:sz w:val="24"/>
        </w:rPr>
        <w:t>ativo de los datos de la red nos permitió</w:t>
      </w:r>
      <w:r w:rsidRPr="00A5089D">
        <w:rPr>
          <w:rFonts w:ascii="Times New Roman" w:eastAsia="Times New Roman" w:hAnsi="Times New Roman" w:cs="Times New Roman"/>
          <w:color w:val="000000" w:themeColor="text1"/>
          <w:sz w:val="24"/>
        </w:rPr>
        <w:t xml:space="preserve"> caracterizar las relaciones entre los actores por medio de algoritmos estandarizados. El primer algoritmo</w:t>
      </w:r>
      <w:r w:rsidR="00BA6C45" w:rsidRPr="00A5089D">
        <w:rPr>
          <w:rFonts w:ascii="Times New Roman" w:eastAsia="Times New Roman" w:hAnsi="Times New Roman" w:cs="Times New Roman"/>
          <w:color w:val="000000" w:themeColor="text1"/>
          <w:sz w:val="24"/>
        </w:rPr>
        <w:t xml:space="preserve"> utilizado fue Force Atlas, que pertenece a la clase de algoritmos de fuerza para dibujar grafos dirigidos, y que permite posicionar los nodos de tal manera que las relaciones entre ellos </w:t>
      </w:r>
      <w:r w:rsidR="00BA6C45" w:rsidRPr="00A5089D">
        <w:rPr>
          <w:rFonts w:ascii="Times New Roman" w:eastAsia="Times New Roman" w:hAnsi="Times New Roman" w:cs="Times New Roman"/>
          <w:color w:val="000000" w:themeColor="text1"/>
          <w:sz w:val="24"/>
        </w:rPr>
        <w:lastRenderedPageBreak/>
        <w:t>sean de igual longitud y con la menos cantidad de cruces posibles. Igualmente</w:t>
      </w:r>
      <w:r w:rsidR="00B54071" w:rsidRPr="00A5089D">
        <w:rPr>
          <w:rFonts w:ascii="Times New Roman" w:eastAsia="Times New Roman" w:hAnsi="Times New Roman" w:cs="Times New Roman"/>
          <w:color w:val="000000" w:themeColor="text1"/>
          <w:sz w:val="24"/>
        </w:rPr>
        <w:t>,</w:t>
      </w:r>
      <w:r w:rsidR="00BA6C45" w:rsidRPr="00A5089D">
        <w:rPr>
          <w:rFonts w:ascii="Times New Roman" w:eastAsia="Times New Roman" w:hAnsi="Times New Roman" w:cs="Times New Roman"/>
          <w:color w:val="000000" w:themeColor="text1"/>
          <w:sz w:val="24"/>
        </w:rPr>
        <w:t xml:space="preserve"> se utilizó el algoritmo de Expansión para organizar el atributo de nodos con el atributo de nivel y facilitar </w:t>
      </w:r>
      <w:r w:rsidR="00B54071" w:rsidRPr="00A5089D">
        <w:rPr>
          <w:rFonts w:ascii="Times New Roman" w:eastAsia="Times New Roman" w:hAnsi="Times New Roman" w:cs="Times New Roman"/>
          <w:color w:val="000000" w:themeColor="text1"/>
          <w:sz w:val="24"/>
        </w:rPr>
        <w:t>la identificación de patrones de la red.</w:t>
      </w:r>
    </w:p>
    <w:p w:rsidR="00B54071" w:rsidRPr="00A5089D" w:rsidRDefault="00B54071" w:rsidP="00537D1E">
      <w:pPr>
        <w:pStyle w:val="BodyA"/>
        <w:spacing w:after="0" w:line="240" w:lineRule="auto"/>
        <w:jc w:val="both"/>
        <w:rPr>
          <w:rFonts w:ascii="Times New Roman" w:hAnsi="Times New Roman"/>
          <w:color w:val="000000" w:themeColor="text1"/>
          <w:sz w:val="24"/>
        </w:rPr>
      </w:pPr>
      <w:r w:rsidRPr="00A5089D">
        <w:rPr>
          <w:rFonts w:ascii="Times New Roman" w:hAnsi="Times New Roman"/>
          <w:color w:val="000000" w:themeColor="text1"/>
          <w:sz w:val="24"/>
        </w:rPr>
        <w:t>Con el objeto de conocer la intencionalidad de construcción de la red, la influencia de los actores y su capacidad de intermediar las relaciones en los procesos de toma de decisión se utilizaron las siguientes medidas estadísticas: densidad</w:t>
      </w:r>
      <w:r w:rsidR="0024557E" w:rsidRPr="00A5089D">
        <w:rPr>
          <w:rFonts w:ascii="Times New Roman" w:hAnsi="Times New Roman"/>
          <w:color w:val="000000" w:themeColor="text1"/>
          <w:sz w:val="24"/>
        </w:rPr>
        <w:t>,</w:t>
      </w:r>
      <w:r w:rsidR="00A565C6">
        <w:rPr>
          <w:rFonts w:ascii="Times New Roman" w:hAnsi="Times New Roman"/>
          <w:color w:val="000000" w:themeColor="text1"/>
          <w:sz w:val="24"/>
        </w:rPr>
        <w:t xml:space="preserve"> </w:t>
      </w:r>
      <w:r w:rsidRPr="00A5089D">
        <w:rPr>
          <w:rFonts w:ascii="Times New Roman" w:hAnsi="Times New Roman"/>
          <w:color w:val="000000" w:themeColor="text1"/>
          <w:sz w:val="24"/>
        </w:rPr>
        <w:t>centralidad</w:t>
      </w:r>
      <w:r w:rsidR="0024557E" w:rsidRPr="00A5089D">
        <w:rPr>
          <w:rFonts w:ascii="Times New Roman" w:hAnsi="Times New Roman"/>
          <w:color w:val="000000" w:themeColor="text1"/>
          <w:sz w:val="24"/>
        </w:rPr>
        <w:t>,</w:t>
      </w:r>
      <w:r w:rsidRPr="00A5089D">
        <w:rPr>
          <w:rFonts w:ascii="Times New Roman" w:hAnsi="Times New Roman"/>
          <w:color w:val="000000" w:themeColor="text1"/>
          <w:sz w:val="24"/>
        </w:rPr>
        <w:t xml:space="preserve"> cercanía</w:t>
      </w:r>
      <w:r w:rsidR="0024557E" w:rsidRPr="00A5089D">
        <w:rPr>
          <w:rFonts w:ascii="Times New Roman" w:hAnsi="Times New Roman"/>
          <w:color w:val="000000" w:themeColor="text1"/>
          <w:sz w:val="24"/>
        </w:rPr>
        <w:t xml:space="preserve"> e</w:t>
      </w:r>
      <w:r w:rsidRPr="00A5089D">
        <w:rPr>
          <w:rFonts w:ascii="Times New Roman" w:hAnsi="Times New Roman"/>
          <w:color w:val="000000" w:themeColor="text1"/>
          <w:sz w:val="24"/>
        </w:rPr>
        <w:t xml:space="preserve"> </w:t>
      </w:r>
      <w:r w:rsidR="0024557E" w:rsidRPr="00A5089D">
        <w:rPr>
          <w:rFonts w:ascii="Times New Roman" w:hAnsi="Times New Roman"/>
          <w:color w:val="000000" w:themeColor="text1"/>
          <w:sz w:val="24"/>
        </w:rPr>
        <w:t>intermediación</w:t>
      </w:r>
      <w:r w:rsidRPr="00A5089D">
        <w:rPr>
          <w:rFonts w:ascii="Times New Roman" w:hAnsi="Times New Roman"/>
          <w:color w:val="000000" w:themeColor="text1"/>
          <w:sz w:val="24"/>
        </w:rPr>
        <w:t>.</w:t>
      </w:r>
    </w:p>
    <w:p w:rsidR="00C53818" w:rsidRPr="00537D1E" w:rsidRDefault="00C53818" w:rsidP="00537D1E">
      <w:pPr>
        <w:pStyle w:val="BodyA"/>
        <w:spacing w:after="0" w:line="240" w:lineRule="auto"/>
        <w:jc w:val="both"/>
        <w:rPr>
          <w:rFonts w:ascii="Times New Roman" w:eastAsia="Times New Roman" w:hAnsi="Times New Roman" w:cs="Times New Roman"/>
          <w:sz w:val="24"/>
          <w:u w:color="FF0000"/>
        </w:rPr>
      </w:pPr>
    </w:p>
    <w:p w:rsidR="00C04568" w:rsidRPr="00537D1E" w:rsidRDefault="00C04568" w:rsidP="00537D1E">
      <w:pPr>
        <w:pStyle w:val="BodyA"/>
        <w:spacing w:after="0" w:line="240" w:lineRule="auto"/>
        <w:jc w:val="both"/>
        <w:rPr>
          <w:rFonts w:ascii="Times New Roman" w:eastAsia="Times New Roman" w:hAnsi="Times New Roman" w:cs="Times New Roman"/>
          <w:color w:val="FF0000"/>
          <w:sz w:val="24"/>
          <w:u w:color="FF0000"/>
        </w:rPr>
      </w:pPr>
    </w:p>
    <w:p w:rsidR="00C04568" w:rsidRPr="00537D1E" w:rsidRDefault="00343082" w:rsidP="00537D1E">
      <w:pPr>
        <w:pStyle w:val="BodyA"/>
        <w:spacing w:after="0" w:line="240" w:lineRule="auto"/>
        <w:jc w:val="both"/>
        <w:rPr>
          <w:rFonts w:ascii="Times New Roman" w:eastAsia="Times New Roman" w:hAnsi="Times New Roman" w:cs="Times New Roman"/>
          <w:b/>
          <w:bCs/>
          <w:sz w:val="24"/>
          <w:u w:color="FF0000"/>
        </w:rPr>
      </w:pPr>
      <w:r w:rsidRPr="00537D1E">
        <w:rPr>
          <w:rFonts w:ascii="Times New Roman" w:hAnsi="Times New Roman"/>
          <w:b/>
          <w:bCs/>
          <w:sz w:val="24"/>
          <w:u w:color="FF0000"/>
        </w:rPr>
        <w:t>Aplicación del modelo</w:t>
      </w:r>
    </w:p>
    <w:p w:rsidR="00C04568" w:rsidRPr="00537D1E" w:rsidRDefault="00C04568" w:rsidP="00537D1E">
      <w:pPr>
        <w:pStyle w:val="Sinespaciado"/>
        <w:jc w:val="both"/>
        <w:rPr>
          <w:rFonts w:ascii="Times New Roman" w:eastAsia="Times New Roman" w:hAnsi="Times New Roman" w:cs="Times New Roman"/>
          <w:sz w:val="24"/>
        </w:rPr>
      </w:pPr>
    </w:p>
    <w:p w:rsidR="00C04568" w:rsidRPr="00537D1E" w:rsidRDefault="00343082" w:rsidP="00537D1E">
      <w:pPr>
        <w:pStyle w:val="Sinespaciado"/>
        <w:jc w:val="both"/>
        <w:rPr>
          <w:rFonts w:ascii="Times New Roman" w:eastAsia="Times New Roman" w:hAnsi="Times New Roman" w:cs="Times New Roman"/>
          <w:color w:val="000000" w:themeColor="text1"/>
          <w:sz w:val="24"/>
        </w:rPr>
      </w:pPr>
      <w:r w:rsidRPr="00537D1E">
        <w:rPr>
          <w:rFonts w:ascii="Times New Roman" w:hAnsi="Times New Roman"/>
          <w:sz w:val="24"/>
        </w:rPr>
        <w:t xml:space="preserve">El modelo ideacional es aplicado en tres niveles: (i) contexto y red; (ii) estructura y agencia; y (iii) red y resultados de la política (Marsh y Smith, 2000). El primer nivel explica cómo surgen las redes de política en torno a </w:t>
      </w:r>
      <w:r w:rsidRPr="00537D1E">
        <w:rPr>
          <w:rFonts w:ascii="Times New Roman" w:hAnsi="Times New Roman"/>
          <w:color w:val="000000" w:themeColor="text1"/>
          <w:sz w:val="24"/>
        </w:rPr>
        <w:t xml:space="preserve">ideas programáticas; el segundo muestra las relaciones de influencia y dominación que se entretejen entre los actores, en particular el rol de la </w:t>
      </w:r>
      <w:r w:rsidRPr="00537D1E">
        <w:rPr>
          <w:rFonts w:ascii="Times New Roman" w:hAnsi="Times New Roman"/>
          <w:color w:val="000000" w:themeColor="text1"/>
          <w:sz w:val="24"/>
          <w:u w:color="FF0000"/>
        </w:rPr>
        <w:t xml:space="preserve">autoridad política </w:t>
      </w:r>
      <w:r w:rsidRPr="00537D1E">
        <w:rPr>
          <w:rFonts w:ascii="Times New Roman" w:hAnsi="Times New Roman"/>
          <w:color w:val="000000" w:themeColor="text1"/>
          <w:sz w:val="24"/>
        </w:rPr>
        <w:t xml:space="preserve">del </w:t>
      </w:r>
      <w:r w:rsidR="00A8200D" w:rsidRPr="00537D1E">
        <w:rPr>
          <w:rFonts w:ascii="Times New Roman" w:hAnsi="Times New Roman"/>
          <w:color w:val="000000" w:themeColor="text1"/>
          <w:sz w:val="24"/>
        </w:rPr>
        <w:t>Presidente</w:t>
      </w:r>
      <w:r w:rsidRPr="00537D1E">
        <w:rPr>
          <w:rFonts w:ascii="Times New Roman" w:hAnsi="Times New Roman"/>
          <w:color w:val="000000" w:themeColor="text1"/>
          <w:sz w:val="24"/>
        </w:rPr>
        <w:t xml:space="preserve"> de la República; y el tercero se ocupa de explicar el resultado de la política como producto de un proceso social y político que ocurre de manera situada en un momento determinado. </w:t>
      </w:r>
    </w:p>
    <w:p w:rsidR="00C04568" w:rsidRPr="00537D1E" w:rsidRDefault="00C04568" w:rsidP="00537D1E">
      <w:pPr>
        <w:pStyle w:val="SubtitleA"/>
        <w:rPr>
          <w:sz w:val="28"/>
          <w:lang w:val="es-ES_tradnl"/>
        </w:rPr>
      </w:pPr>
    </w:p>
    <w:p w:rsidR="00C04568" w:rsidRPr="00537D1E" w:rsidRDefault="00343082" w:rsidP="00537D1E">
      <w:pPr>
        <w:pStyle w:val="Sinespaciado"/>
        <w:jc w:val="both"/>
        <w:rPr>
          <w:rFonts w:ascii="Times New Roman" w:eastAsia="Times New Roman" w:hAnsi="Times New Roman" w:cs="Times New Roman"/>
          <w:i/>
          <w:iCs/>
          <w:sz w:val="24"/>
        </w:rPr>
      </w:pPr>
      <w:r w:rsidRPr="00537D1E">
        <w:rPr>
          <w:rFonts w:ascii="Times New Roman" w:hAnsi="Times New Roman"/>
          <w:i/>
          <w:iCs/>
          <w:sz w:val="24"/>
        </w:rPr>
        <w:t xml:space="preserve">Contexto: identificación de las redes </w:t>
      </w:r>
    </w:p>
    <w:p w:rsidR="00C04568" w:rsidRPr="00537D1E" w:rsidRDefault="00C04568" w:rsidP="00537D1E">
      <w:pPr>
        <w:pStyle w:val="Sinespaciado"/>
        <w:jc w:val="both"/>
        <w:rPr>
          <w:rFonts w:ascii="Times New Roman" w:eastAsia="Times New Roman" w:hAnsi="Times New Roman" w:cs="Times New Roman"/>
          <w:color w:val="0432FF"/>
          <w:sz w:val="24"/>
          <w:u w:color="0432FF"/>
        </w:rPr>
      </w:pPr>
    </w:p>
    <w:p w:rsidR="00C04568" w:rsidRDefault="00343082" w:rsidP="00537D1E">
      <w:pPr>
        <w:pStyle w:val="Sinespaciado"/>
        <w:jc w:val="both"/>
        <w:rPr>
          <w:rFonts w:ascii="Times New Roman" w:hAnsi="Times New Roman"/>
          <w:sz w:val="24"/>
        </w:rPr>
      </w:pPr>
      <w:r w:rsidRPr="00537D1E">
        <w:rPr>
          <w:rFonts w:ascii="Times New Roman" w:hAnsi="Times New Roman"/>
          <w:sz w:val="24"/>
        </w:rPr>
        <w:t xml:space="preserve">El contexto permite delimitar el momento y el lugar en el que se analiza el estudio de caso y es primordial para identificar a los actores y sus relaciones. El contexto por tanto, no constituye un elemento de la realidad que se estudia </w:t>
      </w:r>
      <w:r w:rsidRPr="00537D1E">
        <w:rPr>
          <w:rFonts w:ascii="Times New Roman" w:hAnsi="Times New Roman"/>
          <w:i/>
          <w:iCs/>
          <w:sz w:val="24"/>
        </w:rPr>
        <w:t>a priori</w:t>
      </w:r>
      <w:r w:rsidRPr="00537D1E">
        <w:rPr>
          <w:rFonts w:ascii="Times New Roman" w:hAnsi="Times New Roman"/>
          <w:sz w:val="24"/>
        </w:rPr>
        <w:t xml:space="preserve">, sino todo lo contrario, es en sí mismo el resultado del reconocimiento de las estructuras exógenas de las redes de política. De este modo, el contexto tiene una relación dialéctica con el surgimiento de las redes de política, y a su vez, es afectado por las redes que se estructuran en dicho momento de la política (Marsh y Smith, 2000). Por tanto, estudiamos el contexto para identificar tanto </w:t>
      </w:r>
      <w:r w:rsidRPr="00537D1E">
        <w:rPr>
          <w:rFonts w:ascii="Times New Roman" w:hAnsi="Times New Roman"/>
          <w:sz w:val="24"/>
          <w:u w:color="0432FF"/>
        </w:rPr>
        <w:t xml:space="preserve">las redes de política del contexto estructural, como las ideas programáticas que operan en el contexto ideacional </w:t>
      </w:r>
      <w:r w:rsidRPr="00537D1E">
        <w:rPr>
          <w:rFonts w:ascii="Times New Roman" w:hAnsi="Times New Roman"/>
          <w:sz w:val="24"/>
        </w:rPr>
        <w:t>(Kisby, 2007)</w:t>
      </w:r>
      <w:r w:rsidRPr="00537D1E">
        <w:rPr>
          <w:rFonts w:ascii="Times New Roman" w:hAnsi="Times New Roman"/>
          <w:sz w:val="24"/>
          <w:u w:color="0432FF"/>
        </w:rPr>
        <w:t>. Nos enfocamos en las interacciones entre la estructura de las redes y las ideas que circulan en ellas para estudiar cómo se configuran las redes de política antes, durante y luego del cambio de la política pública</w:t>
      </w:r>
      <w:r w:rsidRPr="00537D1E">
        <w:rPr>
          <w:rFonts w:ascii="Times New Roman" w:hAnsi="Times New Roman"/>
          <w:sz w:val="24"/>
        </w:rPr>
        <w:t xml:space="preserve">. </w:t>
      </w:r>
    </w:p>
    <w:p w:rsidR="0093084C" w:rsidRPr="00537D1E" w:rsidRDefault="0093084C" w:rsidP="00537D1E">
      <w:pPr>
        <w:pStyle w:val="Sinespaciado"/>
        <w:jc w:val="both"/>
        <w:rPr>
          <w:rFonts w:ascii="Times New Roman" w:eastAsia="Times New Roman" w:hAnsi="Times New Roman" w:cs="Times New Roman"/>
          <w:color w:val="0432FF"/>
          <w:sz w:val="24"/>
          <w:u w:color="0432FF"/>
        </w:rPr>
      </w:pPr>
    </w:p>
    <w:p w:rsidR="00C04568" w:rsidRPr="00537D1E" w:rsidRDefault="00343082" w:rsidP="00537D1E">
      <w:pPr>
        <w:pStyle w:val="Sinespaciado"/>
        <w:jc w:val="both"/>
        <w:rPr>
          <w:rFonts w:ascii="Times New Roman" w:eastAsia="Times New Roman" w:hAnsi="Times New Roman" w:cs="Times New Roman"/>
          <w:i/>
          <w:iCs/>
          <w:sz w:val="24"/>
        </w:rPr>
      </w:pPr>
      <w:r w:rsidRPr="00537D1E">
        <w:rPr>
          <w:rFonts w:ascii="Times New Roman" w:hAnsi="Times New Roman"/>
          <w:sz w:val="24"/>
        </w:rPr>
        <w:t xml:space="preserve">Hemos identificado tres </w:t>
      </w:r>
      <w:r w:rsidR="00CC4728" w:rsidRPr="00537D1E">
        <w:rPr>
          <w:rFonts w:ascii="Times New Roman" w:hAnsi="Times New Roman"/>
          <w:sz w:val="24"/>
        </w:rPr>
        <w:t>etapas</w:t>
      </w:r>
      <w:r w:rsidRPr="00537D1E">
        <w:rPr>
          <w:rFonts w:ascii="Times New Roman" w:hAnsi="Times New Roman"/>
          <w:sz w:val="24"/>
        </w:rPr>
        <w:t xml:space="preserve"> dentro contexto de la política de ampliación de la cobertura de agua y saneamiento: (a) 2008-2013 la norma constitucional establece al agua y saneamiento como un derecho fundamental de la población y se incorpora el componente de subsidios a la financiación de la política; (b) 2014 proceso de toma de decisiones sobre sobre la importancia de la continuidad, cantidad y calidad de los servicios; (c) 2015 construcción de la Estrategia Nacional de Agua y Saneamiento (ENAS).</w:t>
      </w:r>
    </w:p>
    <w:p w:rsidR="00C04568" w:rsidRDefault="00C04568" w:rsidP="00537D1E">
      <w:pPr>
        <w:pStyle w:val="Sinespaciado"/>
        <w:jc w:val="both"/>
        <w:rPr>
          <w:rFonts w:ascii="Times New Roman" w:eastAsia="Times New Roman" w:hAnsi="Times New Roman" w:cs="Times New Roman"/>
          <w:i/>
          <w:iCs/>
          <w:sz w:val="24"/>
        </w:rPr>
      </w:pPr>
    </w:p>
    <w:p w:rsidR="0093084C" w:rsidRPr="00537D1E" w:rsidRDefault="0093084C" w:rsidP="00537D1E">
      <w:pPr>
        <w:pStyle w:val="Sinespaciado"/>
        <w:jc w:val="both"/>
        <w:rPr>
          <w:rFonts w:ascii="Times New Roman" w:eastAsia="Times New Roman" w:hAnsi="Times New Roman" w:cs="Times New Roman"/>
          <w:i/>
          <w:iCs/>
          <w:sz w:val="24"/>
        </w:rPr>
      </w:pPr>
    </w:p>
    <w:p w:rsidR="00C04568" w:rsidRPr="00537D1E" w:rsidRDefault="00343082" w:rsidP="00537D1E">
      <w:pPr>
        <w:pStyle w:val="Sinespaciado"/>
        <w:jc w:val="both"/>
        <w:rPr>
          <w:rFonts w:ascii="Times New Roman" w:eastAsia="Times New Roman" w:hAnsi="Times New Roman" w:cs="Times New Roman"/>
          <w:sz w:val="24"/>
        </w:rPr>
      </w:pPr>
      <w:r w:rsidRPr="00537D1E">
        <w:rPr>
          <w:rFonts w:ascii="Times New Roman" w:hAnsi="Times New Roman"/>
          <w:sz w:val="24"/>
        </w:rPr>
        <w:t xml:space="preserve">Redes 2008-2013: </w:t>
      </w:r>
    </w:p>
    <w:p w:rsidR="00C04568" w:rsidRPr="00537D1E" w:rsidRDefault="00C04568" w:rsidP="00537D1E">
      <w:pPr>
        <w:pStyle w:val="Sinespaciado"/>
        <w:jc w:val="both"/>
        <w:rPr>
          <w:rFonts w:ascii="Times New Roman" w:eastAsia="Times New Roman" w:hAnsi="Times New Roman" w:cs="Times New Roman"/>
          <w:sz w:val="24"/>
        </w:rPr>
      </w:pPr>
    </w:p>
    <w:p w:rsidR="00C04568" w:rsidRPr="008324FF" w:rsidRDefault="00343082" w:rsidP="00537D1E">
      <w:pPr>
        <w:pStyle w:val="BodyAA"/>
        <w:spacing w:line="240" w:lineRule="auto"/>
        <w:jc w:val="both"/>
        <w:rPr>
          <w:rFonts w:ascii="Times New Roman" w:eastAsia="Times New Roman" w:hAnsi="Times New Roman" w:cs="Times New Roman"/>
          <w:sz w:val="24"/>
          <w:szCs w:val="24"/>
        </w:rPr>
      </w:pPr>
      <w:r w:rsidRPr="008324FF">
        <w:rPr>
          <w:rFonts w:ascii="Times New Roman" w:hAnsi="Times New Roman"/>
          <w:sz w:val="24"/>
          <w:szCs w:val="24"/>
          <w:u w:color="0432FF"/>
        </w:rPr>
        <w:t xml:space="preserve">En el 2008 Ecuador cambia la Constitución de la República </w:t>
      </w:r>
      <w:r w:rsidR="009526A0">
        <w:rPr>
          <w:rFonts w:ascii="Times New Roman" w:hAnsi="Times New Roman"/>
          <w:sz w:val="24"/>
          <w:szCs w:val="24"/>
          <w:u w:color="0432FF"/>
        </w:rPr>
        <w:t>mediante</w:t>
      </w:r>
      <w:r w:rsidRPr="008324FF">
        <w:rPr>
          <w:rFonts w:ascii="Times New Roman" w:hAnsi="Times New Roman"/>
          <w:sz w:val="24"/>
          <w:szCs w:val="24"/>
          <w:u w:color="0432FF"/>
        </w:rPr>
        <w:t xml:space="preserve"> un proceso de Asamblea Constituyente y de Referéndum para aprobar la nueva Constitución. Este marco regulatorio genera un </w:t>
      </w:r>
      <w:r w:rsidRPr="008324FF">
        <w:rPr>
          <w:rFonts w:ascii="Times New Roman" w:hAnsi="Times New Roman"/>
          <w:sz w:val="24"/>
          <w:szCs w:val="24"/>
        </w:rPr>
        <w:t xml:space="preserve">contexto ideacional fuertemente influenciado por la consideración del agua y saneamiento como un derecho para alcanzar la calidad de vida </w:t>
      </w:r>
      <w:r w:rsidRPr="008324FF">
        <w:rPr>
          <w:rFonts w:ascii="Times New Roman" w:hAnsi="Times New Roman"/>
          <w:sz w:val="24"/>
          <w:szCs w:val="24"/>
        </w:rPr>
        <w:lastRenderedPageBreak/>
        <w:t xml:space="preserve">de la población </w:t>
      </w:r>
      <w:r w:rsidR="008324FF" w:rsidRPr="00190803">
        <w:rPr>
          <w:rFonts w:ascii="Times New Roman" w:hAnsi="Times New Roman"/>
          <w:sz w:val="24"/>
          <w:szCs w:val="24"/>
        </w:rPr>
        <w:t>(Constitución, 2008, art. 6, 7, 8, 9)</w:t>
      </w:r>
      <w:r w:rsidRPr="00190803">
        <w:rPr>
          <w:rFonts w:ascii="Times New Roman" w:hAnsi="Times New Roman"/>
          <w:sz w:val="24"/>
          <w:szCs w:val="24"/>
        </w:rPr>
        <w:t>. Una innovación de la Constitución de 2008 es la consideración del agua como un patrimonio estratégico de uso público, por lo que se prohíbe toda forma de privatización</w:t>
      </w:r>
      <w:r w:rsidR="008324FF" w:rsidRPr="00190803">
        <w:rPr>
          <w:rFonts w:ascii="Times New Roman" w:hAnsi="Times New Roman"/>
          <w:sz w:val="24"/>
          <w:szCs w:val="24"/>
        </w:rPr>
        <w:t xml:space="preserve"> (Ibíd., art. 318)</w:t>
      </w:r>
      <w:r w:rsidRPr="00190803">
        <w:rPr>
          <w:rFonts w:ascii="Times New Roman" w:hAnsi="Times New Roman"/>
          <w:sz w:val="24"/>
          <w:szCs w:val="24"/>
        </w:rPr>
        <w:t>, se ratifica que la competencia de la prestación de servicios de agua y saneamiento corresponde a los GAD</w:t>
      </w:r>
      <w:r w:rsidR="008324FF" w:rsidRPr="00190803">
        <w:rPr>
          <w:rFonts w:ascii="Times New Roman" w:hAnsi="Times New Roman"/>
          <w:sz w:val="24"/>
          <w:szCs w:val="24"/>
        </w:rPr>
        <w:t xml:space="preserve"> (Constitución 2008, art. 264 y Código Orgánico de Organización Territorial, Autonomía y Descentralizados, art. 55)</w:t>
      </w:r>
      <w:r w:rsidRPr="00190803">
        <w:rPr>
          <w:rFonts w:ascii="Times New Roman" w:hAnsi="Times New Roman"/>
          <w:sz w:val="24"/>
          <w:szCs w:val="24"/>
        </w:rPr>
        <w:t xml:space="preserve">, mientras que la política nacional está a cargo </w:t>
      </w:r>
      <w:r w:rsidRPr="00F95696">
        <w:rPr>
          <w:rFonts w:ascii="Times New Roman" w:hAnsi="Times New Roman"/>
          <w:sz w:val="24"/>
          <w:szCs w:val="24"/>
        </w:rPr>
        <w:t>del gobierno central</w:t>
      </w:r>
      <w:r w:rsidR="008324FF" w:rsidRPr="00F95696">
        <w:rPr>
          <w:rFonts w:ascii="Times New Roman" w:hAnsi="Times New Roman"/>
          <w:sz w:val="24"/>
          <w:szCs w:val="24"/>
        </w:rPr>
        <w:t xml:space="preserve"> (Constitución, 2008, art. 318)</w:t>
      </w:r>
      <w:r w:rsidRPr="00F95696">
        <w:rPr>
          <w:rFonts w:ascii="Times New Roman" w:hAnsi="Times New Roman"/>
          <w:sz w:val="24"/>
          <w:szCs w:val="24"/>
        </w:rPr>
        <w:t>.</w:t>
      </w:r>
    </w:p>
    <w:p w:rsidR="00C04568" w:rsidRPr="00537D1E" w:rsidRDefault="00343082" w:rsidP="00537D1E">
      <w:pPr>
        <w:pStyle w:val="BodyA"/>
        <w:spacing w:line="240" w:lineRule="auto"/>
        <w:jc w:val="both"/>
        <w:rPr>
          <w:rFonts w:ascii="Times New Roman" w:eastAsia="Times New Roman" w:hAnsi="Times New Roman" w:cs="Times New Roman"/>
          <w:sz w:val="24"/>
        </w:rPr>
      </w:pPr>
      <w:r w:rsidRPr="00537D1E">
        <w:rPr>
          <w:rFonts w:ascii="Times New Roman" w:hAnsi="Times New Roman"/>
          <w:sz w:val="24"/>
        </w:rPr>
        <w:t xml:space="preserve">Este panorama </w:t>
      </w:r>
      <w:r w:rsidRPr="00537D1E">
        <w:rPr>
          <w:rFonts w:ascii="Times New Roman" w:hAnsi="Times New Roman"/>
          <w:color w:val="000000" w:themeColor="text1"/>
          <w:sz w:val="24"/>
        </w:rPr>
        <w:t>influy</w:t>
      </w:r>
      <w:r w:rsidRPr="00537D1E">
        <w:rPr>
          <w:rFonts w:ascii="Times New Roman" w:hAnsi="Times New Roman"/>
          <w:color w:val="000000" w:themeColor="text1"/>
          <w:sz w:val="24"/>
          <w:u w:color="0432FF"/>
        </w:rPr>
        <w:t>e</w:t>
      </w:r>
      <w:r w:rsidRPr="00537D1E">
        <w:rPr>
          <w:rFonts w:ascii="Times New Roman" w:hAnsi="Times New Roman"/>
          <w:color w:val="000000" w:themeColor="text1"/>
          <w:sz w:val="24"/>
        </w:rPr>
        <w:t xml:space="preserve"> para que en el año 2012 se conforme la red de polí</w:t>
      </w:r>
      <w:r w:rsidRPr="00537D1E">
        <w:rPr>
          <w:rFonts w:ascii="Times New Roman" w:hAnsi="Times New Roman"/>
          <w:color w:val="000000" w:themeColor="text1"/>
          <w:sz w:val="24"/>
          <w:lang w:val="it-IT"/>
        </w:rPr>
        <w:t xml:space="preserve">tica </w:t>
      </w:r>
      <w:r w:rsidRPr="00537D1E">
        <w:rPr>
          <w:rFonts w:ascii="Times New Roman" w:hAnsi="Times New Roman"/>
          <w:i/>
          <w:iCs/>
          <w:color w:val="000000" w:themeColor="text1"/>
          <w:sz w:val="24"/>
        </w:rPr>
        <w:t>Acuerdo Nacional para el Buen Vivir</w:t>
      </w:r>
      <w:r w:rsidRPr="00537D1E">
        <w:rPr>
          <w:rFonts w:ascii="Times New Roman" w:hAnsi="Times New Roman"/>
          <w:color w:val="000000" w:themeColor="text1"/>
          <w:sz w:val="24"/>
        </w:rPr>
        <w:t xml:space="preserve">, en donde el </w:t>
      </w:r>
      <w:r w:rsidR="00A8200D" w:rsidRPr="00537D1E">
        <w:rPr>
          <w:rFonts w:ascii="Times New Roman" w:hAnsi="Times New Roman"/>
          <w:color w:val="000000" w:themeColor="text1"/>
          <w:sz w:val="24"/>
        </w:rPr>
        <w:t>presidente</w:t>
      </w:r>
      <w:r w:rsidRPr="00537D1E">
        <w:rPr>
          <w:rFonts w:ascii="Times New Roman" w:hAnsi="Times New Roman"/>
          <w:color w:val="000000" w:themeColor="text1"/>
          <w:sz w:val="24"/>
        </w:rPr>
        <w:t xml:space="preserve"> </w:t>
      </w:r>
      <w:r w:rsidRPr="00537D1E">
        <w:rPr>
          <w:rFonts w:ascii="Times New Roman" w:hAnsi="Times New Roman"/>
          <w:sz w:val="24"/>
        </w:rPr>
        <w:t xml:space="preserve">y la Asociación de Municipalidades del Ecuador (AME), en representación de los GAD, se comprometen a trabajar en conjunto. </w:t>
      </w:r>
      <w:r w:rsidRPr="00537D1E">
        <w:rPr>
          <w:rFonts w:ascii="Times New Roman" w:hAnsi="Times New Roman"/>
          <w:sz w:val="24"/>
          <w:lang w:val="it-IT"/>
        </w:rPr>
        <w:t>La idea programática de la red constituida dentro del acuerdo nacional es la “calidad de vida” de los beneficiarios. Los</w:t>
      </w:r>
      <w:r w:rsidRPr="00537D1E">
        <w:rPr>
          <w:rFonts w:ascii="Times New Roman" w:hAnsi="Times New Roman"/>
          <w:sz w:val="24"/>
          <w:u w:color="0432FF"/>
        </w:rPr>
        <w:t xml:space="preserve"> propios alcaldes</w:t>
      </w:r>
      <w:r w:rsidRPr="00537D1E">
        <w:rPr>
          <w:rFonts w:ascii="Times New Roman" w:hAnsi="Times New Roman"/>
          <w:sz w:val="24"/>
        </w:rPr>
        <w:t xml:space="preserve"> </w:t>
      </w:r>
      <w:r w:rsidRPr="00537D1E">
        <w:rPr>
          <w:rFonts w:ascii="Times New Roman" w:hAnsi="Times New Roman"/>
          <w:sz w:val="24"/>
          <w:u w:color="0432FF"/>
        </w:rPr>
        <w:t>piden</w:t>
      </w:r>
      <w:r w:rsidRPr="00537D1E">
        <w:rPr>
          <w:rFonts w:ascii="Times New Roman" w:hAnsi="Times New Roman"/>
          <w:sz w:val="24"/>
        </w:rPr>
        <w:t xml:space="preserve"> “insertarse en temas de mayor perspectiva nacional, demanda que se articula con la oferta del </w:t>
      </w:r>
      <w:r w:rsidR="009C1B7F">
        <w:rPr>
          <w:rFonts w:ascii="Times New Roman" w:hAnsi="Times New Roman"/>
          <w:sz w:val="24"/>
        </w:rPr>
        <w:t>p</w:t>
      </w:r>
      <w:r w:rsidR="00A8200D" w:rsidRPr="00537D1E">
        <w:rPr>
          <w:rFonts w:ascii="Times New Roman" w:hAnsi="Times New Roman"/>
          <w:sz w:val="24"/>
        </w:rPr>
        <w:t>residente</w:t>
      </w:r>
      <w:r w:rsidRPr="00537D1E">
        <w:rPr>
          <w:rFonts w:ascii="Times New Roman" w:hAnsi="Times New Roman"/>
          <w:sz w:val="24"/>
        </w:rPr>
        <w:t xml:space="preserve"> de trabajar en obras que mejoren la calidad de vida de la población” (EACA, 2016).  De esta forma se propone la meta de alcanzar una cobertura de 95% de estos servicios </w:t>
      </w:r>
      <w:r w:rsidRPr="00537D1E">
        <w:rPr>
          <w:rFonts w:ascii="Times New Roman" w:hAnsi="Times New Roman"/>
          <w:sz w:val="24"/>
          <w:u w:color="0432FF"/>
        </w:rPr>
        <w:t>hasta el</w:t>
      </w:r>
      <w:r w:rsidRPr="00537D1E">
        <w:rPr>
          <w:rFonts w:ascii="Times New Roman" w:hAnsi="Times New Roman"/>
          <w:sz w:val="24"/>
          <w:lang w:val="pt-PT"/>
        </w:rPr>
        <w:t xml:space="preserve"> 2017. Esta meta</w:t>
      </w:r>
      <w:r w:rsidRPr="00537D1E">
        <w:rPr>
          <w:rFonts w:ascii="Times New Roman" w:hAnsi="Times New Roman"/>
          <w:sz w:val="24"/>
        </w:rPr>
        <w:t xml:space="preserve"> es incorporada en el Plan Nacional de Desarrollo (Plan Nacional del Buen Vivir), en donde se incluye como una de sus políticas el garantizar el acceso universal a estos servicios. Los acuerdos </w:t>
      </w:r>
      <w:r w:rsidRPr="00537D1E">
        <w:rPr>
          <w:rFonts w:ascii="Times New Roman" w:hAnsi="Times New Roman"/>
          <w:sz w:val="24"/>
          <w:u w:color="0432FF"/>
        </w:rPr>
        <w:t>que surgen en esta</w:t>
      </w:r>
      <w:r w:rsidRPr="00537D1E">
        <w:rPr>
          <w:rFonts w:ascii="Times New Roman" w:hAnsi="Times New Roman"/>
          <w:sz w:val="24"/>
        </w:rPr>
        <w:t xml:space="preserve"> primera red fortalecen el contexto ideacional </w:t>
      </w:r>
      <w:r w:rsidRPr="00537D1E">
        <w:rPr>
          <w:rFonts w:ascii="Times New Roman" w:hAnsi="Times New Roman"/>
          <w:sz w:val="24"/>
          <w:u w:color="0432FF"/>
        </w:rPr>
        <w:t>de la política</w:t>
      </w:r>
      <w:r w:rsidRPr="00537D1E">
        <w:rPr>
          <w:rFonts w:ascii="Times New Roman" w:hAnsi="Times New Roman"/>
          <w:sz w:val="24"/>
        </w:rPr>
        <w:t xml:space="preserve"> al incluir al agua y saneamiento dentro de la planificación nacional </w:t>
      </w:r>
      <w:r w:rsidRPr="00537D1E">
        <w:rPr>
          <w:rFonts w:ascii="Times New Roman" w:hAnsi="Times New Roman"/>
          <w:sz w:val="24"/>
          <w:u w:color="0432FF"/>
        </w:rPr>
        <w:t>con</w:t>
      </w:r>
      <w:r w:rsidRPr="00537D1E">
        <w:rPr>
          <w:rFonts w:ascii="Times New Roman" w:hAnsi="Times New Roman"/>
          <w:sz w:val="24"/>
        </w:rPr>
        <w:t xml:space="preserve"> cará</w:t>
      </w:r>
      <w:r w:rsidRPr="00537D1E">
        <w:rPr>
          <w:rFonts w:ascii="Times New Roman" w:hAnsi="Times New Roman"/>
          <w:sz w:val="24"/>
          <w:lang w:val="it-IT"/>
        </w:rPr>
        <w:t xml:space="preserve">cter obligatorio. </w:t>
      </w:r>
    </w:p>
    <w:p w:rsidR="00C04568" w:rsidRPr="00537D1E" w:rsidRDefault="00343082" w:rsidP="00537D1E">
      <w:pPr>
        <w:pStyle w:val="BodyA"/>
        <w:spacing w:line="240" w:lineRule="auto"/>
        <w:jc w:val="both"/>
        <w:rPr>
          <w:rFonts w:ascii="Times New Roman" w:eastAsia="Times New Roman" w:hAnsi="Times New Roman" w:cs="Times New Roman"/>
          <w:sz w:val="24"/>
        </w:rPr>
      </w:pPr>
      <w:r w:rsidRPr="00537D1E">
        <w:rPr>
          <w:rFonts w:ascii="Times New Roman" w:hAnsi="Times New Roman"/>
          <w:sz w:val="24"/>
        </w:rPr>
        <w:t xml:space="preserve">Debido al acuerdo entre la AME y el </w:t>
      </w:r>
      <w:r w:rsidR="009C1B7F">
        <w:rPr>
          <w:rFonts w:ascii="Times New Roman" w:hAnsi="Times New Roman"/>
          <w:sz w:val="24"/>
        </w:rPr>
        <w:t>p</w:t>
      </w:r>
      <w:r w:rsidR="00A8200D" w:rsidRPr="00537D1E">
        <w:rPr>
          <w:rFonts w:ascii="Times New Roman" w:hAnsi="Times New Roman"/>
          <w:sz w:val="24"/>
        </w:rPr>
        <w:t>residente</w:t>
      </w:r>
      <w:r w:rsidRPr="00537D1E">
        <w:rPr>
          <w:rFonts w:ascii="Times New Roman" w:hAnsi="Times New Roman"/>
          <w:sz w:val="24"/>
        </w:rPr>
        <w:t xml:space="preserve">, sumado a las limitaciones presupuestarias de los municipios para financiar obras de este tipo, el </w:t>
      </w:r>
      <w:r w:rsidR="009C1B7F">
        <w:rPr>
          <w:rFonts w:ascii="Times New Roman" w:hAnsi="Times New Roman"/>
          <w:sz w:val="24"/>
        </w:rPr>
        <w:t>p</w:t>
      </w:r>
      <w:r w:rsidR="00A8200D" w:rsidRPr="00537D1E">
        <w:rPr>
          <w:rFonts w:ascii="Times New Roman" w:hAnsi="Times New Roman"/>
          <w:sz w:val="24"/>
        </w:rPr>
        <w:t>residente</w:t>
      </w:r>
      <w:r w:rsidRPr="00537D1E">
        <w:rPr>
          <w:rFonts w:ascii="Times New Roman" w:hAnsi="Times New Roman"/>
          <w:sz w:val="24"/>
        </w:rPr>
        <w:t xml:space="preserve"> dispone al Banco del Estado contar con una estrategia de acceso al crédito que incluya un componente no reembolsable. Es así como se consolida </w:t>
      </w:r>
      <w:r w:rsidRPr="00537D1E">
        <w:rPr>
          <w:rFonts w:ascii="Times New Roman" w:hAnsi="Times New Roman"/>
          <w:sz w:val="24"/>
          <w:lang w:val="pt-PT"/>
        </w:rPr>
        <w:t>la segunda red de pol</w:t>
      </w:r>
      <w:r w:rsidRPr="00537D1E">
        <w:rPr>
          <w:rFonts w:ascii="Times New Roman" w:hAnsi="Times New Roman"/>
          <w:sz w:val="24"/>
        </w:rPr>
        <w:t>í</w:t>
      </w:r>
      <w:r w:rsidRPr="00537D1E">
        <w:rPr>
          <w:rFonts w:ascii="Times New Roman" w:hAnsi="Times New Roman"/>
          <w:sz w:val="24"/>
          <w:lang w:val="it-IT"/>
        </w:rPr>
        <w:t xml:space="preserve">tica </w:t>
      </w:r>
      <w:r w:rsidRPr="00537D1E">
        <w:rPr>
          <w:rFonts w:ascii="Times New Roman" w:hAnsi="Times New Roman"/>
          <w:i/>
          <w:iCs/>
          <w:sz w:val="24"/>
        </w:rPr>
        <w:t xml:space="preserve">Prosaneamiento, </w:t>
      </w:r>
      <w:r w:rsidRPr="00537D1E">
        <w:rPr>
          <w:rFonts w:ascii="Times New Roman" w:hAnsi="Times New Roman"/>
          <w:sz w:val="24"/>
        </w:rPr>
        <w:t>cuya idea programática es el “financiamiento” relacionado al cumplimiento de las metas nacionales y al cierre de brechas de cobertura. Así se integran varios programas crediticios, incluyendo un alto componente de subvenciones, y en</w:t>
      </w:r>
      <w:r w:rsidRPr="00537D1E">
        <w:rPr>
          <w:rFonts w:ascii="Times New Roman" w:hAnsi="Times New Roman"/>
          <w:sz w:val="24"/>
          <w:u w:color="FF0000"/>
        </w:rPr>
        <w:t xml:space="preserve"> el Enlace Ciudadano 325 se presenta Prosaneamiento, cuyo objetivo es “otorgar subsidios en función de una política pública donde el subsidio mínimo sea del 14% y el máximo del 92%” (BdE, 2013). La fijación de subsidios se realiza por cantón, en función de los niveles de desnutrición crónica, </w:t>
      </w:r>
      <w:r w:rsidR="00F95696">
        <w:rPr>
          <w:rFonts w:ascii="Times New Roman" w:hAnsi="Times New Roman"/>
          <w:sz w:val="24"/>
          <w:u w:color="FF0000"/>
        </w:rPr>
        <w:t xml:space="preserve">la </w:t>
      </w:r>
      <w:r w:rsidRPr="00537D1E">
        <w:rPr>
          <w:rFonts w:ascii="Times New Roman" w:hAnsi="Times New Roman"/>
          <w:sz w:val="24"/>
          <w:u w:color="FF0000"/>
        </w:rPr>
        <w:t xml:space="preserve">pobreza y el déficit para alcanzar el 95% de prestación de estos servicios básicos (BdE, 2013). Este instrumento consolida la política y produce relaciones en red </w:t>
      </w:r>
      <w:r w:rsidRPr="00537D1E">
        <w:rPr>
          <w:rFonts w:ascii="Times New Roman" w:hAnsi="Times New Roman"/>
          <w:sz w:val="24"/>
        </w:rPr>
        <w:t xml:space="preserve">al involucrar a las instituciones vinculadas con la canalización de recursos, otorgamiento de viabilidades y beneficiarios, estableciendo así un nuevo contexto estructural. Este programa otorga </w:t>
      </w:r>
      <w:r w:rsidRPr="00537D1E">
        <w:rPr>
          <w:rFonts w:ascii="Times New Roman" w:hAnsi="Times New Roman"/>
          <w:sz w:val="24"/>
          <w:lang w:val="it-IT"/>
        </w:rPr>
        <w:t>un protagonismo al B</w:t>
      </w:r>
      <w:r w:rsidR="005713FD" w:rsidRPr="00537D1E">
        <w:rPr>
          <w:rFonts w:ascii="Times New Roman" w:hAnsi="Times New Roman"/>
          <w:sz w:val="24"/>
          <w:lang w:val="it-IT"/>
        </w:rPr>
        <w:t>dE</w:t>
      </w:r>
      <w:r w:rsidRPr="00537D1E">
        <w:rPr>
          <w:rFonts w:ascii="Times New Roman" w:hAnsi="Times New Roman"/>
          <w:sz w:val="24"/>
        </w:rPr>
        <w:t xml:space="preserve"> sobre el resto de actores, reduciendo la problemática del agua y saneamiento al financiamiento, y dejando de lado temas como continuidad, cantidad y calidad de los servicios. El contexto ideacional se enmarca </w:t>
      </w:r>
      <w:r w:rsidRPr="00537D1E">
        <w:rPr>
          <w:rFonts w:ascii="Times New Roman" w:hAnsi="Times New Roman"/>
          <w:sz w:val="24"/>
          <w:u w:color="0432FF"/>
        </w:rPr>
        <w:t>alrededor de</w:t>
      </w:r>
      <w:r w:rsidRPr="00537D1E">
        <w:rPr>
          <w:rFonts w:ascii="Times New Roman" w:hAnsi="Times New Roman"/>
          <w:sz w:val="24"/>
        </w:rPr>
        <w:t xml:space="preserve"> las dificultades </w:t>
      </w:r>
      <w:r w:rsidR="00F95696">
        <w:rPr>
          <w:rFonts w:ascii="Times New Roman" w:hAnsi="Times New Roman"/>
          <w:sz w:val="24"/>
        </w:rPr>
        <w:t xml:space="preserve">de los GAD </w:t>
      </w:r>
      <w:r w:rsidRPr="00537D1E">
        <w:rPr>
          <w:rFonts w:ascii="Times New Roman" w:hAnsi="Times New Roman"/>
          <w:sz w:val="24"/>
          <w:u w:color="0432FF"/>
          <w:lang w:val="pt-PT"/>
        </w:rPr>
        <w:t>para</w:t>
      </w:r>
      <w:r w:rsidRPr="00537D1E">
        <w:rPr>
          <w:rFonts w:ascii="Times New Roman" w:hAnsi="Times New Roman"/>
          <w:sz w:val="24"/>
          <w:u w:color="0432FF"/>
        </w:rPr>
        <w:t xml:space="preserve"> </w:t>
      </w:r>
      <w:r w:rsidR="00F95696">
        <w:rPr>
          <w:rFonts w:ascii="Times New Roman" w:hAnsi="Times New Roman"/>
          <w:sz w:val="24"/>
          <w:lang w:val="it-IT"/>
        </w:rPr>
        <w:t>acceder</w:t>
      </w:r>
      <w:r w:rsidRPr="00537D1E">
        <w:rPr>
          <w:rFonts w:ascii="Times New Roman" w:hAnsi="Times New Roman"/>
          <w:sz w:val="24"/>
          <w:lang w:val="it-IT"/>
        </w:rPr>
        <w:t xml:space="preserve"> a</w:t>
      </w:r>
      <w:r w:rsidR="00F95696">
        <w:rPr>
          <w:rFonts w:ascii="Times New Roman" w:hAnsi="Times New Roman"/>
          <w:sz w:val="24"/>
          <w:lang w:val="it-IT"/>
        </w:rPr>
        <w:t xml:space="preserve"> </w:t>
      </w:r>
      <w:r w:rsidRPr="00537D1E">
        <w:rPr>
          <w:rFonts w:ascii="Times New Roman" w:hAnsi="Times New Roman"/>
          <w:sz w:val="24"/>
          <w:lang w:val="it-IT"/>
        </w:rPr>
        <w:t>l</w:t>
      </w:r>
      <w:r w:rsidR="00F95696">
        <w:rPr>
          <w:rFonts w:ascii="Times New Roman" w:hAnsi="Times New Roman"/>
          <w:sz w:val="24"/>
          <w:lang w:val="it-IT"/>
        </w:rPr>
        <w:t xml:space="preserve">íneas de crédito debido a sus bajos cupos de endeudamiento. </w:t>
      </w:r>
      <w:r w:rsidRPr="00537D1E">
        <w:rPr>
          <w:rFonts w:ascii="Times New Roman" w:hAnsi="Times New Roman"/>
          <w:sz w:val="24"/>
        </w:rPr>
        <w:t xml:space="preserve"> </w:t>
      </w:r>
    </w:p>
    <w:p w:rsidR="00C04568" w:rsidRPr="00537D1E" w:rsidRDefault="00343082" w:rsidP="00537D1E">
      <w:pPr>
        <w:pStyle w:val="BodyA"/>
        <w:spacing w:line="240" w:lineRule="auto"/>
        <w:jc w:val="both"/>
        <w:rPr>
          <w:rFonts w:ascii="Times New Roman" w:eastAsia="Times New Roman" w:hAnsi="Times New Roman" w:cs="Times New Roman"/>
          <w:color w:val="FF0000"/>
          <w:sz w:val="24"/>
          <w:u w:color="FF0000"/>
        </w:rPr>
      </w:pPr>
      <w:r w:rsidRPr="00537D1E">
        <w:rPr>
          <w:rFonts w:ascii="Times New Roman" w:hAnsi="Times New Roman"/>
          <w:sz w:val="24"/>
        </w:rPr>
        <w:t xml:space="preserve">La tercera red de política surge debido a los problemas que enfrentan los GAD y se crea la </w:t>
      </w:r>
      <w:r w:rsidRPr="00537D1E">
        <w:rPr>
          <w:rFonts w:ascii="Times New Roman" w:hAnsi="Times New Roman"/>
          <w:i/>
          <w:iCs/>
          <w:sz w:val="24"/>
          <w:lang w:val="it-IT"/>
        </w:rPr>
        <w:t>Alianza Estrat</w:t>
      </w:r>
      <w:r w:rsidRPr="00537D1E">
        <w:rPr>
          <w:rFonts w:ascii="Times New Roman" w:hAnsi="Times New Roman"/>
          <w:i/>
          <w:iCs/>
          <w:sz w:val="24"/>
        </w:rPr>
        <w:t>égica Municipal por el Agua</w:t>
      </w:r>
      <w:r w:rsidRPr="00537D1E">
        <w:rPr>
          <w:rFonts w:ascii="Times New Roman" w:hAnsi="Times New Roman"/>
          <w:sz w:val="24"/>
        </w:rPr>
        <w:t xml:space="preserve">, cuya idea programática era alcanzar una “gestión eficiente” </w:t>
      </w:r>
      <w:r w:rsidR="00651DFA">
        <w:rPr>
          <w:rFonts w:ascii="Times New Roman" w:hAnsi="Times New Roman"/>
          <w:sz w:val="24"/>
        </w:rPr>
        <w:t>mediante</w:t>
      </w:r>
      <w:r w:rsidRPr="00537D1E">
        <w:rPr>
          <w:rFonts w:ascii="Times New Roman" w:hAnsi="Times New Roman"/>
          <w:sz w:val="24"/>
        </w:rPr>
        <w:t xml:space="preserve"> el establecimiento de procesos más ágiles y del fortalecimiento de capacidades para el acceso al crédito y prestación de estos servicios. Esta red es liderada por la AME y en ella participan más de sesenta municipios con la finalidad de recibir asistencia técnica por parte de los GAD con las </w:t>
      </w:r>
      <w:r w:rsidRPr="00537D1E">
        <w:rPr>
          <w:rFonts w:ascii="Times New Roman" w:hAnsi="Times New Roman"/>
          <w:color w:val="000000" w:themeColor="text1"/>
          <w:sz w:val="24"/>
        </w:rPr>
        <w:t xml:space="preserve">mejores empresas de agua y saneamiento del país. </w:t>
      </w:r>
      <w:r w:rsidRPr="00537D1E">
        <w:rPr>
          <w:rFonts w:ascii="Times New Roman" w:hAnsi="Times New Roman"/>
          <w:color w:val="000000" w:themeColor="text1"/>
          <w:sz w:val="24"/>
          <w:u w:color="FF0000"/>
        </w:rPr>
        <w:t xml:space="preserve">En las elecciones de febrero de 2014, los alcaldes de los GAD que prestaban asistencia técnica no fueron reelectos, y hubo un cambio de autoridades en el resto de municipios. Las alcaldías de las ciudades más grandes del país </w:t>
      </w:r>
      <w:r w:rsidRPr="00537D1E">
        <w:rPr>
          <w:rFonts w:ascii="Times New Roman" w:hAnsi="Times New Roman"/>
          <w:color w:val="000000" w:themeColor="text1"/>
          <w:sz w:val="24"/>
          <w:u w:color="FF0000"/>
        </w:rPr>
        <w:lastRenderedPageBreak/>
        <w:t xml:space="preserve">fueron ganadas por movimientos de oposición al partido de gobierno, presentando una amplia gama de ideologías y tendencias políticas. Como consecuencia de los resultados de las elecciones secciones esta alianza se desintegra ocasionando la disolución de la red conformada. </w:t>
      </w:r>
    </w:p>
    <w:p w:rsidR="00C04568" w:rsidRPr="00537D1E" w:rsidRDefault="00343082" w:rsidP="00537D1E">
      <w:pPr>
        <w:pStyle w:val="BodyA"/>
        <w:spacing w:line="240" w:lineRule="auto"/>
        <w:jc w:val="both"/>
        <w:rPr>
          <w:rFonts w:ascii="Times New Roman" w:eastAsia="Times New Roman" w:hAnsi="Times New Roman" w:cs="Times New Roman"/>
          <w:sz w:val="24"/>
          <w:lang w:val="pt-PT"/>
        </w:rPr>
      </w:pPr>
      <w:r w:rsidRPr="00537D1E">
        <w:rPr>
          <w:rFonts w:ascii="Times New Roman" w:hAnsi="Times New Roman"/>
          <w:sz w:val="24"/>
          <w:lang w:val="pt-PT"/>
        </w:rPr>
        <w:t>Redes 2014:</w:t>
      </w:r>
    </w:p>
    <w:p w:rsidR="00C04568" w:rsidRPr="00537D1E" w:rsidRDefault="00343082" w:rsidP="00537D1E">
      <w:pPr>
        <w:pStyle w:val="BodyA"/>
        <w:spacing w:line="240" w:lineRule="auto"/>
        <w:jc w:val="both"/>
        <w:rPr>
          <w:rFonts w:ascii="Times New Roman" w:eastAsia="Times New Roman" w:hAnsi="Times New Roman" w:cs="Times New Roman"/>
          <w:sz w:val="24"/>
          <w:u w:color="FF0000"/>
        </w:rPr>
      </w:pPr>
      <w:r w:rsidRPr="00537D1E">
        <w:rPr>
          <w:rFonts w:ascii="Times New Roman" w:hAnsi="Times New Roman"/>
          <w:sz w:val="24"/>
          <w:lang w:val="pt-PT"/>
        </w:rPr>
        <w:t xml:space="preserve">En términos estructurales, </w:t>
      </w:r>
      <w:r w:rsidRPr="00537D1E">
        <w:rPr>
          <w:rFonts w:ascii="Times New Roman" w:hAnsi="Times New Roman"/>
          <w:sz w:val="24"/>
        </w:rPr>
        <w:t>la Secretaría Nacional de Agua (SENAGUA) asume la rectoría de la política de agua y saneamiento en lugar del Ministerio de Desarrollo Urbano y Vivienda (MIDUVI). Mientras que en términos ideacionales se fortalece el cumplimiento de las metas nacionales y el cierre de brechas de cobertura</w:t>
      </w:r>
      <w:r w:rsidR="004C2B27">
        <w:rPr>
          <w:rFonts w:ascii="Times New Roman" w:hAnsi="Times New Roman"/>
          <w:sz w:val="24"/>
        </w:rPr>
        <w:t xml:space="preserve"> </w:t>
      </w:r>
      <w:r w:rsidR="00BD5857">
        <w:rPr>
          <w:rFonts w:ascii="Times New Roman" w:hAnsi="Times New Roman"/>
          <w:sz w:val="24"/>
        </w:rPr>
        <w:t xml:space="preserve">en el marco de </w:t>
      </w:r>
      <w:r w:rsidR="004C2B27">
        <w:rPr>
          <w:rFonts w:ascii="Times New Roman" w:hAnsi="Times New Roman"/>
          <w:sz w:val="24"/>
        </w:rPr>
        <w:t xml:space="preserve"> la Estrategia para la Igualdad y la Erradicación de la Pobreza (SENPLADES, 2014d). </w:t>
      </w:r>
      <w:r w:rsidRPr="00537D1E">
        <w:rPr>
          <w:rFonts w:ascii="Times New Roman" w:hAnsi="Times New Roman"/>
          <w:sz w:val="24"/>
        </w:rPr>
        <w:t>Con este telón de fondo, la Secretaría Técnica para la Erradicación de la Pobreza (SETEP) junto con la Secretaría Nacional de Planificación y Desarrollo (SENPLADES) lidera la cuarta red de polí</w:t>
      </w:r>
      <w:r w:rsidRPr="00537D1E">
        <w:rPr>
          <w:rFonts w:ascii="Times New Roman" w:hAnsi="Times New Roman"/>
          <w:sz w:val="24"/>
          <w:lang w:val="it-IT"/>
        </w:rPr>
        <w:t xml:space="preserve">tica: </w:t>
      </w:r>
      <w:r w:rsidR="00930DC3">
        <w:rPr>
          <w:rFonts w:ascii="Times New Roman" w:hAnsi="Times New Roman"/>
          <w:i/>
          <w:iCs/>
          <w:sz w:val="24"/>
          <w:lang w:val="it-IT"/>
        </w:rPr>
        <w:t>P</w:t>
      </w:r>
      <w:r w:rsidRPr="00537D1E">
        <w:rPr>
          <w:rFonts w:ascii="Times New Roman" w:hAnsi="Times New Roman"/>
          <w:i/>
          <w:iCs/>
          <w:sz w:val="24"/>
        </w:rPr>
        <w:t>ropuesta interinstitucional</w:t>
      </w:r>
      <w:r w:rsidRPr="00537D1E">
        <w:rPr>
          <w:rFonts w:ascii="Times New Roman" w:hAnsi="Times New Roman"/>
          <w:sz w:val="24"/>
        </w:rPr>
        <w:t xml:space="preserve"> para la ampliación de la cobertura de estos servicios y moviliza sus ideas en relación con “cobertura, gestión y calidad” (SENPLADES, 2014b). En torno a esta propuesta se crean redes de polí</w:t>
      </w:r>
      <w:r w:rsidRPr="00537D1E">
        <w:rPr>
          <w:rFonts w:ascii="Times New Roman" w:hAnsi="Times New Roman"/>
          <w:sz w:val="24"/>
          <w:lang w:val="it-IT"/>
        </w:rPr>
        <w:t>tica m</w:t>
      </w:r>
      <w:r w:rsidRPr="00537D1E">
        <w:rPr>
          <w:rFonts w:ascii="Times New Roman" w:hAnsi="Times New Roman"/>
          <w:sz w:val="24"/>
        </w:rPr>
        <w:t>ás amplias que incorporan entidades relacionadas con la planificación nacional, el sector social y el sector financiero. Por tanto, el contexto estructural se modifica al incluir a más actores en relación con el período 2008-2013. Esta red plantea la necesidad de reducir los tiempos para la aprobación de los proyectos de inversión y establecer facilidades crediticias para los GAD con las mayores carencias. El B</w:t>
      </w:r>
      <w:r w:rsidR="005713FD" w:rsidRPr="00537D1E">
        <w:rPr>
          <w:rFonts w:ascii="Times New Roman" w:hAnsi="Times New Roman"/>
          <w:sz w:val="24"/>
        </w:rPr>
        <w:t xml:space="preserve">dE </w:t>
      </w:r>
      <w:r w:rsidRPr="00537D1E">
        <w:rPr>
          <w:rFonts w:ascii="Times New Roman" w:hAnsi="Times New Roman"/>
          <w:sz w:val="24"/>
        </w:rPr>
        <w:t xml:space="preserve">se opone a esta red, sosteniendo que los GAD deben cumplir todas las condiciones para el acceso al crédito, entre las que se destaca su disponibilidad de cupo de endeudamiento y su capacidad de pago. </w:t>
      </w:r>
    </w:p>
    <w:p w:rsidR="00C04568" w:rsidRPr="00537D1E" w:rsidRDefault="00343082" w:rsidP="00537D1E">
      <w:pPr>
        <w:pStyle w:val="BodyA"/>
        <w:spacing w:line="240" w:lineRule="auto"/>
        <w:jc w:val="both"/>
        <w:rPr>
          <w:rFonts w:ascii="Times New Roman" w:eastAsia="Times New Roman" w:hAnsi="Times New Roman" w:cs="Times New Roman"/>
          <w:color w:val="FF0000"/>
          <w:sz w:val="24"/>
          <w:u w:color="FF0000"/>
        </w:rPr>
      </w:pPr>
      <w:r w:rsidRPr="00537D1E">
        <w:rPr>
          <w:rFonts w:ascii="Times New Roman" w:hAnsi="Times New Roman"/>
          <w:sz w:val="24"/>
          <w:u w:color="FF0000"/>
        </w:rPr>
        <w:t xml:space="preserve">En el mismo año </w:t>
      </w:r>
      <w:r w:rsidRPr="00537D1E">
        <w:rPr>
          <w:rFonts w:ascii="Times New Roman" w:hAnsi="Times New Roman"/>
          <w:sz w:val="24"/>
        </w:rPr>
        <w:t>se conforma la quinta red de polí</w:t>
      </w:r>
      <w:r w:rsidRPr="00537D1E">
        <w:rPr>
          <w:rFonts w:ascii="Times New Roman" w:hAnsi="Times New Roman"/>
          <w:sz w:val="24"/>
          <w:lang w:val="it-IT"/>
        </w:rPr>
        <w:t xml:space="preserve">tica </w:t>
      </w:r>
      <w:r w:rsidRPr="00537D1E">
        <w:rPr>
          <w:rFonts w:ascii="Times New Roman" w:hAnsi="Times New Roman"/>
          <w:i/>
          <w:iCs/>
          <w:sz w:val="24"/>
        </w:rPr>
        <w:t xml:space="preserve">Cambio de metas. </w:t>
      </w:r>
      <w:r w:rsidRPr="00537D1E">
        <w:rPr>
          <w:rFonts w:ascii="Times New Roman" w:hAnsi="Times New Roman"/>
          <w:sz w:val="24"/>
        </w:rPr>
        <w:t xml:space="preserve">Esta red surge por la imposibilidad de cumplimiento de las metas anteriormente establecidas debido a la poca capacidad instalada en el país y a que los tiempos de construcción van a sobrepasar el límite del año 2017. Por estas razones se modifica a la baja la meta de cobertura de agua a nivel nacional, y se pasa de una meta de cobertura del 95% </w:t>
      </w:r>
      <w:r w:rsidRPr="00537D1E">
        <w:rPr>
          <w:rFonts w:ascii="Times New Roman" w:hAnsi="Times New Roman"/>
          <w:sz w:val="24"/>
          <w:u w:color="0432FF"/>
        </w:rPr>
        <w:t xml:space="preserve">a </w:t>
      </w:r>
      <w:r w:rsidRPr="00537D1E">
        <w:rPr>
          <w:rFonts w:ascii="Times New Roman" w:hAnsi="Times New Roman"/>
          <w:sz w:val="24"/>
          <w:lang w:val="pt-PT"/>
        </w:rPr>
        <w:t xml:space="preserve">una </w:t>
      </w:r>
      <w:r w:rsidRPr="00537D1E">
        <w:rPr>
          <w:rFonts w:ascii="Times New Roman" w:hAnsi="Times New Roman"/>
          <w:sz w:val="24"/>
        </w:rPr>
        <w:t>del 83% (SENPLADES, 2014c). Este cambio de metas es liderado por SETEP, SENPLADES y el B</w:t>
      </w:r>
      <w:r w:rsidR="00651DFA">
        <w:rPr>
          <w:rFonts w:ascii="Times New Roman" w:hAnsi="Times New Roman"/>
          <w:sz w:val="24"/>
        </w:rPr>
        <w:t>dE</w:t>
      </w:r>
      <w:r w:rsidRPr="00537D1E">
        <w:rPr>
          <w:rFonts w:ascii="Times New Roman" w:hAnsi="Times New Roman"/>
          <w:sz w:val="24"/>
        </w:rPr>
        <w:t>, desplazando el rol de SENAGUA como rectora de la política de agua y saneamiento.</w:t>
      </w:r>
    </w:p>
    <w:p w:rsidR="00C04568" w:rsidRPr="00537D1E" w:rsidRDefault="00343082" w:rsidP="00537D1E">
      <w:pPr>
        <w:pStyle w:val="BodyA"/>
        <w:spacing w:line="240" w:lineRule="auto"/>
        <w:jc w:val="both"/>
        <w:rPr>
          <w:rFonts w:ascii="Times New Roman" w:eastAsia="Times New Roman" w:hAnsi="Times New Roman" w:cs="Times New Roman"/>
          <w:sz w:val="24"/>
        </w:rPr>
      </w:pPr>
      <w:r w:rsidRPr="00537D1E">
        <w:rPr>
          <w:rFonts w:ascii="Times New Roman" w:hAnsi="Times New Roman"/>
          <w:sz w:val="24"/>
          <w:u w:color="FF0000"/>
        </w:rPr>
        <w:t xml:space="preserve">Finalmente, se crea la </w:t>
      </w:r>
      <w:r w:rsidRPr="00537D1E">
        <w:rPr>
          <w:rFonts w:ascii="Times New Roman" w:hAnsi="Times New Roman"/>
          <w:sz w:val="24"/>
          <w:u w:color="0432FF"/>
        </w:rPr>
        <w:t>sexta</w:t>
      </w:r>
      <w:r w:rsidRPr="00537D1E">
        <w:rPr>
          <w:rFonts w:ascii="Times New Roman" w:hAnsi="Times New Roman"/>
          <w:sz w:val="24"/>
        </w:rPr>
        <w:t xml:space="preserve"> red de política en junio de 2014 entre el B</w:t>
      </w:r>
      <w:r w:rsidR="008E438C" w:rsidRPr="00537D1E">
        <w:rPr>
          <w:rFonts w:ascii="Times New Roman" w:hAnsi="Times New Roman"/>
          <w:sz w:val="24"/>
        </w:rPr>
        <w:t>dE</w:t>
      </w:r>
      <w:r w:rsidRPr="00537D1E">
        <w:rPr>
          <w:rFonts w:ascii="Times New Roman" w:hAnsi="Times New Roman"/>
          <w:sz w:val="24"/>
        </w:rPr>
        <w:t>, el Ministerio de Eco</w:t>
      </w:r>
      <w:r w:rsidR="008E438C" w:rsidRPr="00537D1E">
        <w:rPr>
          <w:rFonts w:ascii="Times New Roman" w:hAnsi="Times New Roman"/>
          <w:sz w:val="24"/>
        </w:rPr>
        <w:t xml:space="preserve">nomía y Finanzas (MEF) y el </w:t>
      </w:r>
      <w:r w:rsidR="00A8200D" w:rsidRPr="00537D1E">
        <w:rPr>
          <w:rFonts w:ascii="Times New Roman" w:hAnsi="Times New Roman"/>
          <w:sz w:val="24"/>
        </w:rPr>
        <w:t>presidente</w:t>
      </w:r>
      <w:r w:rsidRPr="00537D1E">
        <w:rPr>
          <w:rFonts w:ascii="Times New Roman" w:hAnsi="Times New Roman"/>
          <w:sz w:val="24"/>
        </w:rPr>
        <w:t xml:space="preserve">. Esta nueva red propone como idea programática la “eliminación de los subsidios” destinados al financiamiento de competencias que no le correspondan al gobierno central. Esta decisión es comunicada por el </w:t>
      </w:r>
      <w:r w:rsidR="00A8200D" w:rsidRPr="00537D1E">
        <w:rPr>
          <w:rFonts w:ascii="Times New Roman" w:hAnsi="Times New Roman"/>
          <w:sz w:val="24"/>
        </w:rPr>
        <w:t>presidente</w:t>
      </w:r>
      <w:r w:rsidRPr="00537D1E">
        <w:rPr>
          <w:rFonts w:ascii="Times New Roman" w:hAnsi="Times New Roman"/>
          <w:sz w:val="24"/>
        </w:rPr>
        <w:t xml:space="preserve"> a través del Enlace Ciudadano 378, en donde presenta un análisis  histórico de la entrega de subsidios desde el B</w:t>
      </w:r>
      <w:r w:rsidR="008E438C" w:rsidRPr="00537D1E">
        <w:rPr>
          <w:rFonts w:ascii="Times New Roman" w:hAnsi="Times New Roman"/>
          <w:sz w:val="24"/>
        </w:rPr>
        <w:t>dE</w:t>
      </w:r>
      <w:r w:rsidRPr="00537D1E">
        <w:rPr>
          <w:rFonts w:ascii="Times New Roman" w:hAnsi="Times New Roman"/>
          <w:sz w:val="24"/>
        </w:rPr>
        <w:t xml:space="preserve">. En el periodo 2000-2006 (anterior a su gobierno) se entregan </w:t>
      </w:r>
      <w:r w:rsidR="00601550">
        <w:rPr>
          <w:rFonts w:ascii="Times New Roman" w:hAnsi="Times New Roman"/>
          <w:sz w:val="24"/>
        </w:rPr>
        <w:t xml:space="preserve">USD </w:t>
      </w:r>
      <w:r w:rsidRPr="00537D1E">
        <w:rPr>
          <w:rFonts w:ascii="Times New Roman" w:hAnsi="Times New Roman"/>
          <w:sz w:val="24"/>
        </w:rPr>
        <w:t>434 millones con un total de 10% en subsidios (</w:t>
      </w:r>
      <w:r w:rsidR="00601550">
        <w:rPr>
          <w:rFonts w:ascii="Times New Roman" w:hAnsi="Times New Roman"/>
          <w:sz w:val="24"/>
        </w:rPr>
        <w:t xml:space="preserve">USD </w:t>
      </w:r>
      <w:r w:rsidRPr="00537D1E">
        <w:rPr>
          <w:rFonts w:ascii="Times New Roman" w:hAnsi="Times New Roman"/>
          <w:sz w:val="24"/>
        </w:rPr>
        <w:t xml:space="preserve">41 millones), mientras que en la gestión de su gobierno 2007-2014 se entregan </w:t>
      </w:r>
      <w:r w:rsidR="00601550">
        <w:rPr>
          <w:rFonts w:ascii="Times New Roman" w:hAnsi="Times New Roman"/>
          <w:sz w:val="24"/>
        </w:rPr>
        <w:t xml:space="preserve">USD </w:t>
      </w:r>
      <w:r w:rsidRPr="00537D1E">
        <w:rPr>
          <w:rFonts w:ascii="Times New Roman" w:hAnsi="Times New Roman"/>
          <w:sz w:val="24"/>
        </w:rPr>
        <w:t>3.540 millones con un total del 46% en subsidios (</w:t>
      </w:r>
      <w:r w:rsidR="00601550">
        <w:rPr>
          <w:rFonts w:ascii="Times New Roman" w:hAnsi="Times New Roman"/>
          <w:sz w:val="24"/>
        </w:rPr>
        <w:t xml:space="preserve">USD </w:t>
      </w:r>
      <w:r w:rsidRPr="00537D1E">
        <w:rPr>
          <w:rFonts w:ascii="Times New Roman" w:hAnsi="Times New Roman"/>
          <w:sz w:val="24"/>
        </w:rPr>
        <w:t xml:space="preserve">1.625 millones) para competencias que no son del gobierno central. Esto implica, en palabras del </w:t>
      </w:r>
      <w:r w:rsidR="009C1B7F">
        <w:rPr>
          <w:rFonts w:ascii="Times New Roman" w:hAnsi="Times New Roman"/>
          <w:sz w:val="24"/>
        </w:rPr>
        <w:t>p</w:t>
      </w:r>
      <w:r w:rsidR="00A8200D" w:rsidRPr="00537D1E">
        <w:rPr>
          <w:rFonts w:ascii="Times New Roman" w:hAnsi="Times New Roman"/>
          <w:sz w:val="24"/>
        </w:rPr>
        <w:t>residente</w:t>
      </w:r>
      <w:r w:rsidRPr="00537D1E">
        <w:rPr>
          <w:rFonts w:ascii="Times New Roman" w:hAnsi="Times New Roman"/>
          <w:sz w:val="24"/>
        </w:rPr>
        <w:t xml:space="preserve">, que “no existe verdadera autonomía, porque la mayor parte del financiamiento para los municipios y prefecturas llega a través de transferencias del gobierno central […] yo no puedo estar pagando competencias que no son nuestras, mientras yo no puedo cumplir con nuestras competencias y obligaciones” </w:t>
      </w:r>
      <w:r w:rsidRPr="00537D1E">
        <w:rPr>
          <w:rFonts w:ascii="Times New Roman" w:hAnsi="Times New Roman"/>
          <w:sz w:val="24"/>
          <w:lang w:val="de-DE"/>
        </w:rPr>
        <w:t xml:space="preserve">(BdE, 2014). Con este argumento, el </w:t>
      </w:r>
      <w:r w:rsidR="009C1B7F">
        <w:rPr>
          <w:rFonts w:ascii="Times New Roman" w:hAnsi="Times New Roman"/>
          <w:sz w:val="24"/>
          <w:lang w:val="de-DE"/>
        </w:rPr>
        <w:t>p</w:t>
      </w:r>
      <w:r w:rsidR="00A8200D" w:rsidRPr="00537D1E">
        <w:rPr>
          <w:rFonts w:ascii="Times New Roman" w:hAnsi="Times New Roman"/>
          <w:sz w:val="24"/>
          <w:lang w:val="de-DE"/>
        </w:rPr>
        <w:t>residente</w:t>
      </w:r>
      <w:r w:rsidRPr="00537D1E">
        <w:rPr>
          <w:rFonts w:ascii="Times New Roman" w:hAnsi="Times New Roman"/>
          <w:sz w:val="24"/>
          <w:lang w:val="de-DE"/>
        </w:rPr>
        <w:t xml:space="preserve"> decide fundamentar su propuesta de eliminar los subsidios a los GAD y anuncia una reingeniería </w:t>
      </w:r>
      <w:r w:rsidRPr="00537D1E">
        <w:rPr>
          <w:rFonts w:ascii="Times New Roman" w:hAnsi="Times New Roman"/>
          <w:sz w:val="24"/>
        </w:rPr>
        <w:t xml:space="preserve">para la ampliación al doble de tiempo para los plazos de los GAD y para </w:t>
      </w:r>
      <w:r w:rsidRPr="00537D1E">
        <w:rPr>
          <w:rFonts w:ascii="Times New Roman" w:hAnsi="Times New Roman"/>
          <w:sz w:val="24"/>
        </w:rPr>
        <w:lastRenderedPageBreak/>
        <w:t>triplicar su capacidad de endeudamiento, a modo de compensación por la eliminación de los subsidios a algunas líneas de crédito.</w:t>
      </w:r>
      <w:r w:rsidRPr="00537D1E">
        <w:rPr>
          <w:rFonts w:ascii="Times New Roman" w:hAnsi="Times New Roman"/>
          <w:color w:val="0432FF"/>
          <w:sz w:val="24"/>
          <w:u w:color="0432FF"/>
        </w:rPr>
        <w:t xml:space="preserve"> </w:t>
      </w:r>
      <w:r w:rsidRPr="00537D1E">
        <w:rPr>
          <w:rFonts w:ascii="Times New Roman" w:hAnsi="Times New Roman"/>
          <w:sz w:val="24"/>
          <w:u w:color="0432FF"/>
        </w:rPr>
        <w:t>Con</w:t>
      </w:r>
      <w:r w:rsidRPr="00537D1E">
        <w:rPr>
          <w:rFonts w:ascii="Times New Roman" w:hAnsi="Times New Roman"/>
          <w:sz w:val="24"/>
        </w:rPr>
        <w:t xml:space="preserve"> estas declaraciones,</w:t>
      </w:r>
      <w:r w:rsidRPr="00537D1E">
        <w:rPr>
          <w:rFonts w:ascii="Times New Roman" w:hAnsi="Times New Roman"/>
          <w:sz w:val="24"/>
          <w:u w:color="0432FF"/>
          <w:lang w:val="pt-PT"/>
        </w:rPr>
        <w:t xml:space="preserve"> se anunci</w:t>
      </w:r>
      <w:r w:rsidRPr="00537D1E">
        <w:rPr>
          <w:rFonts w:ascii="Times New Roman" w:hAnsi="Times New Roman"/>
          <w:sz w:val="24"/>
          <w:u w:color="0432FF"/>
        </w:rPr>
        <w:t>an los cambios para el acceso a créditos otorgados por el B</w:t>
      </w:r>
      <w:r w:rsidR="00651DFA">
        <w:rPr>
          <w:rFonts w:ascii="Times New Roman" w:hAnsi="Times New Roman"/>
          <w:sz w:val="24"/>
          <w:u w:color="0432FF"/>
        </w:rPr>
        <w:t>dE</w:t>
      </w:r>
      <w:r w:rsidRPr="00537D1E">
        <w:rPr>
          <w:rFonts w:ascii="Times New Roman" w:hAnsi="Times New Roman"/>
          <w:sz w:val="24"/>
          <w:u w:color="0432FF"/>
        </w:rPr>
        <w:t xml:space="preserve"> que terminan modificando la política</w:t>
      </w:r>
      <w:r w:rsidRPr="00537D1E">
        <w:rPr>
          <w:rFonts w:ascii="Times New Roman" w:hAnsi="Times New Roman"/>
          <w:sz w:val="24"/>
        </w:rPr>
        <w:t xml:space="preserve"> de agua y saneamiento, al cambiar las características de Pro</w:t>
      </w:r>
      <w:r w:rsidR="00555836" w:rsidRPr="00537D1E">
        <w:rPr>
          <w:rFonts w:ascii="Times New Roman" w:hAnsi="Times New Roman"/>
          <w:sz w:val="24"/>
        </w:rPr>
        <w:t xml:space="preserve">saneamiento </w:t>
      </w:r>
      <w:r w:rsidR="00651DFA">
        <w:rPr>
          <w:rFonts w:ascii="Times New Roman" w:hAnsi="Times New Roman"/>
          <w:sz w:val="24"/>
        </w:rPr>
        <w:t>(Tabla 2)</w:t>
      </w:r>
      <w:r w:rsidRPr="00537D1E">
        <w:rPr>
          <w:rFonts w:ascii="Times New Roman" w:hAnsi="Times New Roman"/>
          <w:sz w:val="24"/>
        </w:rPr>
        <w:t xml:space="preserve">. </w:t>
      </w:r>
    </w:p>
    <w:p w:rsidR="00C04568" w:rsidRPr="00537D1E" w:rsidRDefault="000029AD">
      <w:pPr>
        <w:pStyle w:val="Epgrafe"/>
        <w:jc w:val="center"/>
        <w:rPr>
          <w:rFonts w:ascii="Times New Roman" w:eastAsia="Times New Roman" w:hAnsi="Times New Roman" w:cs="Times New Roman"/>
          <w:color w:val="000000"/>
          <w:sz w:val="24"/>
          <w:szCs w:val="24"/>
          <w:u w:color="000000"/>
        </w:rPr>
      </w:pPr>
      <w:r w:rsidRPr="00537D1E">
        <w:rPr>
          <w:rFonts w:ascii="Times New Roman" w:hAnsi="Times New Roman"/>
          <w:color w:val="000000"/>
          <w:sz w:val="24"/>
          <w:szCs w:val="24"/>
          <w:u w:color="000000"/>
        </w:rPr>
        <w:t>Tabla</w:t>
      </w:r>
      <w:r w:rsidR="00343082" w:rsidRPr="00537D1E">
        <w:rPr>
          <w:rFonts w:ascii="Times New Roman" w:hAnsi="Times New Roman"/>
          <w:color w:val="000000"/>
          <w:sz w:val="24"/>
          <w:szCs w:val="24"/>
          <w:u w:color="000000"/>
        </w:rPr>
        <w:t xml:space="preserve"> </w:t>
      </w:r>
      <w:r w:rsidR="00125F20" w:rsidRPr="00537D1E">
        <w:rPr>
          <w:rFonts w:ascii="Times New Roman" w:hAnsi="Times New Roman"/>
          <w:color w:val="000000"/>
          <w:sz w:val="24"/>
          <w:szCs w:val="24"/>
          <w:u w:color="000000"/>
        </w:rPr>
        <w:t>2</w:t>
      </w:r>
      <w:r w:rsidR="00343082" w:rsidRPr="00537D1E">
        <w:rPr>
          <w:rFonts w:ascii="Times New Roman" w:hAnsi="Times New Roman"/>
          <w:color w:val="000000"/>
          <w:sz w:val="24"/>
          <w:szCs w:val="24"/>
          <w:u w:color="000000"/>
        </w:rPr>
        <w:t>. Condiciones de</w:t>
      </w:r>
      <w:r w:rsidR="00F62838">
        <w:rPr>
          <w:rFonts w:ascii="Times New Roman" w:hAnsi="Times New Roman"/>
          <w:color w:val="000000"/>
          <w:sz w:val="24"/>
          <w:szCs w:val="24"/>
          <w:u w:color="000000"/>
        </w:rPr>
        <w:t xml:space="preserve"> </w:t>
      </w:r>
      <w:r w:rsidR="00343082" w:rsidRPr="00537D1E">
        <w:rPr>
          <w:rFonts w:ascii="Times New Roman" w:hAnsi="Times New Roman"/>
          <w:color w:val="000000"/>
          <w:sz w:val="24"/>
          <w:szCs w:val="24"/>
          <w:u w:color="000000"/>
        </w:rPr>
        <w:t>Prosaneamiento</w:t>
      </w:r>
    </w:p>
    <w:tbl>
      <w:tblPr>
        <w:tblStyle w:val="TableNormal1"/>
        <w:tblW w:w="8498" w:type="dxa"/>
        <w:jc w:val="center"/>
        <w:tblLayout w:type="fixed"/>
        <w:tblLook w:val="04A0" w:firstRow="1" w:lastRow="0" w:firstColumn="1" w:lastColumn="0" w:noHBand="0" w:noVBand="1"/>
      </w:tblPr>
      <w:tblGrid>
        <w:gridCol w:w="1470"/>
        <w:gridCol w:w="3350"/>
        <w:gridCol w:w="3678"/>
      </w:tblGrid>
      <w:tr w:rsidR="00C04568" w:rsidRPr="00115B91" w:rsidTr="00852773">
        <w:trPr>
          <w:trHeight w:val="302"/>
          <w:jc w:val="center"/>
        </w:trPr>
        <w:tc>
          <w:tcPr>
            <w:tcW w:w="1470"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115B91" w:rsidRDefault="00343082" w:rsidP="00601550">
            <w:pPr>
              <w:pStyle w:val="BodyA"/>
              <w:spacing w:after="0" w:line="240" w:lineRule="auto"/>
              <w:jc w:val="center"/>
            </w:pPr>
            <w:r w:rsidRPr="00115B91">
              <w:rPr>
                <w:rFonts w:ascii="Times New Roman" w:hAnsi="Times New Roman"/>
                <w:szCs w:val="20"/>
              </w:rPr>
              <w:t>Características</w:t>
            </w:r>
          </w:p>
        </w:tc>
        <w:tc>
          <w:tcPr>
            <w:tcW w:w="3350"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115B91" w:rsidRDefault="00343082" w:rsidP="00601550">
            <w:pPr>
              <w:pStyle w:val="BodyA"/>
              <w:spacing w:after="0" w:line="240" w:lineRule="auto"/>
              <w:jc w:val="center"/>
            </w:pPr>
            <w:r w:rsidRPr="00115B91">
              <w:rPr>
                <w:rFonts w:ascii="Times New Roman" w:hAnsi="Times New Roman"/>
                <w:szCs w:val="20"/>
              </w:rPr>
              <w:t>Condiciones iniciales</w:t>
            </w:r>
          </w:p>
        </w:tc>
        <w:tc>
          <w:tcPr>
            <w:tcW w:w="3678"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115B91" w:rsidRDefault="00343082" w:rsidP="00601550">
            <w:pPr>
              <w:pStyle w:val="BodyA"/>
              <w:spacing w:after="0" w:line="240" w:lineRule="auto"/>
              <w:jc w:val="center"/>
            </w:pPr>
            <w:r w:rsidRPr="00115B91">
              <w:rPr>
                <w:rFonts w:ascii="Times New Roman" w:hAnsi="Times New Roman"/>
                <w:szCs w:val="20"/>
              </w:rPr>
              <w:t>Condiciones finales</w:t>
            </w:r>
          </w:p>
        </w:tc>
      </w:tr>
      <w:tr w:rsidR="00C04568" w:rsidRPr="00115B91" w:rsidTr="00852773">
        <w:trPr>
          <w:trHeight w:val="403"/>
          <w:jc w:val="center"/>
        </w:trPr>
        <w:tc>
          <w:tcPr>
            <w:tcW w:w="1470"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115B91" w:rsidRDefault="00343082">
            <w:pPr>
              <w:pStyle w:val="BodyA"/>
              <w:spacing w:after="0" w:line="240" w:lineRule="auto"/>
              <w:jc w:val="both"/>
            </w:pPr>
            <w:r w:rsidRPr="00115B91">
              <w:rPr>
                <w:rFonts w:ascii="Times New Roman" w:hAnsi="Times New Roman"/>
                <w:szCs w:val="20"/>
              </w:rPr>
              <w:t>Preinversión</w:t>
            </w:r>
          </w:p>
        </w:tc>
        <w:tc>
          <w:tcPr>
            <w:tcW w:w="3350"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115B91" w:rsidRDefault="00343082">
            <w:pPr>
              <w:pStyle w:val="BodyA"/>
              <w:spacing w:after="0" w:line="240" w:lineRule="auto"/>
            </w:pPr>
            <w:r w:rsidRPr="00115B91">
              <w:rPr>
                <w:rFonts w:ascii="Times New Roman" w:hAnsi="Times New Roman"/>
                <w:szCs w:val="20"/>
              </w:rPr>
              <w:t>Financiamiento no reembolsable del 100%</w:t>
            </w:r>
          </w:p>
        </w:tc>
        <w:tc>
          <w:tcPr>
            <w:tcW w:w="3678"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115B91" w:rsidRDefault="00343082">
            <w:pPr>
              <w:pStyle w:val="BodyA"/>
              <w:spacing w:after="0" w:line="240" w:lineRule="auto"/>
            </w:pPr>
            <w:r w:rsidRPr="00115B91">
              <w:rPr>
                <w:rFonts w:ascii="Times New Roman" w:hAnsi="Times New Roman"/>
                <w:szCs w:val="20"/>
              </w:rPr>
              <w:t>Financiamiento no reembolsable del 60%</w:t>
            </w:r>
          </w:p>
        </w:tc>
      </w:tr>
      <w:tr w:rsidR="00C04568" w:rsidRPr="009966FA" w:rsidTr="00852773">
        <w:trPr>
          <w:trHeight w:val="483"/>
          <w:jc w:val="center"/>
        </w:trPr>
        <w:tc>
          <w:tcPr>
            <w:tcW w:w="1470"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115B91" w:rsidRDefault="00343082">
            <w:pPr>
              <w:pStyle w:val="BodyA"/>
              <w:spacing w:after="0" w:line="240" w:lineRule="auto"/>
              <w:jc w:val="both"/>
            </w:pPr>
            <w:r w:rsidRPr="00115B91">
              <w:rPr>
                <w:rFonts w:ascii="Times New Roman" w:hAnsi="Times New Roman"/>
                <w:szCs w:val="20"/>
              </w:rPr>
              <w:t>Inversión</w:t>
            </w:r>
          </w:p>
        </w:tc>
        <w:tc>
          <w:tcPr>
            <w:tcW w:w="3350"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115B91" w:rsidRDefault="00343082">
            <w:pPr>
              <w:pStyle w:val="BodyA"/>
              <w:spacing w:after="0" w:line="240" w:lineRule="auto"/>
            </w:pPr>
            <w:r w:rsidRPr="00115B91">
              <w:rPr>
                <w:rFonts w:ascii="Times New Roman" w:hAnsi="Times New Roman"/>
                <w:szCs w:val="20"/>
              </w:rPr>
              <w:t>Financiamiento no reembolsable en promedio de 46%</w:t>
            </w:r>
          </w:p>
        </w:tc>
        <w:tc>
          <w:tcPr>
            <w:tcW w:w="3678"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115B91" w:rsidRDefault="00343082">
            <w:pPr>
              <w:pStyle w:val="BodyA"/>
              <w:spacing w:after="0" w:line="240" w:lineRule="auto"/>
              <w:rPr>
                <w:rFonts w:ascii="Times New Roman" w:eastAsia="Times New Roman" w:hAnsi="Times New Roman" w:cs="Times New Roman"/>
                <w:szCs w:val="20"/>
              </w:rPr>
            </w:pPr>
            <w:r w:rsidRPr="00115B91">
              <w:rPr>
                <w:rFonts w:ascii="Times New Roman" w:hAnsi="Times New Roman"/>
                <w:szCs w:val="20"/>
              </w:rPr>
              <w:t>Financiamiento 100% reembolsable</w:t>
            </w:r>
          </w:p>
          <w:p w:rsidR="00C04568" w:rsidRPr="00115B91" w:rsidRDefault="00343082">
            <w:pPr>
              <w:pStyle w:val="BodyA"/>
              <w:spacing w:after="0" w:line="240" w:lineRule="auto"/>
            </w:pPr>
            <w:r w:rsidRPr="00115B91">
              <w:rPr>
                <w:rFonts w:ascii="Times New Roman" w:hAnsi="Times New Roman"/>
                <w:szCs w:val="20"/>
              </w:rPr>
              <w:t>Recálculo para triplicar la capacidad de endeudamiento en relación de 2013</w:t>
            </w:r>
          </w:p>
        </w:tc>
      </w:tr>
      <w:tr w:rsidR="00C04568" w:rsidRPr="009966FA" w:rsidTr="00852773">
        <w:trPr>
          <w:trHeight w:val="1602"/>
          <w:jc w:val="center"/>
        </w:trPr>
        <w:tc>
          <w:tcPr>
            <w:tcW w:w="1470"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115B91" w:rsidRDefault="00343082">
            <w:pPr>
              <w:pStyle w:val="BodyA"/>
              <w:spacing w:after="0" w:line="240" w:lineRule="auto"/>
              <w:jc w:val="both"/>
            </w:pPr>
            <w:r w:rsidRPr="00115B91">
              <w:rPr>
                <w:rFonts w:ascii="Times New Roman" w:hAnsi="Times New Roman"/>
                <w:szCs w:val="20"/>
              </w:rPr>
              <w:t>Requisitos</w:t>
            </w:r>
          </w:p>
        </w:tc>
        <w:tc>
          <w:tcPr>
            <w:tcW w:w="3350"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115B91" w:rsidRDefault="00343082">
            <w:pPr>
              <w:pStyle w:val="BodyC"/>
              <w:rPr>
                <w:sz w:val="22"/>
                <w:szCs w:val="20"/>
              </w:rPr>
            </w:pPr>
            <w:r w:rsidRPr="00115B91">
              <w:rPr>
                <w:sz w:val="22"/>
                <w:szCs w:val="20"/>
              </w:rPr>
              <w:t>Viabilidad técnica emitida por SENAGUA</w:t>
            </w:r>
          </w:p>
          <w:p w:rsidR="00C04568" w:rsidRPr="00115B91" w:rsidRDefault="00343082" w:rsidP="00F62838">
            <w:pPr>
              <w:pStyle w:val="BodyC"/>
              <w:rPr>
                <w:sz w:val="22"/>
              </w:rPr>
            </w:pPr>
            <w:r w:rsidRPr="00115B91">
              <w:rPr>
                <w:sz w:val="22"/>
                <w:szCs w:val="20"/>
              </w:rPr>
              <w:t>Certificación ambiental emitida por el Ministerio del Ambiente (MAE) en función del Texto Unificado de Legislación Ambiental Secundaria (TULAS)</w:t>
            </w:r>
          </w:p>
        </w:tc>
        <w:tc>
          <w:tcPr>
            <w:tcW w:w="3678"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115B91" w:rsidRDefault="00343082">
            <w:pPr>
              <w:pStyle w:val="BodyC"/>
              <w:rPr>
                <w:sz w:val="22"/>
                <w:szCs w:val="20"/>
              </w:rPr>
            </w:pPr>
            <w:r w:rsidRPr="00115B91">
              <w:rPr>
                <w:sz w:val="22"/>
                <w:szCs w:val="20"/>
              </w:rPr>
              <w:t>Actualización catastral del GAD. Financiamiento 50% reembolsable</w:t>
            </w:r>
          </w:p>
          <w:p w:rsidR="00C04568" w:rsidRPr="00115B91" w:rsidRDefault="00343082">
            <w:pPr>
              <w:pStyle w:val="BodyC"/>
              <w:rPr>
                <w:sz w:val="22"/>
                <w:szCs w:val="20"/>
              </w:rPr>
            </w:pPr>
            <w:r w:rsidRPr="00115B91">
              <w:rPr>
                <w:sz w:val="22"/>
                <w:szCs w:val="20"/>
              </w:rPr>
              <w:t>Viabilidad técnica emitida por SENAGUA</w:t>
            </w:r>
          </w:p>
          <w:p w:rsidR="00C04568" w:rsidRPr="00115B91" w:rsidRDefault="00343082" w:rsidP="00F62838">
            <w:pPr>
              <w:pStyle w:val="BodyC"/>
              <w:rPr>
                <w:sz w:val="22"/>
              </w:rPr>
            </w:pPr>
            <w:r w:rsidRPr="00115B91">
              <w:rPr>
                <w:sz w:val="22"/>
                <w:szCs w:val="20"/>
              </w:rPr>
              <w:t>Certificación ambiental emitida por el MAE en función del TULAS</w:t>
            </w:r>
          </w:p>
        </w:tc>
      </w:tr>
      <w:tr w:rsidR="00C04568" w:rsidRPr="00115B91" w:rsidTr="00852773">
        <w:trPr>
          <w:trHeight w:val="252"/>
          <w:jc w:val="center"/>
        </w:trPr>
        <w:tc>
          <w:tcPr>
            <w:tcW w:w="1470"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115B91" w:rsidRDefault="00343082">
            <w:pPr>
              <w:pStyle w:val="BodyA"/>
              <w:spacing w:after="0" w:line="240" w:lineRule="auto"/>
              <w:jc w:val="both"/>
            </w:pPr>
            <w:r w:rsidRPr="00115B91">
              <w:rPr>
                <w:rFonts w:ascii="Times New Roman" w:hAnsi="Times New Roman"/>
                <w:szCs w:val="20"/>
              </w:rPr>
              <w:t>Tiempos</w:t>
            </w:r>
          </w:p>
        </w:tc>
        <w:tc>
          <w:tcPr>
            <w:tcW w:w="3350"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115B91" w:rsidRDefault="00F62838">
            <w:pPr>
              <w:pStyle w:val="BodyA"/>
              <w:spacing w:after="0" w:line="240" w:lineRule="auto"/>
            </w:pPr>
            <w:r>
              <w:rPr>
                <w:rFonts w:ascii="Times New Roman" w:hAnsi="Times New Roman"/>
                <w:szCs w:val="20"/>
              </w:rPr>
              <w:t>H</w:t>
            </w:r>
            <w:r w:rsidR="00343082" w:rsidRPr="00115B91">
              <w:rPr>
                <w:rFonts w:ascii="Times New Roman" w:hAnsi="Times New Roman"/>
                <w:szCs w:val="20"/>
              </w:rPr>
              <w:t>asta 7 años en promedio</w:t>
            </w:r>
          </w:p>
        </w:tc>
        <w:tc>
          <w:tcPr>
            <w:tcW w:w="3678"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115B91" w:rsidRDefault="00F62838">
            <w:pPr>
              <w:pStyle w:val="BodyA"/>
              <w:spacing w:after="0" w:line="240" w:lineRule="auto"/>
            </w:pPr>
            <w:r>
              <w:rPr>
                <w:rFonts w:ascii="Times New Roman" w:hAnsi="Times New Roman"/>
                <w:szCs w:val="20"/>
              </w:rPr>
              <w:t>H</w:t>
            </w:r>
            <w:r w:rsidR="00343082" w:rsidRPr="00115B91">
              <w:rPr>
                <w:rFonts w:ascii="Times New Roman" w:hAnsi="Times New Roman"/>
                <w:szCs w:val="20"/>
              </w:rPr>
              <w:t>asta 15 años</w:t>
            </w:r>
          </w:p>
        </w:tc>
      </w:tr>
    </w:tbl>
    <w:p w:rsidR="00C04568" w:rsidRPr="004D72FD" w:rsidRDefault="00343082" w:rsidP="004D72FD">
      <w:pPr>
        <w:pStyle w:val="BodyA"/>
        <w:spacing w:after="0" w:line="360" w:lineRule="auto"/>
        <w:jc w:val="center"/>
        <w:rPr>
          <w:rFonts w:ascii="Times New Roman" w:eastAsia="Times New Roman" w:hAnsi="Times New Roman" w:cs="Times New Roman"/>
          <w:sz w:val="20"/>
          <w:szCs w:val="20"/>
        </w:rPr>
      </w:pPr>
      <w:r w:rsidRPr="004D72FD">
        <w:rPr>
          <w:rFonts w:ascii="Times New Roman" w:hAnsi="Times New Roman"/>
          <w:sz w:val="20"/>
          <w:szCs w:val="20"/>
        </w:rPr>
        <w:t xml:space="preserve">Fuente: </w:t>
      </w:r>
      <w:r w:rsidR="004D72FD">
        <w:rPr>
          <w:rFonts w:ascii="Times New Roman" w:hAnsi="Times New Roman"/>
          <w:sz w:val="20"/>
          <w:szCs w:val="20"/>
        </w:rPr>
        <w:t>Elaboración propia</w:t>
      </w:r>
    </w:p>
    <w:p w:rsidR="00C04568" w:rsidRDefault="00C04568">
      <w:pPr>
        <w:pStyle w:val="Sinespaciado"/>
        <w:rPr>
          <w:rFonts w:ascii="Times New Roman" w:eastAsia="Times New Roman" w:hAnsi="Times New Roman" w:cs="Times New Roman"/>
        </w:rPr>
      </w:pPr>
    </w:p>
    <w:p w:rsidR="00C04568" w:rsidRDefault="00343082" w:rsidP="00537D1E">
      <w:pPr>
        <w:pStyle w:val="BodyA"/>
        <w:spacing w:after="0" w:line="240" w:lineRule="auto"/>
        <w:jc w:val="both"/>
        <w:rPr>
          <w:rFonts w:ascii="Times New Roman" w:hAnsi="Times New Roman"/>
          <w:sz w:val="24"/>
        </w:rPr>
      </w:pPr>
      <w:r w:rsidRPr="00537D1E">
        <w:rPr>
          <w:rFonts w:ascii="Times New Roman" w:hAnsi="Times New Roman"/>
          <w:sz w:val="24"/>
        </w:rPr>
        <w:t xml:space="preserve">De igual manera, el </w:t>
      </w:r>
      <w:r w:rsidR="009C1B7F">
        <w:rPr>
          <w:rFonts w:ascii="Times New Roman" w:hAnsi="Times New Roman"/>
          <w:sz w:val="24"/>
        </w:rPr>
        <w:t>p</w:t>
      </w:r>
      <w:r w:rsidR="00A8200D" w:rsidRPr="00537D1E">
        <w:rPr>
          <w:rFonts w:ascii="Times New Roman" w:hAnsi="Times New Roman"/>
          <w:sz w:val="24"/>
        </w:rPr>
        <w:t>residente</w:t>
      </w:r>
      <w:r w:rsidRPr="00537D1E">
        <w:rPr>
          <w:rFonts w:ascii="Times New Roman" w:hAnsi="Times New Roman"/>
          <w:sz w:val="24"/>
        </w:rPr>
        <w:t xml:space="preserve"> recomienda que se fortalezca el sistema impositivo de los municipios para volver sostenible la prestación de sus competencias a través de la actualización de los catastros y la recaudación del impuesto predial. La intervención del </w:t>
      </w:r>
      <w:r w:rsidR="00EE0DBA" w:rsidRPr="00537D1E">
        <w:rPr>
          <w:rFonts w:ascii="Times New Roman" w:hAnsi="Times New Roman"/>
          <w:sz w:val="24"/>
        </w:rPr>
        <w:t>p</w:t>
      </w:r>
      <w:r w:rsidR="00A8200D" w:rsidRPr="00537D1E">
        <w:rPr>
          <w:rFonts w:ascii="Times New Roman" w:hAnsi="Times New Roman"/>
          <w:sz w:val="24"/>
        </w:rPr>
        <w:t>residente</w:t>
      </w:r>
      <w:r w:rsidRPr="00537D1E">
        <w:rPr>
          <w:rFonts w:ascii="Times New Roman" w:hAnsi="Times New Roman"/>
          <w:sz w:val="24"/>
        </w:rPr>
        <w:t xml:space="preserve"> es un ejemplo de cómo </w:t>
      </w:r>
      <w:r w:rsidRPr="00537D1E">
        <w:rPr>
          <w:rFonts w:ascii="Times New Roman" w:hAnsi="Times New Roman"/>
          <w:sz w:val="24"/>
          <w:u w:color="0432FF"/>
        </w:rPr>
        <w:t xml:space="preserve">las </w:t>
      </w:r>
      <w:r w:rsidRPr="00537D1E">
        <w:rPr>
          <w:rFonts w:ascii="Times New Roman" w:hAnsi="Times New Roman"/>
          <w:sz w:val="24"/>
        </w:rPr>
        <w:t>“decisiones externas pueden moldear directamente elementos del diseño de política cuando el núcleo decisional se desplaza a un nivel superior del subsi</w:t>
      </w:r>
      <w:r w:rsidR="009C1B7F">
        <w:rPr>
          <w:rFonts w:ascii="Times New Roman" w:hAnsi="Times New Roman"/>
          <w:sz w:val="24"/>
        </w:rPr>
        <w:t>s</w:t>
      </w:r>
      <w:r w:rsidRPr="00537D1E">
        <w:rPr>
          <w:rFonts w:ascii="Times New Roman" w:hAnsi="Times New Roman"/>
          <w:sz w:val="24"/>
        </w:rPr>
        <w:t>tema o a una arena de acción exterior</w:t>
      </w:r>
      <w:r w:rsidR="00651DFA">
        <w:rPr>
          <w:rFonts w:ascii="Times New Roman" w:hAnsi="Times New Roman"/>
          <w:sz w:val="24"/>
        </w:rPr>
        <w:t>”</w:t>
      </w:r>
      <w:r w:rsidRPr="00537D1E">
        <w:rPr>
          <w:rFonts w:ascii="Times New Roman" w:hAnsi="Times New Roman"/>
          <w:sz w:val="24"/>
        </w:rPr>
        <w:t xml:space="preserve"> (Real Dato, 2009).  Es así como la decisión del </w:t>
      </w:r>
      <w:r w:rsidR="00EE0DBA" w:rsidRPr="00537D1E">
        <w:rPr>
          <w:rFonts w:ascii="Times New Roman" w:hAnsi="Times New Roman"/>
          <w:sz w:val="24"/>
        </w:rPr>
        <w:t>p</w:t>
      </w:r>
      <w:r w:rsidR="00A8200D" w:rsidRPr="00537D1E">
        <w:rPr>
          <w:rFonts w:ascii="Times New Roman" w:hAnsi="Times New Roman"/>
          <w:sz w:val="24"/>
        </w:rPr>
        <w:t>residente</w:t>
      </w:r>
      <w:r w:rsidRPr="00537D1E">
        <w:rPr>
          <w:rFonts w:ascii="Times New Roman" w:hAnsi="Times New Roman"/>
          <w:sz w:val="24"/>
        </w:rPr>
        <w:t xml:space="preserve"> modifica el contexto al eliminar los incentivos a la inversión a través de Prosaneamiento y con ello también </w:t>
      </w:r>
      <w:r w:rsidRPr="00537D1E">
        <w:rPr>
          <w:rFonts w:ascii="Times New Roman" w:hAnsi="Times New Roman"/>
          <w:sz w:val="24"/>
          <w:u w:color="0432FF"/>
        </w:rPr>
        <w:t xml:space="preserve">altera </w:t>
      </w:r>
      <w:r w:rsidRPr="00537D1E">
        <w:rPr>
          <w:rFonts w:ascii="Times New Roman" w:hAnsi="Times New Roman"/>
          <w:sz w:val="24"/>
        </w:rPr>
        <w:t>las relaciones entre la agencia y la estructura de la red.</w:t>
      </w:r>
    </w:p>
    <w:p w:rsidR="000B47B3" w:rsidRPr="00537D1E" w:rsidRDefault="000B47B3" w:rsidP="00537D1E">
      <w:pPr>
        <w:pStyle w:val="BodyA"/>
        <w:spacing w:after="0" w:line="240" w:lineRule="auto"/>
        <w:jc w:val="both"/>
        <w:rPr>
          <w:rFonts w:ascii="Times New Roman" w:eastAsia="Times New Roman" w:hAnsi="Times New Roman" w:cs="Times New Roman"/>
          <w:sz w:val="24"/>
        </w:rPr>
      </w:pPr>
    </w:p>
    <w:p w:rsidR="00C04568" w:rsidRPr="001240C7" w:rsidRDefault="00343082" w:rsidP="000B47B3">
      <w:pPr>
        <w:pStyle w:val="Cita"/>
        <w:rPr>
          <w:rFonts w:eastAsia="Times New Roman"/>
          <w:b/>
          <w:bCs/>
          <w:i w:val="0"/>
          <w:u w:color="000000"/>
        </w:rPr>
      </w:pPr>
      <w:r w:rsidRPr="001240C7">
        <w:rPr>
          <w:i w:val="0"/>
          <w:u w:color="000000"/>
        </w:rPr>
        <w:t>Red 2015:</w:t>
      </w:r>
    </w:p>
    <w:p w:rsidR="00C04568" w:rsidRPr="00537D1E" w:rsidRDefault="00C04568" w:rsidP="00537D1E">
      <w:pPr>
        <w:pStyle w:val="Sinespaciado"/>
        <w:rPr>
          <w:rFonts w:ascii="Times New Roman" w:eastAsia="Times New Roman" w:hAnsi="Times New Roman" w:cs="Times New Roman"/>
          <w:sz w:val="24"/>
        </w:rPr>
      </w:pPr>
    </w:p>
    <w:p w:rsidR="00C04568" w:rsidRPr="00537D1E" w:rsidRDefault="00343082" w:rsidP="00537D1E">
      <w:pPr>
        <w:pStyle w:val="BodyA"/>
        <w:spacing w:line="240" w:lineRule="auto"/>
        <w:jc w:val="both"/>
        <w:rPr>
          <w:rFonts w:ascii="Times New Roman" w:eastAsia="Times New Roman" w:hAnsi="Times New Roman" w:cs="Times New Roman"/>
          <w:sz w:val="24"/>
        </w:rPr>
      </w:pPr>
      <w:r w:rsidRPr="00537D1E">
        <w:rPr>
          <w:rFonts w:ascii="Times New Roman" w:hAnsi="Times New Roman"/>
          <w:sz w:val="24"/>
        </w:rPr>
        <w:t>A finales de 2014</w:t>
      </w:r>
      <w:r w:rsidRPr="00537D1E">
        <w:rPr>
          <w:rFonts w:ascii="Times New Roman" w:hAnsi="Times New Roman"/>
          <w:sz w:val="24"/>
          <w:lang w:val="pt-PT"/>
        </w:rPr>
        <w:t xml:space="preserve"> SENAGUA lidera</w:t>
      </w:r>
      <w:r w:rsidR="00601550">
        <w:rPr>
          <w:rFonts w:ascii="Times New Roman" w:hAnsi="Times New Roman"/>
          <w:sz w:val="24"/>
        </w:rPr>
        <w:t xml:space="preserve"> la con</w:t>
      </w:r>
      <w:r w:rsidRPr="00537D1E">
        <w:rPr>
          <w:rFonts w:ascii="Times New Roman" w:hAnsi="Times New Roman"/>
          <w:sz w:val="24"/>
        </w:rPr>
        <w:t xml:space="preserve">strucción de la </w:t>
      </w:r>
      <w:r w:rsidRPr="00537D1E">
        <w:rPr>
          <w:rFonts w:ascii="Times New Roman" w:hAnsi="Times New Roman"/>
          <w:i/>
          <w:sz w:val="24"/>
        </w:rPr>
        <w:t>Estrategia Nacional de Agua y Saneamiento</w:t>
      </w:r>
      <w:r w:rsidRPr="00537D1E">
        <w:rPr>
          <w:rFonts w:ascii="Times New Roman" w:hAnsi="Times New Roman"/>
          <w:sz w:val="24"/>
        </w:rPr>
        <w:t xml:space="preserve"> (ENAS) bajo la idea programática de contar con orientaciones a las intervenciones e inversiones desde “una perspectiva sectorial”. Esto con el objetivo de proporcionar una “guía oficial para el sector en su intención de lograr una cobertura total de los servicios de agua y saneamiento en todo el territorio nacional en los pró</w:t>
      </w:r>
      <w:r w:rsidRPr="00537D1E">
        <w:rPr>
          <w:rFonts w:ascii="Times New Roman" w:hAnsi="Times New Roman"/>
          <w:sz w:val="24"/>
          <w:lang w:val="pt-PT"/>
        </w:rPr>
        <w:t>ximos a</w:t>
      </w:r>
      <w:r w:rsidRPr="00537D1E">
        <w:rPr>
          <w:rFonts w:ascii="Times New Roman" w:hAnsi="Times New Roman"/>
          <w:sz w:val="24"/>
        </w:rPr>
        <w:t xml:space="preserve">ños y dar así cumplimiento tanto a las metas del Plan Nacional del Buen Vivir como de la Estrategia de Erradicación de la Pobreza” </w:t>
      </w:r>
      <w:r w:rsidR="00601550">
        <w:rPr>
          <w:rFonts w:ascii="Times New Roman" w:hAnsi="Times New Roman"/>
          <w:sz w:val="24"/>
          <w:lang w:val="pt-PT"/>
        </w:rPr>
        <w:t>(SENAGUA, 2015:</w:t>
      </w:r>
      <w:r w:rsidRPr="00537D1E">
        <w:rPr>
          <w:rFonts w:ascii="Times New Roman" w:hAnsi="Times New Roman"/>
          <w:sz w:val="24"/>
          <w:lang w:val="pt-PT"/>
        </w:rPr>
        <w:t xml:space="preserve"> 9). Esta s</w:t>
      </w:r>
      <w:r w:rsidRPr="00537D1E">
        <w:rPr>
          <w:rFonts w:ascii="Times New Roman" w:hAnsi="Times New Roman"/>
          <w:sz w:val="24"/>
        </w:rPr>
        <w:t>éptima red de polí</w:t>
      </w:r>
      <w:r w:rsidRPr="00537D1E">
        <w:rPr>
          <w:rFonts w:ascii="Times New Roman" w:hAnsi="Times New Roman"/>
          <w:sz w:val="24"/>
          <w:lang w:val="it-IT"/>
        </w:rPr>
        <w:t xml:space="preserve">tica </w:t>
      </w:r>
      <w:r w:rsidRPr="00537D1E">
        <w:rPr>
          <w:rFonts w:ascii="Times New Roman" w:hAnsi="Times New Roman"/>
          <w:sz w:val="24"/>
          <w:lang w:val="pt-PT"/>
        </w:rPr>
        <w:t>permite</w:t>
      </w:r>
      <w:r w:rsidRPr="00537D1E">
        <w:rPr>
          <w:rFonts w:ascii="Times New Roman" w:hAnsi="Times New Roman"/>
          <w:sz w:val="24"/>
        </w:rPr>
        <w:t xml:space="preserve"> la articulación de organismos internacionales, gobiernos locales por medio de la AME </w:t>
      </w:r>
      <w:r w:rsidRPr="00537D1E">
        <w:rPr>
          <w:rFonts w:ascii="Times New Roman" w:hAnsi="Times New Roman"/>
          <w:sz w:val="24"/>
          <w:u w:color="FF0000"/>
        </w:rPr>
        <w:t>y de las Juntas Administradoras de Agua Potable y Saneamiento (JAAPS) que son prestadores comunitarios</w:t>
      </w:r>
      <w:r w:rsidRPr="00537D1E">
        <w:rPr>
          <w:rFonts w:ascii="Times New Roman" w:hAnsi="Times New Roman"/>
          <w:sz w:val="24"/>
        </w:rPr>
        <w:t xml:space="preserve">, y de actores del ejecutivo relacionados con la planificación, asignación de recursos, regulación y control. </w:t>
      </w:r>
    </w:p>
    <w:p w:rsidR="00C04568" w:rsidRPr="00537D1E" w:rsidRDefault="00343082" w:rsidP="00537D1E">
      <w:pPr>
        <w:pStyle w:val="BodyA"/>
        <w:spacing w:line="240" w:lineRule="auto"/>
        <w:jc w:val="both"/>
        <w:rPr>
          <w:rFonts w:ascii="Times New Roman" w:eastAsia="Times New Roman" w:hAnsi="Times New Roman" w:cs="Times New Roman"/>
          <w:sz w:val="24"/>
          <w:u w:color="0432FF"/>
        </w:rPr>
      </w:pPr>
      <w:r w:rsidRPr="00537D1E">
        <w:rPr>
          <w:rFonts w:ascii="Times New Roman" w:hAnsi="Times New Roman"/>
          <w:sz w:val="24"/>
        </w:rPr>
        <w:lastRenderedPageBreak/>
        <w:t xml:space="preserve">Para sintetizar las redes que se configuran en el contexto de la política, presentamos a continuación el detalle de los nodos de las redes en cada uno de los tres momentos del contexto, como paso previo a la representación de los grafos de las redes de la política de </w:t>
      </w:r>
      <w:r w:rsidRPr="00537D1E">
        <w:rPr>
          <w:rFonts w:ascii="Times New Roman" w:hAnsi="Times New Roman"/>
          <w:sz w:val="24"/>
          <w:u w:color="0432FF"/>
        </w:rPr>
        <w:t>ampliación de la cobertura de agua y saneamiento 2008-2015.</w:t>
      </w:r>
    </w:p>
    <w:p w:rsidR="00C04568" w:rsidRPr="00537D1E" w:rsidRDefault="000029AD">
      <w:pPr>
        <w:pStyle w:val="Epgrafe"/>
        <w:spacing w:after="0"/>
        <w:jc w:val="center"/>
        <w:rPr>
          <w:rFonts w:ascii="Times New Roman" w:eastAsia="Times New Roman" w:hAnsi="Times New Roman" w:cs="Times New Roman"/>
          <w:sz w:val="20"/>
        </w:rPr>
      </w:pPr>
      <w:r w:rsidRPr="00537D1E">
        <w:rPr>
          <w:rFonts w:ascii="Times New Roman" w:hAnsi="Times New Roman"/>
          <w:color w:val="000000"/>
          <w:sz w:val="24"/>
          <w:szCs w:val="22"/>
          <w:u w:color="000000"/>
        </w:rPr>
        <w:t>Tabla</w:t>
      </w:r>
      <w:r w:rsidR="00903B07" w:rsidRPr="00537D1E">
        <w:rPr>
          <w:rFonts w:ascii="Times New Roman" w:hAnsi="Times New Roman"/>
          <w:color w:val="000000"/>
          <w:sz w:val="24"/>
          <w:szCs w:val="22"/>
          <w:u w:color="000000"/>
        </w:rPr>
        <w:t xml:space="preserve"> 3</w:t>
      </w:r>
      <w:r w:rsidR="00343082" w:rsidRPr="00537D1E">
        <w:rPr>
          <w:rFonts w:ascii="Times New Roman" w:hAnsi="Times New Roman"/>
          <w:color w:val="000000"/>
          <w:sz w:val="24"/>
          <w:szCs w:val="22"/>
          <w:u w:color="000000"/>
        </w:rPr>
        <w:t>. Afiliación de nodos por etapa</w:t>
      </w:r>
    </w:p>
    <w:tbl>
      <w:tblPr>
        <w:tblStyle w:val="TableNormal1"/>
        <w:tblW w:w="8498" w:type="dxa"/>
        <w:jc w:val="center"/>
        <w:shd w:val="clear" w:color="auto" w:fill="4F81BD"/>
        <w:tblLayout w:type="fixed"/>
        <w:tblLook w:val="04A0" w:firstRow="1" w:lastRow="0" w:firstColumn="1" w:lastColumn="0" w:noHBand="0" w:noVBand="1"/>
      </w:tblPr>
      <w:tblGrid>
        <w:gridCol w:w="4820"/>
        <w:gridCol w:w="1559"/>
        <w:gridCol w:w="776"/>
        <w:gridCol w:w="723"/>
        <w:gridCol w:w="620"/>
      </w:tblGrid>
      <w:tr w:rsidR="00C04568" w:rsidTr="00601550">
        <w:trPr>
          <w:trHeight w:val="294"/>
          <w:tblHeader/>
          <w:jc w:val="center"/>
        </w:trPr>
        <w:tc>
          <w:tcPr>
            <w:tcW w:w="4820"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Default="00343082" w:rsidP="00115B91">
            <w:pPr>
              <w:pStyle w:val="BodyC"/>
              <w:jc w:val="center"/>
            </w:pPr>
            <w:r>
              <w:rPr>
                <w:sz w:val="20"/>
                <w:szCs w:val="20"/>
                <w:lang w:val="en-US"/>
              </w:rPr>
              <w:t>Descripción</w:t>
            </w:r>
          </w:p>
        </w:tc>
        <w:tc>
          <w:tcPr>
            <w:tcW w:w="1559"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Default="00343082" w:rsidP="00115B91">
            <w:pPr>
              <w:pStyle w:val="BodyC"/>
              <w:jc w:val="center"/>
            </w:pPr>
            <w:r>
              <w:rPr>
                <w:sz w:val="20"/>
                <w:szCs w:val="20"/>
                <w:lang w:val="en-US"/>
              </w:rPr>
              <w:t>Tipo de nodo</w:t>
            </w:r>
          </w:p>
        </w:tc>
        <w:tc>
          <w:tcPr>
            <w:tcW w:w="776"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Default="00343082" w:rsidP="00115B91">
            <w:pPr>
              <w:pStyle w:val="BodyC"/>
              <w:jc w:val="center"/>
              <w:rPr>
                <w:sz w:val="20"/>
                <w:szCs w:val="20"/>
              </w:rPr>
            </w:pPr>
            <w:r>
              <w:rPr>
                <w:sz w:val="20"/>
                <w:szCs w:val="20"/>
                <w:lang w:val="en-US"/>
              </w:rPr>
              <w:t>2008-</w:t>
            </w:r>
          </w:p>
          <w:p w:rsidR="00C04568" w:rsidRDefault="00343082" w:rsidP="00115B91">
            <w:pPr>
              <w:pStyle w:val="BodyC"/>
              <w:jc w:val="center"/>
            </w:pPr>
            <w:r>
              <w:rPr>
                <w:sz w:val="20"/>
                <w:szCs w:val="20"/>
                <w:lang w:val="en-US"/>
              </w:rPr>
              <w:t>2013</w:t>
            </w:r>
          </w:p>
        </w:tc>
        <w:tc>
          <w:tcPr>
            <w:tcW w:w="723"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Default="00343082" w:rsidP="00115B91">
            <w:pPr>
              <w:pStyle w:val="BodyC"/>
              <w:jc w:val="center"/>
            </w:pPr>
            <w:r>
              <w:rPr>
                <w:sz w:val="20"/>
                <w:szCs w:val="20"/>
                <w:lang w:val="en-US"/>
              </w:rPr>
              <w:t>2014</w:t>
            </w:r>
          </w:p>
        </w:tc>
        <w:tc>
          <w:tcPr>
            <w:tcW w:w="620"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Default="00343082" w:rsidP="00115B91">
            <w:pPr>
              <w:pStyle w:val="Body"/>
              <w:jc w:val="center"/>
            </w:pPr>
            <w:r>
              <w:rPr>
                <w:sz w:val="20"/>
                <w:szCs w:val="20"/>
                <w:lang w:val="en-US"/>
              </w:rPr>
              <w:t>2015</w:t>
            </w:r>
          </w:p>
        </w:tc>
      </w:tr>
      <w:tr w:rsidR="00C04568" w:rsidTr="00115B91">
        <w:tblPrEx>
          <w:shd w:val="clear" w:color="auto" w:fill="CED7E7"/>
        </w:tblPrEx>
        <w:trPr>
          <w:trHeight w:val="222"/>
          <w:jc w:val="center"/>
        </w:trPr>
        <w:tc>
          <w:tcPr>
            <w:tcW w:w="4820" w:type="dxa"/>
            <w:tcBorders>
              <w:top w:val="single" w:sz="4" w:space="0" w:color="auto"/>
            </w:tcBorders>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Asociación de Municipalidades del Ecuador (AME)</w:t>
            </w:r>
          </w:p>
        </w:tc>
        <w:tc>
          <w:tcPr>
            <w:tcW w:w="1559" w:type="dxa"/>
            <w:vMerge w:val="restart"/>
            <w:tcBorders>
              <w:top w:val="single" w:sz="4" w:space="0" w:color="auto"/>
            </w:tcBorders>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Institución</w:t>
            </w:r>
          </w:p>
        </w:tc>
        <w:tc>
          <w:tcPr>
            <w:tcW w:w="776" w:type="dxa"/>
            <w:tcBorders>
              <w:top w:val="single" w:sz="4" w:space="0" w:color="auto"/>
            </w:tcBorders>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tcBorders>
              <w:top w:val="single" w:sz="4" w:space="0" w:color="auto"/>
            </w:tcBorders>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tcBorders>
              <w:top w:val="single" w:sz="4" w:space="0" w:color="auto"/>
            </w:tcBorders>
            <w:shd w:val="clear" w:color="auto" w:fill="B8CCE4" w:themeFill="accent1"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Agencia de Regulación y Control del Agua (ARCA)</w:t>
            </w:r>
          </w:p>
        </w:tc>
        <w:tc>
          <w:tcPr>
            <w:tcW w:w="1559" w:type="dxa"/>
            <w:vMerge/>
            <w:shd w:val="clear" w:color="auto" w:fill="B8CCE4" w:themeFill="accent1" w:themeFillTint="66"/>
          </w:tcPr>
          <w:p w:rsidR="00C04568" w:rsidRPr="00A31DB1" w:rsidRDefault="00C04568" w:rsidP="00115B91">
            <w:pPr>
              <w:rPr>
                <w:lang w:val="es-EC"/>
              </w:rPr>
            </w:pPr>
          </w:p>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6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lang w:val="en-US"/>
              </w:rPr>
              <w:t>Banco del Estado (BdE)</w:t>
            </w:r>
          </w:p>
        </w:tc>
        <w:tc>
          <w:tcPr>
            <w:tcW w:w="1559" w:type="dxa"/>
            <w:vMerge/>
            <w:shd w:val="clear" w:color="auto" w:fill="B8CCE4" w:themeFill="accent1" w:themeFillTint="66"/>
          </w:tcPr>
          <w:p w:rsidR="00C04568" w:rsidRDefault="00C04568" w:rsidP="00115B91"/>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shd w:val="clear" w:color="auto" w:fill="B8CCE4" w:themeFill="accent1"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Consejo Nacional de Competencias (CNC)</w:t>
            </w:r>
          </w:p>
        </w:tc>
        <w:tc>
          <w:tcPr>
            <w:tcW w:w="1559" w:type="dxa"/>
            <w:vMerge/>
            <w:shd w:val="clear" w:color="auto" w:fill="B8CCE4" w:themeFill="accent1" w:themeFillTint="66"/>
          </w:tcPr>
          <w:p w:rsidR="00C04568" w:rsidRPr="00A31DB1" w:rsidRDefault="00C04568" w:rsidP="00115B91">
            <w:pPr>
              <w:rPr>
                <w:lang w:val="es-EC"/>
              </w:rPr>
            </w:pPr>
          </w:p>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6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Empresa Pública del Agua (EPAGUA)</w:t>
            </w:r>
          </w:p>
        </w:tc>
        <w:tc>
          <w:tcPr>
            <w:tcW w:w="1559" w:type="dxa"/>
            <w:vMerge/>
            <w:shd w:val="clear" w:color="auto" w:fill="B8CCE4" w:themeFill="accent1" w:themeFillTint="66"/>
          </w:tcPr>
          <w:p w:rsidR="00C04568" w:rsidRPr="00A31DB1" w:rsidRDefault="00C04568" w:rsidP="00115B91">
            <w:pPr>
              <w:rPr>
                <w:lang w:val="es-EC"/>
              </w:rPr>
            </w:pPr>
          </w:p>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6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Empresa Pública de Quito (EP-Q)</w:t>
            </w:r>
          </w:p>
        </w:tc>
        <w:tc>
          <w:tcPr>
            <w:tcW w:w="1559" w:type="dxa"/>
            <w:vMerge/>
            <w:shd w:val="clear" w:color="auto" w:fill="B8CCE4" w:themeFill="accent1" w:themeFillTint="66"/>
          </w:tcPr>
          <w:p w:rsidR="00C04568" w:rsidRPr="00A31DB1" w:rsidRDefault="00C04568" w:rsidP="00115B91">
            <w:pPr>
              <w:rPr>
                <w:lang w:val="es-EC"/>
              </w:rPr>
            </w:pPr>
          </w:p>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620" w:type="dxa"/>
            <w:shd w:val="clear" w:color="auto" w:fill="B8CCE4" w:themeFill="accent1"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0</w:t>
            </w:r>
          </w:p>
        </w:tc>
      </w:tr>
      <w:tr w:rsidR="00C04568" w:rsidTr="00115B91">
        <w:tblPrEx>
          <w:shd w:val="clear" w:color="auto" w:fill="CED7E7"/>
        </w:tblPrEx>
        <w:trPr>
          <w:trHeight w:val="22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Empresa Pública de Cuenca (EP-C)</w:t>
            </w:r>
          </w:p>
        </w:tc>
        <w:tc>
          <w:tcPr>
            <w:tcW w:w="1559" w:type="dxa"/>
            <w:vMerge/>
            <w:shd w:val="clear" w:color="auto" w:fill="B8CCE4" w:themeFill="accent1" w:themeFillTint="66"/>
          </w:tcPr>
          <w:p w:rsidR="00C04568" w:rsidRPr="00A31DB1" w:rsidRDefault="00C04568" w:rsidP="00115B91">
            <w:pPr>
              <w:rPr>
                <w:lang w:val="es-EC"/>
              </w:rPr>
            </w:pPr>
          </w:p>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620" w:type="dxa"/>
            <w:shd w:val="clear" w:color="auto" w:fill="B8CCE4" w:themeFill="accent1"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0</w:t>
            </w:r>
          </w:p>
        </w:tc>
      </w:tr>
      <w:tr w:rsidR="00C04568" w:rsidTr="00115B91">
        <w:tblPrEx>
          <w:shd w:val="clear" w:color="auto" w:fill="CED7E7"/>
        </w:tblPrEx>
        <w:trPr>
          <w:trHeight w:val="22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Empresa Pública de Ambato (EP-A)</w:t>
            </w:r>
          </w:p>
        </w:tc>
        <w:tc>
          <w:tcPr>
            <w:tcW w:w="1559" w:type="dxa"/>
            <w:vMerge/>
            <w:shd w:val="clear" w:color="auto" w:fill="B8CCE4" w:themeFill="accent1" w:themeFillTint="66"/>
          </w:tcPr>
          <w:p w:rsidR="00C04568" w:rsidRPr="00A31DB1" w:rsidRDefault="00C04568" w:rsidP="00115B91">
            <w:pPr>
              <w:rPr>
                <w:lang w:val="es-EC"/>
              </w:rPr>
            </w:pPr>
          </w:p>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620" w:type="dxa"/>
            <w:shd w:val="clear" w:color="auto" w:fill="B8CCE4" w:themeFill="accent1"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0</w:t>
            </w:r>
          </w:p>
        </w:tc>
      </w:tr>
      <w:tr w:rsidR="00C04568" w:rsidTr="00115B91">
        <w:tblPrEx>
          <w:shd w:val="clear" w:color="auto" w:fill="CED7E7"/>
        </w:tblPrEx>
        <w:trPr>
          <w:trHeight w:val="22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Empresa Pública de Ibarra (EP-I)</w:t>
            </w:r>
          </w:p>
        </w:tc>
        <w:tc>
          <w:tcPr>
            <w:tcW w:w="1559" w:type="dxa"/>
            <w:vMerge/>
            <w:shd w:val="clear" w:color="auto" w:fill="B8CCE4" w:themeFill="accent1" w:themeFillTint="66"/>
          </w:tcPr>
          <w:p w:rsidR="00C04568" w:rsidRPr="00A31DB1" w:rsidRDefault="00C04568" w:rsidP="00115B91">
            <w:pPr>
              <w:rPr>
                <w:lang w:val="es-EC"/>
              </w:rPr>
            </w:pPr>
          </w:p>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620" w:type="dxa"/>
            <w:shd w:val="clear" w:color="auto" w:fill="B8CCE4" w:themeFill="accent1"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0</w:t>
            </w:r>
          </w:p>
        </w:tc>
      </w:tr>
      <w:tr w:rsidR="00C04568" w:rsidTr="00115B91">
        <w:tblPrEx>
          <w:shd w:val="clear" w:color="auto" w:fill="CED7E7"/>
        </w:tblPrEx>
        <w:trPr>
          <w:trHeight w:val="22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lang w:val="en-US"/>
              </w:rPr>
              <w:t>Gobiernos Autónomos Descentralizados (GAD)</w:t>
            </w:r>
          </w:p>
        </w:tc>
        <w:tc>
          <w:tcPr>
            <w:tcW w:w="1559" w:type="dxa"/>
            <w:vMerge/>
            <w:shd w:val="clear" w:color="auto" w:fill="B8CCE4" w:themeFill="accent1" w:themeFillTint="66"/>
          </w:tcPr>
          <w:p w:rsidR="00C04568" w:rsidRDefault="00C04568" w:rsidP="00115B91"/>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shd w:val="clear" w:color="auto" w:fill="B8CCE4" w:themeFill="accent1"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Instituto Nacional de Estadística y Censos (INEC)</w:t>
            </w:r>
          </w:p>
        </w:tc>
        <w:tc>
          <w:tcPr>
            <w:tcW w:w="1559" w:type="dxa"/>
            <w:vMerge/>
            <w:shd w:val="clear" w:color="auto" w:fill="B8CCE4" w:themeFill="accent1" w:themeFillTint="66"/>
          </w:tcPr>
          <w:p w:rsidR="00C04568" w:rsidRPr="00A31DB1" w:rsidRDefault="00C04568" w:rsidP="00115B91">
            <w:pPr>
              <w:rPr>
                <w:lang w:val="es-EC"/>
              </w:rPr>
            </w:pPr>
          </w:p>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6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Instituto Nacional de Preinversión (INP)</w:t>
            </w:r>
          </w:p>
        </w:tc>
        <w:tc>
          <w:tcPr>
            <w:tcW w:w="1559" w:type="dxa"/>
            <w:vMerge/>
            <w:shd w:val="clear" w:color="auto" w:fill="B8CCE4" w:themeFill="accent1" w:themeFillTint="66"/>
          </w:tcPr>
          <w:p w:rsidR="00C04568" w:rsidRPr="00A31DB1" w:rsidRDefault="00C04568" w:rsidP="00115B91">
            <w:pPr>
              <w:rPr>
                <w:lang w:val="es-EC"/>
              </w:rPr>
            </w:pPr>
          </w:p>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shd w:val="clear" w:color="auto" w:fill="B8CCE4" w:themeFill="accent1"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0</w:t>
            </w:r>
          </w:p>
        </w:tc>
      </w:tr>
      <w:tr w:rsidR="00C04568" w:rsidTr="00115B91">
        <w:tblPrEx>
          <w:shd w:val="clear" w:color="auto" w:fill="CED7E7"/>
        </w:tblPrEx>
        <w:trPr>
          <w:trHeight w:val="22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Juntas Administradoras de Agua y Saneamiento (JAAPS)</w:t>
            </w:r>
          </w:p>
        </w:tc>
        <w:tc>
          <w:tcPr>
            <w:tcW w:w="1559" w:type="dxa"/>
            <w:vMerge/>
            <w:shd w:val="clear" w:color="auto" w:fill="B8CCE4" w:themeFill="accent1" w:themeFillTint="66"/>
          </w:tcPr>
          <w:p w:rsidR="00C04568" w:rsidRPr="00A31DB1" w:rsidRDefault="00C04568" w:rsidP="00115B91">
            <w:pPr>
              <w:rPr>
                <w:lang w:val="es-EC"/>
              </w:rPr>
            </w:pPr>
          </w:p>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shd w:val="clear" w:color="auto" w:fill="B8CCE4" w:themeFill="accent1"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lang w:val="en-US"/>
              </w:rPr>
              <w:t>Ministerio del Ambiente (MAE)</w:t>
            </w:r>
          </w:p>
        </w:tc>
        <w:tc>
          <w:tcPr>
            <w:tcW w:w="1559" w:type="dxa"/>
            <w:vMerge/>
            <w:shd w:val="clear" w:color="auto" w:fill="B8CCE4" w:themeFill="accent1" w:themeFillTint="66"/>
          </w:tcPr>
          <w:p w:rsidR="00C04568" w:rsidRDefault="00C04568" w:rsidP="00115B91"/>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shd w:val="clear" w:color="auto" w:fill="B8CCE4" w:themeFill="accent1"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Ministerio Coordinador de Desarrollo Social (MCDS)</w:t>
            </w:r>
          </w:p>
        </w:tc>
        <w:tc>
          <w:tcPr>
            <w:tcW w:w="1559" w:type="dxa"/>
            <w:vMerge/>
            <w:shd w:val="clear" w:color="auto" w:fill="B8CCE4" w:themeFill="accent1" w:themeFillTint="66"/>
          </w:tcPr>
          <w:p w:rsidR="00C04568" w:rsidRPr="00A31DB1" w:rsidRDefault="00C04568" w:rsidP="00115B91">
            <w:pPr>
              <w:rPr>
                <w:lang w:val="es-EC"/>
              </w:rPr>
            </w:pPr>
          </w:p>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shd w:val="clear" w:color="auto" w:fill="B8CCE4" w:themeFill="accent1"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Ministerio Coordinador de Sectores Estratégicos (MCSE)</w:t>
            </w:r>
          </w:p>
        </w:tc>
        <w:tc>
          <w:tcPr>
            <w:tcW w:w="1559" w:type="dxa"/>
            <w:vMerge/>
            <w:shd w:val="clear" w:color="auto" w:fill="B8CCE4" w:themeFill="accent1" w:themeFillTint="66"/>
          </w:tcPr>
          <w:p w:rsidR="00C04568" w:rsidRPr="00A31DB1" w:rsidRDefault="00C04568" w:rsidP="00115B91">
            <w:pPr>
              <w:rPr>
                <w:lang w:val="es-EC"/>
              </w:rPr>
            </w:pPr>
          </w:p>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6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Ministerio de Economía y Finanzas (MEF)</w:t>
            </w:r>
          </w:p>
        </w:tc>
        <w:tc>
          <w:tcPr>
            <w:tcW w:w="1559" w:type="dxa"/>
            <w:vMerge/>
            <w:shd w:val="clear" w:color="auto" w:fill="B8CCE4" w:themeFill="accent1" w:themeFillTint="66"/>
          </w:tcPr>
          <w:p w:rsidR="00C04568" w:rsidRPr="00A31DB1" w:rsidRDefault="00C04568" w:rsidP="00115B91">
            <w:pPr>
              <w:rPr>
                <w:lang w:val="es-EC"/>
              </w:rPr>
            </w:pPr>
          </w:p>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shd w:val="clear" w:color="auto" w:fill="B8CCE4" w:themeFill="accent1"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Ministerio de Desarrollo Urbano y Vivienda (MIDUVI)</w:t>
            </w:r>
          </w:p>
        </w:tc>
        <w:tc>
          <w:tcPr>
            <w:tcW w:w="1559" w:type="dxa"/>
            <w:vMerge/>
            <w:shd w:val="clear" w:color="auto" w:fill="B8CCE4" w:themeFill="accent1" w:themeFillTint="66"/>
          </w:tcPr>
          <w:p w:rsidR="00C04568" w:rsidRPr="00A31DB1" w:rsidRDefault="00C04568" w:rsidP="00115B91">
            <w:pPr>
              <w:rPr>
                <w:lang w:val="es-EC"/>
              </w:rPr>
            </w:pPr>
          </w:p>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620" w:type="dxa"/>
            <w:shd w:val="clear" w:color="auto" w:fill="B8CCE4" w:themeFill="accent1"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0</w:t>
            </w:r>
          </w:p>
        </w:tc>
      </w:tr>
      <w:tr w:rsidR="00C04568" w:rsidTr="00115B91">
        <w:tblPrEx>
          <w:shd w:val="clear" w:color="auto" w:fill="CED7E7"/>
        </w:tblPrEx>
        <w:trPr>
          <w:trHeight w:val="22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Ministerio de Salud Pública (MSP)</w:t>
            </w:r>
          </w:p>
        </w:tc>
        <w:tc>
          <w:tcPr>
            <w:tcW w:w="1559" w:type="dxa"/>
            <w:vMerge/>
            <w:shd w:val="clear" w:color="auto" w:fill="B8CCE4" w:themeFill="accent1" w:themeFillTint="66"/>
          </w:tcPr>
          <w:p w:rsidR="00C04568" w:rsidRPr="00A31DB1" w:rsidRDefault="00C04568" w:rsidP="00115B91">
            <w:pPr>
              <w:rPr>
                <w:lang w:val="es-EC"/>
              </w:rPr>
            </w:pPr>
          </w:p>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shd w:val="clear" w:color="auto" w:fill="B8CCE4" w:themeFill="accent1"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0</w:t>
            </w:r>
          </w:p>
        </w:tc>
      </w:tr>
      <w:tr w:rsidR="00C04568" w:rsidTr="00115B91">
        <w:tblPrEx>
          <w:shd w:val="clear" w:color="auto" w:fill="CED7E7"/>
        </w:tblPrEx>
        <w:trPr>
          <w:trHeight w:val="22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Secretaría Nacional del Agua (SENAGUA)</w:t>
            </w:r>
          </w:p>
        </w:tc>
        <w:tc>
          <w:tcPr>
            <w:tcW w:w="1559" w:type="dxa"/>
            <w:vMerge/>
            <w:shd w:val="clear" w:color="auto" w:fill="B8CCE4" w:themeFill="accent1" w:themeFillTint="66"/>
          </w:tcPr>
          <w:p w:rsidR="00C04568" w:rsidRPr="00A31DB1" w:rsidRDefault="00C04568" w:rsidP="00115B91">
            <w:pPr>
              <w:rPr>
                <w:lang w:val="es-EC"/>
              </w:rPr>
            </w:pPr>
          </w:p>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shd w:val="clear" w:color="auto" w:fill="B8CCE4" w:themeFill="accent1"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36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Secretaría Nacional de Planificación y Desarrollo (SENPLADES)</w:t>
            </w:r>
          </w:p>
        </w:tc>
        <w:tc>
          <w:tcPr>
            <w:tcW w:w="1559" w:type="dxa"/>
            <w:vMerge/>
            <w:shd w:val="clear" w:color="auto" w:fill="B8CCE4" w:themeFill="accent1" w:themeFillTint="66"/>
          </w:tcPr>
          <w:p w:rsidR="00C04568" w:rsidRPr="00A31DB1" w:rsidRDefault="00C04568" w:rsidP="00115B91">
            <w:pPr>
              <w:rPr>
                <w:lang w:val="es-EC"/>
              </w:rPr>
            </w:pPr>
          </w:p>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shd w:val="clear" w:color="auto" w:fill="B8CCE4" w:themeFill="accent1"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362"/>
          <w:jc w:val="center"/>
        </w:trPr>
        <w:tc>
          <w:tcPr>
            <w:tcW w:w="4820"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Secretaría Técnica para la Erradicación de la Pobreza (SETEP)</w:t>
            </w:r>
          </w:p>
        </w:tc>
        <w:tc>
          <w:tcPr>
            <w:tcW w:w="1559" w:type="dxa"/>
            <w:vMerge/>
            <w:shd w:val="clear" w:color="auto" w:fill="B8CCE4" w:themeFill="accent1" w:themeFillTint="66"/>
          </w:tcPr>
          <w:p w:rsidR="00C04568" w:rsidRPr="00A31DB1" w:rsidRDefault="00C04568" w:rsidP="00115B91">
            <w:pPr>
              <w:rPr>
                <w:lang w:val="es-EC"/>
              </w:rPr>
            </w:pPr>
          </w:p>
        </w:tc>
        <w:tc>
          <w:tcPr>
            <w:tcW w:w="776"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723" w:type="dxa"/>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shd w:val="clear" w:color="auto" w:fill="B8CCE4" w:themeFill="accent1"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tcBorders>
              <w:bottom w:val="single" w:sz="4" w:space="0" w:color="auto"/>
            </w:tcBorders>
            <w:shd w:val="clear" w:color="auto" w:fill="B8CCE4" w:themeFill="accent1" w:themeFillTint="66"/>
            <w:tcMar>
              <w:top w:w="80" w:type="dxa"/>
              <w:left w:w="80" w:type="dxa"/>
              <w:bottom w:w="80" w:type="dxa"/>
              <w:right w:w="80" w:type="dxa"/>
            </w:tcMar>
            <w:vAlign w:val="center"/>
          </w:tcPr>
          <w:p w:rsidR="00C04568" w:rsidRDefault="00343082" w:rsidP="00115B91">
            <w:pPr>
              <w:pStyle w:val="BodyC"/>
            </w:pPr>
            <w:r>
              <w:rPr>
                <w:sz w:val="20"/>
                <w:szCs w:val="20"/>
              </w:rPr>
              <w:t>Secretaría Nacional de Gestión de la Política (SGP)</w:t>
            </w:r>
          </w:p>
        </w:tc>
        <w:tc>
          <w:tcPr>
            <w:tcW w:w="1559" w:type="dxa"/>
            <w:vMerge/>
            <w:tcBorders>
              <w:bottom w:val="single" w:sz="4" w:space="0" w:color="auto"/>
            </w:tcBorders>
            <w:shd w:val="clear" w:color="auto" w:fill="B8CCE4" w:themeFill="accent1" w:themeFillTint="66"/>
          </w:tcPr>
          <w:p w:rsidR="00C04568" w:rsidRPr="00A31DB1" w:rsidRDefault="00C04568" w:rsidP="00115B91">
            <w:pPr>
              <w:rPr>
                <w:lang w:val="es-EC"/>
              </w:rPr>
            </w:pPr>
          </w:p>
        </w:tc>
        <w:tc>
          <w:tcPr>
            <w:tcW w:w="776" w:type="dxa"/>
            <w:tcBorders>
              <w:bottom w:val="single" w:sz="4" w:space="0" w:color="auto"/>
            </w:tcBorders>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723" w:type="dxa"/>
            <w:tcBorders>
              <w:bottom w:val="single" w:sz="4" w:space="0" w:color="auto"/>
            </w:tcBorders>
            <w:shd w:val="clear" w:color="auto" w:fill="B8CCE4" w:themeFill="accent1"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tcBorders>
              <w:bottom w:val="single" w:sz="4" w:space="0" w:color="auto"/>
            </w:tcBorders>
            <w:shd w:val="clear" w:color="auto" w:fill="B8CCE4" w:themeFill="accent1"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442"/>
          <w:jc w:val="center"/>
        </w:trPr>
        <w:tc>
          <w:tcPr>
            <w:tcW w:w="4820" w:type="dxa"/>
            <w:tcBorders>
              <w:top w:val="single" w:sz="4" w:space="0" w:color="auto"/>
            </w:tcBorders>
            <w:shd w:val="clear" w:color="auto" w:fill="C2D69B" w:themeFill="accent3" w:themeFillTint="99"/>
            <w:tcMar>
              <w:top w:w="80" w:type="dxa"/>
              <w:left w:w="80" w:type="dxa"/>
              <w:bottom w:w="80" w:type="dxa"/>
              <w:right w:w="80" w:type="dxa"/>
            </w:tcMar>
            <w:vAlign w:val="center"/>
          </w:tcPr>
          <w:p w:rsidR="00C04568" w:rsidRDefault="00343082" w:rsidP="00115B91">
            <w:pPr>
              <w:pStyle w:val="BodyC"/>
            </w:pPr>
            <w:r>
              <w:rPr>
                <w:sz w:val="20"/>
                <w:szCs w:val="20"/>
              </w:rPr>
              <w:t>Código Orgánico de Organización Territorial, Autonomía y Descentralización (COOTAD)</w:t>
            </w:r>
          </w:p>
        </w:tc>
        <w:tc>
          <w:tcPr>
            <w:tcW w:w="1559" w:type="dxa"/>
            <w:vMerge w:val="restart"/>
            <w:tcBorders>
              <w:top w:val="single" w:sz="4" w:space="0" w:color="auto"/>
            </w:tcBorders>
            <w:shd w:val="clear" w:color="auto" w:fill="C2D69B" w:themeFill="accent3" w:themeFillTint="99"/>
            <w:tcMar>
              <w:top w:w="80" w:type="dxa"/>
              <w:left w:w="80" w:type="dxa"/>
              <w:bottom w:w="80" w:type="dxa"/>
              <w:right w:w="80" w:type="dxa"/>
            </w:tcMar>
            <w:vAlign w:val="center"/>
          </w:tcPr>
          <w:p w:rsidR="00C04568" w:rsidRDefault="00343082" w:rsidP="00115B91">
            <w:pPr>
              <w:pStyle w:val="BodyC"/>
              <w:jc w:val="center"/>
            </w:pPr>
            <w:r>
              <w:rPr>
                <w:sz w:val="20"/>
                <w:szCs w:val="20"/>
                <w:lang w:val="en-US"/>
              </w:rPr>
              <w:t>Instrumentos</w:t>
            </w:r>
          </w:p>
        </w:tc>
        <w:tc>
          <w:tcPr>
            <w:tcW w:w="776" w:type="dxa"/>
            <w:tcBorders>
              <w:top w:val="single" w:sz="4" w:space="0" w:color="auto"/>
            </w:tcBorders>
            <w:shd w:val="clear" w:color="auto" w:fill="C2D69B" w:themeFill="accent3" w:themeFillTint="99"/>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tcBorders>
              <w:top w:val="single" w:sz="4" w:space="0" w:color="auto"/>
            </w:tcBorders>
            <w:shd w:val="clear" w:color="auto" w:fill="C2D69B" w:themeFill="accent3" w:themeFillTint="99"/>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tcBorders>
              <w:top w:val="single" w:sz="4" w:space="0" w:color="auto"/>
            </w:tcBorders>
            <w:shd w:val="clear" w:color="auto" w:fill="C2D69B" w:themeFill="accent3" w:themeFillTint="99"/>
            <w:tcMar>
              <w:top w:w="80" w:type="dxa"/>
              <w:left w:w="80" w:type="dxa"/>
              <w:bottom w:w="80" w:type="dxa"/>
              <w:right w:w="80" w:type="dxa"/>
            </w:tcMar>
            <w:vAlign w:val="bottom"/>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tcBorders>
              <w:bottom w:val="single" w:sz="4" w:space="0" w:color="auto"/>
            </w:tcBorders>
            <w:shd w:val="clear" w:color="auto" w:fill="C2D69B" w:themeFill="accent3" w:themeFillTint="99"/>
            <w:tcMar>
              <w:top w:w="80" w:type="dxa"/>
              <w:left w:w="80" w:type="dxa"/>
              <w:bottom w:w="80" w:type="dxa"/>
              <w:right w:w="80" w:type="dxa"/>
            </w:tcMar>
            <w:vAlign w:val="center"/>
          </w:tcPr>
          <w:p w:rsidR="00C04568" w:rsidRDefault="00343082" w:rsidP="00115B91">
            <w:pPr>
              <w:pStyle w:val="BodyC"/>
            </w:pPr>
            <w:r>
              <w:rPr>
                <w:sz w:val="20"/>
                <w:szCs w:val="20"/>
              </w:rPr>
              <w:t>Estrategia Nacional de Agua y Saneamiento (ENAS)</w:t>
            </w:r>
          </w:p>
        </w:tc>
        <w:tc>
          <w:tcPr>
            <w:tcW w:w="1559" w:type="dxa"/>
            <w:vMerge/>
            <w:tcBorders>
              <w:bottom w:val="single" w:sz="4" w:space="0" w:color="auto"/>
            </w:tcBorders>
            <w:shd w:val="clear" w:color="auto" w:fill="C2D69B" w:themeFill="accent3" w:themeFillTint="99"/>
          </w:tcPr>
          <w:p w:rsidR="00C04568" w:rsidRPr="00A31DB1" w:rsidRDefault="00C04568" w:rsidP="00115B91">
            <w:pPr>
              <w:rPr>
                <w:lang w:val="es-EC"/>
              </w:rPr>
            </w:pPr>
          </w:p>
        </w:tc>
        <w:tc>
          <w:tcPr>
            <w:tcW w:w="776" w:type="dxa"/>
            <w:tcBorders>
              <w:bottom w:val="single" w:sz="4" w:space="0" w:color="auto"/>
            </w:tcBorders>
            <w:shd w:val="clear" w:color="auto" w:fill="C2D69B" w:themeFill="accent3" w:themeFillTint="99"/>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723" w:type="dxa"/>
            <w:tcBorders>
              <w:bottom w:val="single" w:sz="4" w:space="0" w:color="auto"/>
            </w:tcBorders>
            <w:shd w:val="clear" w:color="auto" w:fill="C2D69B" w:themeFill="accent3" w:themeFillTint="99"/>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620" w:type="dxa"/>
            <w:tcBorders>
              <w:bottom w:val="single" w:sz="4" w:space="0" w:color="auto"/>
            </w:tcBorders>
            <w:shd w:val="clear" w:color="auto" w:fill="C2D69B" w:themeFill="accent3" w:themeFillTint="99"/>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442"/>
          <w:jc w:val="center"/>
        </w:trPr>
        <w:tc>
          <w:tcPr>
            <w:tcW w:w="4820" w:type="dxa"/>
            <w:tcBorders>
              <w:top w:val="single" w:sz="4" w:space="0" w:color="auto"/>
            </w:tcBorders>
            <w:shd w:val="clear" w:color="auto" w:fill="C2D69B" w:themeFill="accent3" w:themeFillTint="99"/>
            <w:tcMar>
              <w:top w:w="80" w:type="dxa"/>
              <w:left w:w="80" w:type="dxa"/>
              <w:bottom w:w="80" w:type="dxa"/>
              <w:right w:w="80" w:type="dxa"/>
            </w:tcMar>
            <w:vAlign w:val="center"/>
          </w:tcPr>
          <w:p w:rsidR="00C04568" w:rsidRDefault="00343082" w:rsidP="00115B91">
            <w:pPr>
              <w:pStyle w:val="BodyC"/>
            </w:pPr>
            <w:r>
              <w:rPr>
                <w:sz w:val="20"/>
                <w:szCs w:val="20"/>
              </w:rPr>
              <w:t>Estrategia Nacional para la Igualdad y la Erradicación de la Pobreza (ENIEP)</w:t>
            </w:r>
          </w:p>
        </w:tc>
        <w:tc>
          <w:tcPr>
            <w:tcW w:w="1559" w:type="dxa"/>
            <w:vMerge/>
            <w:tcBorders>
              <w:top w:val="single" w:sz="4" w:space="0" w:color="auto"/>
            </w:tcBorders>
            <w:shd w:val="clear" w:color="auto" w:fill="C2D69B" w:themeFill="accent3" w:themeFillTint="99"/>
          </w:tcPr>
          <w:p w:rsidR="00C04568" w:rsidRPr="00A31DB1" w:rsidRDefault="00C04568" w:rsidP="00115B91">
            <w:pPr>
              <w:rPr>
                <w:lang w:val="es-EC"/>
              </w:rPr>
            </w:pPr>
          </w:p>
        </w:tc>
        <w:tc>
          <w:tcPr>
            <w:tcW w:w="776" w:type="dxa"/>
            <w:tcBorders>
              <w:top w:val="single" w:sz="4" w:space="0" w:color="auto"/>
            </w:tcBorders>
            <w:shd w:val="clear" w:color="auto" w:fill="C2D69B" w:themeFill="accent3" w:themeFillTint="99"/>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723" w:type="dxa"/>
            <w:tcBorders>
              <w:top w:val="single" w:sz="4" w:space="0" w:color="auto"/>
            </w:tcBorders>
            <w:shd w:val="clear" w:color="auto" w:fill="C2D69B" w:themeFill="accent3" w:themeFillTint="99"/>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620" w:type="dxa"/>
            <w:tcBorders>
              <w:top w:val="single" w:sz="4" w:space="0" w:color="auto"/>
            </w:tcBorders>
            <w:shd w:val="clear" w:color="auto" w:fill="C2D69B" w:themeFill="accent3" w:themeFillTint="99"/>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shd w:val="clear" w:color="auto" w:fill="C2D69B" w:themeFill="accent3" w:themeFillTint="99"/>
            <w:tcMar>
              <w:top w:w="80" w:type="dxa"/>
              <w:left w:w="80" w:type="dxa"/>
              <w:bottom w:w="80" w:type="dxa"/>
              <w:right w:w="80" w:type="dxa"/>
            </w:tcMar>
            <w:vAlign w:val="center"/>
          </w:tcPr>
          <w:p w:rsidR="00C04568" w:rsidRDefault="00343082" w:rsidP="00115B91">
            <w:pPr>
              <w:pStyle w:val="BodyC"/>
            </w:pPr>
            <w:r>
              <w:rPr>
                <w:sz w:val="20"/>
                <w:szCs w:val="20"/>
                <w:lang w:val="en-US"/>
              </w:rPr>
              <w:t xml:space="preserve">Programa Prosaneamiento </w:t>
            </w:r>
          </w:p>
        </w:tc>
        <w:tc>
          <w:tcPr>
            <w:tcW w:w="1559" w:type="dxa"/>
            <w:vMerge/>
            <w:shd w:val="clear" w:color="auto" w:fill="C2D69B" w:themeFill="accent3" w:themeFillTint="99"/>
          </w:tcPr>
          <w:p w:rsidR="00C04568" w:rsidRDefault="00C04568" w:rsidP="00115B91"/>
        </w:tc>
        <w:tc>
          <w:tcPr>
            <w:tcW w:w="776" w:type="dxa"/>
            <w:shd w:val="clear" w:color="auto" w:fill="C2D69B" w:themeFill="accent3" w:themeFillTint="99"/>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shd w:val="clear" w:color="auto" w:fill="C2D69B" w:themeFill="accent3" w:themeFillTint="99"/>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shd w:val="clear" w:color="auto" w:fill="C2D69B" w:themeFill="accent3" w:themeFillTint="99"/>
            <w:tcMar>
              <w:top w:w="80" w:type="dxa"/>
              <w:left w:w="80" w:type="dxa"/>
              <w:bottom w:w="80" w:type="dxa"/>
              <w:right w:w="80" w:type="dxa"/>
            </w:tcMar>
            <w:vAlign w:val="bottom"/>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tcBorders>
              <w:bottom w:val="single" w:sz="4" w:space="0" w:color="auto"/>
            </w:tcBorders>
            <w:shd w:val="clear" w:color="auto" w:fill="C2D69B" w:themeFill="accent3" w:themeFillTint="99"/>
            <w:tcMar>
              <w:top w:w="80" w:type="dxa"/>
              <w:left w:w="80" w:type="dxa"/>
              <w:bottom w:w="80" w:type="dxa"/>
              <w:right w:w="80" w:type="dxa"/>
            </w:tcMar>
            <w:vAlign w:val="center"/>
          </w:tcPr>
          <w:p w:rsidR="00C04568" w:rsidRDefault="00343082" w:rsidP="00115B91">
            <w:pPr>
              <w:pStyle w:val="BodyC"/>
            </w:pPr>
            <w:r>
              <w:rPr>
                <w:sz w:val="20"/>
                <w:szCs w:val="20"/>
              </w:rPr>
              <w:lastRenderedPageBreak/>
              <w:t>Texto Unificado de Legislación Ambiental (TULAS)</w:t>
            </w:r>
          </w:p>
        </w:tc>
        <w:tc>
          <w:tcPr>
            <w:tcW w:w="1559" w:type="dxa"/>
            <w:vMerge/>
            <w:tcBorders>
              <w:bottom w:val="single" w:sz="4" w:space="0" w:color="auto"/>
            </w:tcBorders>
            <w:shd w:val="clear" w:color="auto" w:fill="C2D69B" w:themeFill="accent3" w:themeFillTint="99"/>
          </w:tcPr>
          <w:p w:rsidR="00C04568" w:rsidRPr="00A31DB1" w:rsidRDefault="00C04568" w:rsidP="00115B91">
            <w:pPr>
              <w:rPr>
                <w:lang w:val="es-EC"/>
              </w:rPr>
            </w:pPr>
          </w:p>
        </w:tc>
        <w:tc>
          <w:tcPr>
            <w:tcW w:w="776" w:type="dxa"/>
            <w:tcBorders>
              <w:bottom w:val="single" w:sz="4" w:space="0" w:color="auto"/>
            </w:tcBorders>
            <w:shd w:val="clear" w:color="auto" w:fill="C2D69B" w:themeFill="accent3" w:themeFillTint="99"/>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tcBorders>
              <w:bottom w:val="single" w:sz="4" w:space="0" w:color="auto"/>
            </w:tcBorders>
            <w:shd w:val="clear" w:color="auto" w:fill="C2D69B" w:themeFill="accent3" w:themeFillTint="99"/>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tcBorders>
              <w:bottom w:val="single" w:sz="4" w:space="0" w:color="auto"/>
            </w:tcBorders>
            <w:shd w:val="clear" w:color="auto" w:fill="C2D69B" w:themeFill="accent3" w:themeFillTint="99"/>
            <w:tcMar>
              <w:top w:w="80" w:type="dxa"/>
              <w:left w:w="80" w:type="dxa"/>
              <w:bottom w:w="80" w:type="dxa"/>
              <w:right w:w="80" w:type="dxa"/>
            </w:tcMar>
            <w:vAlign w:val="bottom"/>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tcBorders>
              <w:top w:val="single" w:sz="4" w:space="0" w:color="auto"/>
            </w:tcBorders>
            <w:shd w:val="clear" w:color="auto" w:fill="FBD4B4" w:themeFill="accent6" w:themeFillTint="66"/>
            <w:tcMar>
              <w:top w:w="80" w:type="dxa"/>
              <w:left w:w="80" w:type="dxa"/>
              <w:bottom w:w="80" w:type="dxa"/>
              <w:right w:w="80" w:type="dxa"/>
            </w:tcMar>
            <w:vAlign w:val="center"/>
          </w:tcPr>
          <w:p w:rsidR="00C04568" w:rsidRDefault="00343082" w:rsidP="00115B91">
            <w:pPr>
              <w:pStyle w:val="BodyC"/>
            </w:pPr>
            <w:r>
              <w:rPr>
                <w:sz w:val="20"/>
                <w:szCs w:val="20"/>
                <w:lang w:val="en-US"/>
              </w:rPr>
              <w:t>Banco Alemán (KfW)</w:t>
            </w:r>
          </w:p>
        </w:tc>
        <w:tc>
          <w:tcPr>
            <w:tcW w:w="1559" w:type="dxa"/>
            <w:vMerge w:val="restart"/>
            <w:tcBorders>
              <w:top w:val="single" w:sz="4" w:space="0" w:color="auto"/>
            </w:tcBorders>
            <w:shd w:val="clear" w:color="auto" w:fill="FBD4B4" w:themeFill="accent6"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Organismo internacional</w:t>
            </w:r>
          </w:p>
        </w:tc>
        <w:tc>
          <w:tcPr>
            <w:tcW w:w="776" w:type="dxa"/>
            <w:tcBorders>
              <w:top w:val="single" w:sz="4" w:space="0" w:color="auto"/>
            </w:tcBorders>
            <w:shd w:val="clear" w:color="auto" w:fill="FBD4B4" w:themeFill="accent6"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tcBorders>
              <w:top w:val="single" w:sz="4" w:space="0" w:color="auto"/>
            </w:tcBorders>
            <w:shd w:val="clear" w:color="auto" w:fill="FBD4B4" w:themeFill="accent6"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tcBorders>
              <w:top w:val="single" w:sz="4" w:space="0" w:color="auto"/>
            </w:tcBorders>
            <w:shd w:val="clear" w:color="auto" w:fill="FBD4B4" w:themeFill="accent6"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shd w:val="clear" w:color="auto" w:fill="FBD4B4" w:themeFill="accent6" w:themeFillTint="66"/>
            <w:tcMar>
              <w:top w:w="80" w:type="dxa"/>
              <w:left w:w="80" w:type="dxa"/>
              <w:bottom w:w="80" w:type="dxa"/>
              <w:right w:w="80" w:type="dxa"/>
            </w:tcMar>
            <w:vAlign w:val="center"/>
          </w:tcPr>
          <w:p w:rsidR="00C04568" w:rsidRDefault="00343082" w:rsidP="00115B91">
            <w:pPr>
              <w:pStyle w:val="BodyC"/>
            </w:pPr>
            <w:r>
              <w:rPr>
                <w:sz w:val="20"/>
                <w:szCs w:val="20"/>
              </w:rPr>
              <w:t>Banco Interamericano de Desarrollo (BID)</w:t>
            </w:r>
          </w:p>
        </w:tc>
        <w:tc>
          <w:tcPr>
            <w:tcW w:w="1559" w:type="dxa"/>
            <w:vMerge/>
            <w:shd w:val="clear" w:color="auto" w:fill="FBD4B4" w:themeFill="accent6" w:themeFillTint="66"/>
          </w:tcPr>
          <w:p w:rsidR="00C04568" w:rsidRPr="00A31DB1" w:rsidRDefault="00C04568" w:rsidP="00115B91">
            <w:pPr>
              <w:rPr>
                <w:lang w:val="es-EC"/>
              </w:rPr>
            </w:pPr>
          </w:p>
        </w:tc>
        <w:tc>
          <w:tcPr>
            <w:tcW w:w="776" w:type="dxa"/>
            <w:shd w:val="clear" w:color="auto" w:fill="FBD4B4" w:themeFill="accent6"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shd w:val="clear" w:color="auto" w:fill="FBD4B4" w:themeFill="accent6"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shd w:val="clear" w:color="auto" w:fill="FBD4B4" w:themeFill="accent6"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shd w:val="clear" w:color="auto" w:fill="FBD4B4" w:themeFill="accent6" w:themeFillTint="66"/>
            <w:tcMar>
              <w:top w:w="80" w:type="dxa"/>
              <w:left w:w="80" w:type="dxa"/>
              <w:bottom w:w="80" w:type="dxa"/>
              <w:right w:w="80" w:type="dxa"/>
            </w:tcMar>
            <w:vAlign w:val="center"/>
          </w:tcPr>
          <w:p w:rsidR="00C04568" w:rsidRDefault="00343082" w:rsidP="00115B91">
            <w:pPr>
              <w:pStyle w:val="BodyC"/>
            </w:pPr>
            <w:r>
              <w:rPr>
                <w:sz w:val="20"/>
                <w:szCs w:val="20"/>
                <w:lang w:val="en-US"/>
              </w:rPr>
              <w:t>Banco Mundial (BM)</w:t>
            </w:r>
          </w:p>
        </w:tc>
        <w:tc>
          <w:tcPr>
            <w:tcW w:w="1559" w:type="dxa"/>
            <w:vMerge/>
            <w:shd w:val="clear" w:color="auto" w:fill="FBD4B4" w:themeFill="accent6" w:themeFillTint="66"/>
          </w:tcPr>
          <w:p w:rsidR="00C04568" w:rsidRDefault="00C04568" w:rsidP="00115B91"/>
        </w:tc>
        <w:tc>
          <w:tcPr>
            <w:tcW w:w="776" w:type="dxa"/>
            <w:shd w:val="clear" w:color="auto" w:fill="FBD4B4" w:themeFill="accent6"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shd w:val="clear" w:color="auto" w:fill="FBD4B4" w:themeFill="accent6"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shd w:val="clear" w:color="auto" w:fill="FBD4B4" w:themeFill="accent6"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shd w:val="clear" w:color="auto" w:fill="FBD4B4" w:themeFill="accent6" w:themeFillTint="66"/>
            <w:tcMar>
              <w:top w:w="80" w:type="dxa"/>
              <w:left w:w="80" w:type="dxa"/>
              <w:bottom w:w="80" w:type="dxa"/>
              <w:right w:w="80" w:type="dxa"/>
            </w:tcMar>
            <w:vAlign w:val="center"/>
          </w:tcPr>
          <w:p w:rsidR="00C04568" w:rsidRDefault="00343082" w:rsidP="00115B91">
            <w:pPr>
              <w:pStyle w:val="BodyC"/>
            </w:pPr>
            <w:r>
              <w:rPr>
                <w:sz w:val="20"/>
                <w:szCs w:val="20"/>
              </w:rPr>
              <w:t>Corporación Andina de Fomento (CAF)</w:t>
            </w:r>
          </w:p>
        </w:tc>
        <w:tc>
          <w:tcPr>
            <w:tcW w:w="1559" w:type="dxa"/>
            <w:vMerge/>
            <w:shd w:val="clear" w:color="auto" w:fill="FBD4B4" w:themeFill="accent6" w:themeFillTint="66"/>
          </w:tcPr>
          <w:p w:rsidR="00C04568" w:rsidRPr="00A31DB1" w:rsidRDefault="00C04568" w:rsidP="00115B91">
            <w:pPr>
              <w:rPr>
                <w:lang w:val="es-EC"/>
              </w:rPr>
            </w:pPr>
          </w:p>
        </w:tc>
        <w:tc>
          <w:tcPr>
            <w:tcW w:w="776" w:type="dxa"/>
            <w:shd w:val="clear" w:color="auto" w:fill="FBD4B4" w:themeFill="accent6"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shd w:val="clear" w:color="auto" w:fill="FBD4B4" w:themeFill="accent6"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shd w:val="clear" w:color="auto" w:fill="FBD4B4" w:themeFill="accent6"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tcBorders>
              <w:bottom w:val="single" w:sz="4" w:space="0" w:color="auto"/>
            </w:tcBorders>
            <w:shd w:val="clear" w:color="auto" w:fill="FBD4B4" w:themeFill="accent6" w:themeFillTint="66"/>
            <w:tcMar>
              <w:top w:w="80" w:type="dxa"/>
              <w:left w:w="80" w:type="dxa"/>
              <w:bottom w:w="80" w:type="dxa"/>
              <w:right w:w="80" w:type="dxa"/>
            </w:tcMar>
            <w:vAlign w:val="center"/>
          </w:tcPr>
          <w:p w:rsidR="00C04568" w:rsidRDefault="00343082" w:rsidP="00115B91">
            <w:pPr>
              <w:pStyle w:val="BodyC"/>
            </w:pPr>
            <w:r>
              <w:rPr>
                <w:sz w:val="20"/>
                <w:szCs w:val="20"/>
              </w:rPr>
              <w:t>Fondo de Cooperación Española (FCE)</w:t>
            </w:r>
          </w:p>
        </w:tc>
        <w:tc>
          <w:tcPr>
            <w:tcW w:w="1559" w:type="dxa"/>
            <w:vMerge/>
            <w:tcBorders>
              <w:bottom w:val="single" w:sz="4" w:space="0" w:color="auto"/>
            </w:tcBorders>
            <w:shd w:val="clear" w:color="auto" w:fill="FBD4B4" w:themeFill="accent6" w:themeFillTint="66"/>
          </w:tcPr>
          <w:p w:rsidR="00C04568" w:rsidRPr="00A31DB1" w:rsidRDefault="00C04568" w:rsidP="00115B91">
            <w:pPr>
              <w:rPr>
                <w:lang w:val="es-EC"/>
              </w:rPr>
            </w:pPr>
          </w:p>
        </w:tc>
        <w:tc>
          <w:tcPr>
            <w:tcW w:w="776" w:type="dxa"/>
            <w:tcBorders>
              <w:bottom w:val="single" w:sz="4" w:space="0" w:color="auto"/>
            </w:tcBorders>
            <w:shd w:val="clear" w:color="auto" w:fill="FBD4B4" w:themeFill="accent6"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723" w:type="dxa"/>
            <w:tcBorders>
              <w:bottom w:val="single" w:sz="4" w:space="0" w:color="auto"/>
            </w:tcBorders>
            <w:shd w:val="clear" w:color="auto" w:fill="FBD4B4" w:themeFill="accent6"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620" w:type="dxa"/>
            <w:tcBorders>
              <w:bottom w:val="single" w:sz="4" w:space="0" w:color="auto"/>
            </w:tcBorders>
            <w:shd w:val="clear" w:color="auto" w:fill="FBD4B4" w:themeFill="accent6"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r>
      <w:tr w:rsidR="00C04568" w:rsidTr="00115B91">
        <w:tblPrEx>
          <w:shd w:val="clear" w:color="auto" w:fill="CED7E7"/>
        </w:tblPrEx>
        <w:trPr>
          <w:trHeight w:val="222"/>
          <w:jc w:val="center"/>
        </w:trPr>
        <w:tc>
          <w:tcPr>
            <w:tcW w:w="4820" w:type="dxa"/>
            <w:tcBorders>
              <w:top w:val="single" w:sz="4" w:space="0" w:color="auto"/>
            </w:tcBorders>
            <w:shd w:val="clear" w:color="auto" w:fill="CCC0D9" w:themeFill="accent4" w:themeFillTint="66"/>
            <w:tcMar>
              <w:top w:w="80" w:type="dxa"/>
              <w:left w:w="80" w:type="dxa"/>
              <w:bottom w:w="80" w:type="dxa"/>
              <w:right w:w="80" w:type="dxa"/>
            </w:tcMar>
            <w:vAlign w:val="center"/>
          </w:tcPr>
          <w:p w:rsidR="00C04568" w:rsidRDefault="00343082" w:rsidP="00115B91">
            <w:pPr>
              <w:pStyle w:val="BodyC"/>
            </w:pPr>
            <w:r>
              <w:rPr>
                <w:sz w:val="20"/>
                <w:szCs w:val="20"/>
              </w:rPr>
              <w:t>Acuerdo Nacional por el Buen Vivir(ANBV)</w:t>
            </w:r>
          </w:p>
        </w:tc>
        <w:tc>
          <w:tcPr>
            <w:tcW w:w="1559" w:type="dxa"/>
            <w:vMerge w:val="restart"/>
            <w:tcBorders>
              <w:top w:val="single" w:sz="4" w:space="0" w:color="auto"/>
            </w:tcBorders>
            <w:shd w:val="clear" w:color="auto" w:fill="CCC0D9" w:themeFill="accent4"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Hecho</w:t>
            </w:r>
          </w:p>
        </w:tc>
        <w:tc>
          <w:tcPr>
            <w:tcW w:w="776" w:type="dxa"/>
            <w:tcBorders>
              <w:top w:val="single" w:sz="4" w:space="0" w:color="auto"/>
            </w:tcBorders>
            <w:shd w:val="clear" w:color="auto" w:fill="CCC0D9" w:themeFill="accent4"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tcBorders>
              <w:top w:val="single" w:sz="4" w:space="0" w:color="auto"/>
            </w:tcBorders>
            <w:shd w:val="clear" w:color="auto" w:fill="CCC0D9" w:themeFill="accent4"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620" w:type="dxa"/>
            <w:tcBorders>
              <w:top w:val="single" w:sz="4" w:space="0" w:color="auto"/>
            </w:tcBorders>
            <w:shd w:val="clear" w:color="auto" w:fill="CCC0D9" w:themeFill="accent4"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0</w:t>
            </w:r>
          </w:p>
        </w:tc>
      </w:tr>
      <w:tr w:rsidR="00C04568" w:rsidTr="00115B91">
        <w:tblPrEx>
          <w:shd w:val="clear" w:color="auto" w:fill="CED7E7"/>
        </w:tblPrEx>
        <w:trPr>
          <w:trHeight w:val="222"/>
          <w:jc w:val="center"/>
        </w:trPr>
        <w:tc>
          <w:tcPr>
            <w:tcW w:w="4820" w:type="dxa"/>
            <w:shd w:val="clear" w:color="auto" w:fill="CCC0D9" w:themeFill="accent4" w:themeFillTint="66"/>
            <w:tcMar>
              <w:top w:w="80" w:type="dxa"/>
              <w:left w:w="80" w:type="dxa"/>
              <w:bottom w:w="80" w:type="dxa"/>
              <w:right w:w="80" w:type="dxa"/>
            </w:tcMar>
            <w:vAlign w:val="center"/>
          </w:tcPr>
          <w:p w:rsidR="00C04568" w:rsidRDefault="00343082" w:rsidP="00115B91">
            <w:pPr>
              <w:pStyle w:val="BodyC"/>
            </w:pPr>
            <w:r>
              <w:rPr>
                <w:sz w:val="20"/>
                <w:szCs w:val="20"/>
              </w:rPr>
              <w:t>Alianza Estratégica Municipal por el Agua(AEMA)</w:t>
            </w:r>
          </w:p>
        </w:tc>
        <w:tc>
          <w:tcPr>
            <w:tcW w:w="1559" w:type="dxa"/>
            <w:vMerge/>
            <w:shd w:val="clear" w:color="auto" w:fill="CCC0D9" w:themeFill="accent4" w:themeFillTint="66"/>
          </w:tcPr>
          <w:p w:rsidR="00C04568" w:rsidRPr="00A31DB1" w:rsidRDefault="00C04568" w:rsidP="00115B91">
            <w:pPr>
              <w:rPr>
                <w:lang w:val="es-EC"/>
              </w:rPr>
            </w:pPr>
          </w:p>
        </w:tc>
        <w:tc>
          <w:tcPr>
            <w:tcW w:w="776" w:type="dxa"/>
            <w:shd w:val="clear" w:color="auto" w:fill="CCC0D9" w:themeFill="accent4"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shd w:val="clear" w:color="auto" w:fill="CCC0D9" w:themeFill="accent4"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620" w:type="dxa"/>
            <w:shd w:val="clear" w:color="auto" w:fill="CCC0D9" w:themeFill="accent4"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0</w:t>
            </w:r>
          </w:p>
        </w:tc>
      </w:tr>
      <w:tr w:rsidR="00C04568" w:rsidTr="00115B91">
        <w:tblPrEx>
          <w:shd w:val="clear" w:color="auto" w:fill="CED7E7"/>
        </w:tblPrEx>
        <w:trPr>
          <w:trHeight w:val="222"/>
          <w:jc w:val="center"/>
        </w:trPr>
        <w:tc>
          <w:tcPr>
            <w:tcW w:w="4820" w:type="dxa"/>
            <w:shd w:val="clear" w:color="auto" w:fill="CCC0D9" w:themeFill="accent4" w:themeFillTint="66"/>
            <w:tcMar>
              <w:top w:w="80" w:type="dxa"/>
              <w:left w:w="80" w:type="dxa"/>
              <w:bottom w:w="80" w:type="dxa"/>
              <w:right w:w="80" w:type="dxa"/>
            </w:tcMar>
            <w:vAlign w:val="center"/>
          </w:tcPr>
          <w:p w:rsidR="00C04568" w:rsidRDefault="00343082" w:rsidP="00115B91">
            <w:pPr>
              <w:pStyle w:val="BodyC"/>
            </w:pPr>
            <w:r>
              <w:rPr>
                <w:sz w:val="20"/>
                <w:szCs w:val="20"/>
                <w:lang w:val="en-US"/>
              </w:rPr>
              <w:t>Cambio  Metas PNBV</w:t>
            </w:r>
          </w:p>
        </w:tc>
        <w:tc>
          <w:tcPr>
            <w:tcW w:w="1559" w:type="dxa"/>
            <w:vMerge/>
            <w:shd w:val="clear" w:color="auto" w:fill="CCC0D9" w:themeFill="accent4" w:themeFillTint="66"/>
          </w:tcPr>
          <w:p w:rsidR="00C04568" w:rsidRDefault="00C04568" w:rsidP="00115B91"/>
        </w:tc>
        <w:tc>
          <w:tcPr>
            <w:tcW w:w="776" w:type="dxa"/>
            <w:shd w:val="clear" w:color="auto" w:fill="CCC0D9" w:themeFill="accent4"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shd w:val="clear" w:color="auto" w:fill="CCC0D9" w:themeFill="accent4"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shd w:val="clear" w:color="auto" w:fill="CCC0D9" w:themeFill="accent4"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0</w:t>
            </w:r>
          </w:p>
        </w:tc>
      </w:tr>
      <w:tr w:rsidR="00C04568" w:rsidTr="00115B91">
        <w:tblPrEx>
          <w:shd w:val="clear" w:color="auto" w:fill="CED7E7"/>
        </w:tblPrEx>
        <w:trPr>
          <w:trHeight w:val="222"/>
          <w:jc w:val="center"/>
        </w:trPr>
        <w:tc>
          <w:tcPr>
            <w:tcW w:w="4820" w:type="dxa"/>
            <w:tcBorders>
              <w:bottom w:val="single" w:sz="4" w:space="0" w:color="auto"/>
            </w:tcBorders>
            <w:shd w:val="clear" w:color="auto" w:fill="CCC0D9" w:themeFill="accent4" w:themeFillTint="66"/>
            <w:tcMar>
              <w:top w:w="80" w:type="dxa"/>
              <w:left w:w="80" w:type="dxa"/>
              <w:bottom w:w="80" w:type="dxa"/>
              <w:right w:w="80" w:type="dxa"/>
            </w:tcMar>
            <w:vAlign w:val="center"/>
          </w:tcPr>
          <w:p w:rsidR="00C04568" w:rsidRDefault="00343082" w:rsidP="00115B91">
            <w:pPr>
              <w:pStyle w:val="BodyC"/>
            </w:pPr>
            <w:r>
              <w:rPr>
                <w:sz w:val="20"/>
                <w:szCs w:val="20"/>
                <w:lang w:val="en-US"/>
              </w:rPr>
              <w:t>Propuesta interinstitucional(Propuesta)</w:t>
            </w:r>
          </w:p>
        </w:tc>
        <w:tc>
          <w:tcPr>
            <w:tcW w:w="1559" w:type="dxa"/>
            <w:vMerge/>
            <w:tcBorders>
              <w:bottom w:val="single" w:sz="4" w:space="0" w:color="auto"/>
            </w:tcBorders>
            <w:shd w:val="clear" w:color="auto" w:fill="CCC0D9" w:themeFill="accent4" w:themeFillTint="66"/>
          </w:tcPr>
          <w:p w:rsidR="00C04568" w:rsidRDefault="00C04568" w:rsidP="00115B91"/>
        </w:tc>
        <w:tc>
          <w:tcPr>
            <w:tcW w:w="776" w:type="dxa"/>
            <w:tcBorders>
              <w:bottom w:val="single" w:sz="4" w:space="0" w:color="auto"/>
            </w:tcBorders>
            <w:shd w:val="clear" w:color="auto" w:fill="CCC0D9" w:themeFill="accent4"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0</w:t>
            </w:r>
          </w:p>
        </w:tc>
        <w:tc>
          <w:tcPr>
            <w:tcW w:w="723" w:type="dxa"/>
            <w:tcBorders>
              <w:bottom w:val="single" w:sz="4" w:space="0" w:color="auto"/>
            </w:tcBorders>
            <w:shd w:val="clear" w:color="auto" w:fill="CCC0D9" w:themeFill="accent4" w:themeFillTint="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tcBorders>
              <w:bottom w:val="single" w:sz="4" w:space="0" w:color="auto"/>
            </w:tcBorders>
            <w:shd w:val="clear" w:color="auto" w:fill="CCC0D9" w:themeFill="accent4" w:themeFillTint="66"/>
            <w:tcMar>
              <w:top w:w="80" w:type="dxa"/>
              <w:left w:w="80" w:type="dxa"/>
              <w:bottom w:w="80" w:type="dxa"/>
              <w:right w:w="80" w:type="dxa"/>
            </w:tcMar>
            <w:vAlign w:val="bottom"/>
          </w:tcPr>
          <w:p w:rsidR="00C04568" w:rsidRDefault="00343082" w:rsidP="00115B91">
            <w:pPr>
              <w:pStyle w:val="BodyC"/>
              <w:jc w:val="center"/>
            </w:pPr>
            <w:r>
              <w:rPr>
                <w:sz w:val="20"/>
                <w:szCs w:val="20"/>
                <w:lang w:val="en-US"/>
              </w:rPr>
              <w:t>0</w:t>
            </w:r>
          </w:p>
        </w:tc>
      </w:tr>
      <w:tr w:rsidR="00C04568" w:rsidTr="00115B91">
        <w:tblPrEx>
          <w:shd w:val="clear" w:color="auto" w:fill="CED7E7"/>
        </w:tblPrEx>
        <w:trPr>
          <w:trHeight w:val="442"/>
          <w:jc w:val="center"/>
        </w:trPr>
        <w:tc>
          <w:tcPr>
            <w:tcW w:w="4820" w:type="dxa"/>
            <w:tcBorders>
              <w:top w:val="single" w:sz="4" w:space="0" w:color="auto"/>
              <w:bottom w:val="single" w:sz="4" w:space="0" w:color="auto"/>
            </w:tcBorders>
            <w:shd w:val="clear" w:color="auto" w:fill="FFFF66"/>
            <w:tcMar>
              <w:top w:w="80" w:type="dxa"/>
              <w:left w:w="80" w:type="dxa"/>
              <w:bottom w:w="80" w:type="dxa"/>
              <w:right w:w="80" w:type="dxa"/>
            </w:tcMar>
            <w:vAlign w:val="center"/>
          </w:tcPr>
          <w:p w:rsidR="00C04568" w:rsidRDefault="00A8200D" w:rsidP="00835701">
            <w:pPr>
              <w:pStyle w:val="BodyC"/>
            </w:pPr>
            <w:r>
              <w:rPr>
                <w:sz w:val="20"/>
                <w:szCs w:val="20"/>
                <w:lang w:val="en-US"/>
              </w:rPr>
              <w:t>Presidente</w:t>
            </w:r>
            <w:r w:rsidR="00343082">
              <w:rPr>
                <w:sz w:val="20"/>
                <w:szCs w:val="20"/>
                <w:lang w:val="en-US"/>
              </w:rPr>
              <w:t xml:space="preserve"> </w:t>
            </w:r>
          </w:p>
        </w:tc>
        <w:tc>
          <w:tcPr>
            <w:tcW w:w="1559" w:type="dxa"/>
            <w:tcBorders>
              <w:top w:val="single" w:sz="4" w:space="0" w:color="auto"/>
              <w:bottom w:val="single" w:sz="4" w:space="0" w:color="auto"/>
            </w:tcBorders>
            <w:shd w:val="clear" w:color="auto" w:fill="FFFF66"/>
            <w:tcMar>
              <w:top w:w="80" w:type="dxa"/>
              <w:left w:w="80" w:type="dxa"/>
              <w:bottom w:w="80" w:type="dxa"/>
              <w:right w:w="80" w:type="dxa"/>
            </w:tcMar>
            <w:vAlign w:val="center"/>
          </w:tcPr>
          <w:p w:rsidR="00C04568" w:rsidRDefault="00343082" w:rsidP="00115B91">
            <w:pPr>
              <w:pStyle w:val="BodyC"/>
              <w:jc w:val="center"/>
            </w:pPr>
            <w:r>
              <w:rPr>
                <w:sz w:val="20"/>
                <w:szCs w:val="20"/>
                <w:lang w:val="en-US"/>
              </w:rPr>
              <w:t>Actor particular</w:t>
            </w:r>
          </w:p>
        </w:tc>
        <w:tc>
          <w:tcPr>
            <w:tcW w:w="776" w:type="dxa"/>
            <w:tcBorders>
              <w:top w:val="single" w:sz="4" w:space="0" w:color="auto"/>
              <w:bottom w:val="single" w:sz="4" w:space="0" w:color="auto"/>
            </w:tcBorders>
            <w:shd w:val="clear" w:color="auto" w:fill="FFFF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723" w:type="dxa"/>
            <w:tcBorders>
              <w:top w:val="single" w:sz="4" w:space="0" w:color="auto"/>
              <w:bottom w:val="single" w:sz="4" w:space="0" w:color="auto"/>
            </w:tcBorders>
            <w:shd w:val="clear" w:color="auto" w:fill="FFFF66"/>
            <w:tcMar>
              <w:top w:w="80" w:type="dxa"/>
              <w:left w:w="80" w:type="dxa"/>
              <w:bottom w:w="80" w:type="dxa"/>
              <w:right w:w="80" w:type="dxa"/>
            </w:tcMar>
            <w:vAlign w:val="center"/>
          </w:tcPr>
          <w:p w:rsidR="00C04568" w:rsidRDefault="00343082" w:rsidP="00115B91">
            <w:pPr>
              <w:pStyle w:val="BodyC"/>
              <w:jc w:val="center"/>
            </w:pPr>
            <w:r>
              <w:rPr>
                <w:sz w:val="20"/>
                <w:szCs w:val="20"/>
                <w:lang w:val="en-US"/>
              </w:rPr>
              <w:t>1</w:t>
            </w:r>
          </w:p>
        </w:tc>
        <w:tc>
          <w:tcPr>
            <w:tcW w:w="620" w:type="dxa"/>
            <w:tcBorders>
              <w:top w:val="single" w:sz="4" w:space="0" w:color="auto"/>
              <w:bottom w:val="single" w:sz="4" w:space="0" w:color="auto"/>
            </w:tcBorders>
            <w:shd w:val="clear" w:color="auto" w:fill="FFFF66"/>
            <w:tcMar>
              <w:top w:w="80" w:type="dxa"/>
              <w:left w:w="80" w:type="dxa"/>
              <w:bottom w:w="80" w:type="dxa"/>
              <w:right w:w="80" w:type="dxa"/>
            </w:tcMar>
            <w:vAlign w:val="bottom"/>
          </w:tcPr>
          <w:p w:rsidR="00C04568" w:rsidRDefault="00343082" w:rsidP="00115B91">
            <w:pPr>
              <w:pStyle w:val="BodyC"/>
              <w:jc w:val="center"/>
            </w:pPr>
            <w:r>
              <w:rPr>
                <w:sz w:val="20"/>
                <w:szCs w:val="20"/>
                <w:lang w:val="en-US"/>
              </w:rPr>
              <w:t>0</w:t>
            </w:r>
          </w:p>
        </w:tc>
      </w:tr>
    </w:tbl>
    <w:p w:rsidR="00C04568" w:rsidRDefault="00C04568">
      <w:pPr>
        <w:pStyle w:val="Epgrafe"/>
        <w:widowControl w:val="0"/>
        <w:spacing w:after="0"/>
        <w:jc w:val="center"/>
        <w:rPr>
          <w:rFonts w:ascii="Times New Roman" w:eastAsia="Times New Roman" w:hAnsi="Times New Roman" w:cs="Times New Roman"/>
        </w:rPr>
      </w:pPr>
    </w:p>
    <w:p w:rsidR="004560C7" w:rsidRPr="004D72FD" w:rsidRDefault="00343082" w:rsidP="00395C47">
      <w:pPr>
        <w:pStyle w:val="BodyA"/>
        <w:spacing w:after="0" w:line="360" w:lineRule="auto"/>
        <w:jc w:val="both"/>
        <w:rPr>
          <w:rFonts w:ascii="Times New Roman" w:eastAsia="Times New Roman" w:hAnsi="Times New Roman" w:cs="Times New Roman"/>
          <w:sz w:val="20"/>
          <w:szCs w:val="20"/>
        </w:rPr>
      </w:pPr>
      <w:r w:rsidRPr="004D72FD">
        <w:rPr>
          <w:rFonts w:ascii="Times New Roman" w:hAnsi="Times New Roman"/>
          <w:sz w:val="20"/>
          <w:szCs w:val="20"/>
        </w:rPr>
        <w:t xml:space="preserve">Fuente: </w:t>
      </w:r>
      <w:r w:rsidR="004D72FD" w:rsidRPr="004D72FD">
        <w:rPr>
          <w:rFonts w:ascii="Times New Roman" w:hAnsi="Times New Roman"/>
          <w:sz w:val="20"/>
          <w:szCs w:val="20"/>
        </w:rPr>
        <w:t>Elaboración propia</w:t>
      </w:r>
    </w:p>
    <w:p w:rsidR="004560C7" w:rsidRDefault="004560C7">
      <w:pPr>
        <w:pStyle w:val="BodyB"/>
        <w:spacing w:line="360" w:lineRule="auto"/>
      </w:pPr>
    </w:p>
    <w:p w:rsidR="004560C7" w:rsidRDefault="004560C7" w:rsidP="004560C7">
      <w:pPr>
        <w:pStyle w:val="Epgrafe"/>
        <w:spacing w:after="0"/>
        <w:jc w:val="center"/>
        <w:rPr>
          <w:rFonts w:ascii="Times New Roman" w:hAnsi="Times New Roman" w:cs="Times New Roman"/>
          <w:color w:val="000000"/>
          <w:sz w:val="24"/>
          <w:szCs w:val="24"/>
          <w:u w:color="000000"/>
        </w:rPr>
      </w:pPr>
      <w:r w:rsidRPr="00537D1E">
        <w:rPr>
          <w:rFonts w:ascii="Times New Roman" w:hAnsi="Times New Roman" w:cs="Times New Roman"/>
          <w:color w:val="000000"/>
          <w:sz w:val="24"/>
          <w:szCs w:val="24"/>
          <w:u w:color="000000"/>
        </w:rPr>
        <w:t xml:space="preserve">Gráfico 2. </w:t>
      </w:r>
      <w:r>
        <w:rPr>
          <w:rFonts w:ascii="Times New Roman" w:hAnsi="Times New Roman" w:cs="Times New Roman"/>
          <w:color w:val="000000"/>
          <w:sz w:val="24"/>
          <w:szCs w:val="24"/>
          <w:u w:color="000000"/>
        </w:rPr>
        <w:t>R</w:t>
      </w:r>
      <w:r w:rsidRPr="00537D1E">
        <w:rPr>
          <w:rFonts w:ascii="Times New Roman" w:hAnsi="Times New Roman" w:cs="Times New Roman"/>
          <w:color w:val="000000"/>
          <w:sz w:val="24"/>
          <w:szCs w:val="24"/>
          <w:u w:color="000000"/>
        </w:rPr>
        <w:t xml:space="preserve">edes </w:t>
      </w:r>
      <w:r w:rsidR="00601550">
        <w:rPr>
          <w:rFonts w:ascii="Times New Roman" w:hAnsi="Times New Roman" w:cs="Times New Roman"/>
          <w:color w:val="000000"/>
          <w:sz w:val="24"/>
          <w:szCs w:val="24"/>
          <w:u w:color="000000"/>
        </w:rPr>
        <w:t>de</w:t>
      </w:r>
      <w:r w:rsidRPr="00537D1E">
        <w:rPr>
          <w:rFonts w:ascii="Times New Roman" w:hAnsi="Times New Roman" w:cs="Times New Roman"/>
          <w:color w:val="000000"/>
          <w:sz w:val="24"/>
          <w:szCs w:val="24"/>
          <w:u w:color="000000"/>
        </w:rPr>
        <w:t xml:space="preserve"> </w:t>
      </w:r>
      <w:r>
        <w:rPr>
          <w:rFonts w:ascii="Times New Roman" w:hAnsi="Times New Roman" w:cs="Times New Roman"/>
          <w:color w:val="000000"/>
          <w:sz w:val="24"/>
          <w:szCs w:val="24"/>
          <w:u w:color="000000"/>
        </w:rPr>
        <w:t>la primera</w:t>
      </w:r>
      <w:r w:rsidR="004D72FD">
        <w:rPr>
          <w:rFonts w:ascii="Times New Roman" w:hAnsi="Times New Roman" w:cs="Times New Roman"/>
          <w:color w:val="000000"/>
          <w:sz w:val="24"/>
          <w:szCs w:val="24"/>
          <w:u w:color="000000"/>
        </w:rPr>
        <w:t xml:space="preserve"> etapa</w:t>
      </w:r>
    </w:p>
    <w:p w:rsidR="001321C4" w:rsidRDefault="006933E3" w:rsidP="001321C4">
      <w:pPr>
        <w:pStyle w:val="BodyB"/>
      </w:pPr>
      <w:r>
        <w:rPr>
          <w:noProof/>
          <w:lang w:val="es-EC"/>
        </w:rPr>
        <mc:AlternateContent>
          <mc:Choice Requires="wps">
            <w:drawing>
              <wp:anchor distT="0" distB="0" distL="114300" distR="114300" simplePos="0" relativeHeight="251673600" behindDoc="0" locked="0" layoutInCell="1" allowOverlap="1" wp14:anchorId="13073505" wp14:editId="1689B113">
                <wp:simplePos x="0" y="0"/>
                <wp:positionH relativeFrom="column">
                  <wp:posOffset>918653</wp:posOffset>
                </wp:positionH>
                <wp:positionV relativeFrom="paragraph">
                  <wp:posOffset>318135</wp:posOffset>
                </wp:positionV>
                <wp:extent cx="1507490" cy="538717"/>
                <wp:effectExtent l="0" t="0" r="16510" b="762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538717"/>
                        </a:xfrm>
                        <a:prstGeom prst="rect">
                          <a:avLst/>
                        </a:prstGeom>
                        <a:solidFill>
                          <a:srgbClr val="FFFFFF"/>
                        </a:solidFill>
                        <a:ln w="9525">
                          <a:solidFill>
                            <a:schemeClr val="accent4">
                              <a:lumMod val="75000"/>
                            </a:schemeClr>
                          </a:solidFill>
                          <a:miter lim="800000"/>
                          <a:headEnd/>
                          <a:tailEnd/>
                        </a:ln>
                      </wps:spPr>
                      <wps:txbx>
                        <w:txbxContent>
                          <w:p w:rsidR="00480316" w:rsidRPr="006933E3" w:rsidRDefault="00480316" w:rsidP="006933E3">
                            <w:pPr>
                              <w:pStyle w:val="Sinespaciado"/>
                              <w:rPr>
                                <w:rFonts w:ascii="Times New Roman" w:hAnsi="Times New Roman" w:cs="Times New Roman"/>
                                <w:color w:val="B2A1C7" w:themeColor="accent4" w:themeTint="99"/>
                                <w:sz w:val="20"/>
                                <w:szCs w:val="20"/>
                                <w:lang w:val="es-ES"/>
                              </w:rPr>
                            </w:pPr>
                            <w:r w:rsidRPr="006933E3">
                              <w:rPr>
                                <w:rFonts w:ascii="Times New Roman" w:hAnsi="Times New Roman" w:cs="Times New Roman"/>
                                <w:b/>
                                <w:color w:val="B2A1C7" w:themeColor="accent4" w:themeTint="99"/>
                                <w:sz w:val="20"/>
                                <w:szCs w:val="20"/>
                                <w:lang w:val="es-ES"/>
                              </w:rPr>
                              <w:t xml:space="preserve">Red </w:t>
                            </w:r>
                            <w:r>
                              <w:rPr>
                                <w:rFonts w:ascii="Times New Roman" w:hAnsi="Times New Roman" w:cs="Times New Roman"/>
                                <w:b/>
                                <w:color w:val="B2A1C7" w:themeColor="accent4" w:themeTint="99"/>
                                <w:sz w:val="20"/>
                                <w:szCs w:val="20"/>
                                <w:lang w:val="es-ES"/>
                              </w:rPr>
                              <w:t>2</w:t>
                            </w:r>
                            <w:r w:rsidRPr="006933E3">
                              <w:rPr>
                                <w:rFonts w:ascii="Times New Roman" w:hAnsi="Times New Roman" w:cs="Times New Roman"/>
                                <w:color w:val="B2A1C7" w:themeColor="accent4" w:themeTint="99"/>
                                <w:sz w:val="20"/>
                                <w:szCs w:val="20"/>
                                <w:lang w:val="es-ES"/>
                              </w:rPr>
                              <w:t>: Proseaneamiento</w:t>
                            </w:r>
                          </w:p>
                          <w:p w:rsidR="00480316" w:rsidRPr="006933E3" w:rsidRDefault="00480316" w:rsidP="006933E3">
                            <w:pPr>
                              <w:pStyle w:val="Sinespaciado"/>
                              <w:rPr>
                                <w:rFonts w:ascii="Times New Roman" w:hAnsi="Times New Roman" w:cs="Times New Roman"/>
                                <w:color w:val="B2A1C7" w:themeColor="accent4" w:themeTint="99"/>
                                <w:sz w:val="20"/>
                                <w:szCs w:val="20"/>
                                <w:lang w:val="es-ES"/>
                              </w:rPr>
                            </w:pPr>
                            <w:r w:rsidRPr="006933E3">
                              <w:rPr>
                                <w:rFonts w:ascii="Times New Roman" w:hAnsi="Times New Roman" w:cs="Times New Roman"/>
                                <w:color w:val="B2A1C7" w:themeColor="accent4" w:themeTint="99"/>
                                <w:sz w:val="20"/>
                                <w:szCs w:val="20"/>
                                <w:lang w:val="es-ES"/>
                              </w:rPr>
                              <w:t>Idea programática:</w:t>
                            </w:r>
                          </w:p>
                          <w:p w:rsidR="00480316" w:rsidRPr="006933E3" w:rsidRDefault="00480316" w:rsidP="006933E3">
                            <w:pPr>
                              <w:pStyle w:val="Sinespaciado"/>
                              <w:rPr>
                                <w:rFonts w:ascii="Times New Roman" w:hAnsi="Times New Roman" w:cs="Times New Roman"/>
                                <w:color w:val="B2A1C7" w:themeColor="accent4" w:themeTint="99"/>
                                <w:sz w:val="20"/>
                                <w:szCs w:val="20"/>
                                <w:lang w:val="es-ES"/>
                              </w:rPr>
                            </w:pPr>
                            <w:r w:rsidRPr="006933E3">
                              <w:rPr>
                                <w:rFonts w:ascii="Times New Roman" w:hAnsi="Times New Roman" w:cs="Times New Roman"/>
                                <w:color w:val="B2A1C7" w:themeColor="accent4" w:themeTint="99"/>
                                <w:sz w:val="20"/>
                                <w:szCs w:val="20"/>
                                <w:lang w:val="es-ES"/>
                              </w:rPr>
                              <w:t>Financiamiento</w:t>
                            </w:r>
                          </w:p>
                          <w:p w:rsidR="00480316" w:rsidRPr="004D72FD" w:rsidRDefault="00480316" w:rsidP="006933E3">
                            <w:pPr>
                              <w:rPr>
                                <w:sz w:val="20"/>
                                <w:szCs w:val="20"/>
                                <w:lang w:val="es-E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72.35pt;margin-top:25.05pt;width:118.7pt;height:42.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" strokecolor="#5f497a [2407]">
                <v:textbox>
                  <w:txbxContent>
                    <w:p w:rsidR="00480316" w:rsidRPr="006933E3" w:rsidRDefault="00480316" w:rsidP="006933E3">
                      <w:pPr>
                        <w:pStyle w:val="Sinespaciado"/>
                        <w:rPr>
                          <w:rFonts w:ascii="Times New Roman" w:hAnsi="Times New Roman" w:cs="Times New Roman"/>
                          <w:color w:val="B2A1C7" w:themeColor="accent4" w:themeTint="99"/>
                          <w:sz w:val="20"/>
                          <w:szCs w:val="20"/>
                          <w:lang w:val="es-ES"/>
                        </w:rPr>
                      </w:pPr>
                      <w:r w:rsidRPr="006933E3">
                        <w:rPr>
                          <w:rFonts w:ascii="Times New Roman" w:hAnsi="Times New Roman" w:cs="Times New Roman"/>
                          <w:b/>
                          <w:color w:val="B2A1C7" w:themeColor="accent4" w:themeTint="99"/>
                          <w:sz w:val="20"/>
                          <w:szCs w:val="20"/>
                          <w:lang w:val="es-ES"/>
                        </w:rPr>
                        <w:t xml:space="preserve">Red </w:t>
                      </w:r>
                      <w:r>
                        <w:rPr>
                          <w:rFonts w:ascii="Times New Roman" w:hAnsi="Times New Roman" w:cs="Times New Roman"/>
                          <w:b/>
                          <w:color w:val="B2A1C7" w:themeColor="accent4" w:themeTint="99"/>
                          <w:sz w:val="20"/>
                          <w:szCs w:val="20"/>
                          <w:lang w:val="es-ES"/>
                        </w:rPr>
                        <w:t>2</w:t>
                      </w:r>
                      <w:r w:rsidRPr="006933E3">
                        <w:rPr>
                          <w:rFonts w:ascii="Times New Roman" w:hAnsi="Times New Roman" w:cs="Times New Roman"/>
                          <w:color w:val="B2A1C7" w:themeColor="accent4" w:themeTint="99"/>
                          <w:sz w:val="20"/>
                          <w:szCs w:val="20"/>
                          <w:lang w:val="es-ES"/>
                        </w:rPr>
                        <w:t xml:space="preserve">: </w:t>
                      </w:r>
                      <w:proofErr w:type="spellStart"/>
                      <w:r w:rsidRPr="006933E3">
                        <w:rPr>
                          <w:rFonts w:ascii="Times New Roman" w:hAnsi="Times New Roman" w:cs="Times New Roman"/>
                          <w:color w:val="B2A1C7" w:themeColor="accent4" w:themeTint="99"/>
                          <w:sz w:val="20"/>
                          <w:szCs w:val="20"/>
                          <w:lang w:val="es-ES"/>
                        </w:rPr>
                        <w:t>Proseaneamiento</w:t>
                      </w:r>
                      <w:proofErr w:type="spellEnd"/>
                    </w:p>
                    <w:p w:rsidR="00480316" w:rsidRPr="006933E3" w:rsidRDefault="00480316" w:rsidP="006933E3">
                      <w:pPr>
                        <w:pStyle w:val="Sinespaciado"/>
                        <w:rPr>
                          <w:rFonts w:ascii="Times New Roman" w:hAnsi="Times New Roman" w:cs="Times New Roman"/>
                          <w:color w:val="B2A1C7" w:themeColor="accent4" w:themeTint="99"/>
                          <w:sz w:val="20"/>
                          <w:szCs w:val="20"/>
                          <w:lang w:val="es-ES"/>
                        </w:rPr>
                      </w:pPr>
                      <w:r w:rsidRPr="006933E3">
                        <w:rPr>
                          <w:rFonts w:ascii="Times New Roman" w:hAnsi="Times New Roman" w:cs="Times New Roman"/>
                          <w:color w:val="B2A1C7" w:themeColor="accent4" w:themeTint="99"/>
                          <w:sz w:val="20"/>
                          <w:szCs w:val="20"/>
                          <w:lang w:val="es-ES"/>
                        </w:rPr>
                        <w:t>Idea programática:</w:t>
                      </w:r>
                    </w:p>
                    <w:p w:rsidR="00480316" w:rsidRPr="006933E3" w:rsidRDefault="00480316" w:rsidP="006933E3">
                      <w:pPr>
                        <w:pStyle w:val="Sinespaciado"/>
                        <w:rPr>
                          <w:rFonts w:ascii="Times New Roman" w:hAnsi="Times New Roman" w:cs="Times New Roman"/>
                          <w:color w:val="B2A1C7" w:themeColor="accent4" w:themeTint="99"/>
                          <w:sz w:val="20"/>
                          <w:szCs w:val="20"/>
                          <w:lang w:val="es-ES"/>
                        </w:rPr>
                      </w:pPr>
                      <w:r w:rsidRPr="006933E3">
                        <w:rPr>
                          <w:rFonts w:ascii="Times New Roman" w:hAnsi="Times New Roman" w:cs="Times New Roman"/>
                          <w:color w:val="B2A1C7" w:themeColor="accent4" w:themeTint="99"/>
                          <w:sz w:val="20"/>
                          <w:szCs w:val="20"/>
                          <w:lang w:val="es-ES"/>
                        </w:rPr>
                        <w:t>Financiamiento</w:t>
                      </w:r>
                    </w:p>
                    <w:p w:rsidR="00480316" w:rsidRPr="004D72FD" w:rsidRDefault="00480316" w:rsidP="006933E3">
                      <w:pPr>
                        <w:rPr>
                          <w:sz w:val="20"/>
                          <w:szCs w:val="20"/>
                          <w:lang w:val="es-ES"/>
                        </w:rPr>
                      </w:pPr>
                    </w:p>
                  </w:txbxContent>
                </v:textbox>
              </v:shape>
            </w:pict>
          </mc:Fallback>
        </mc:AlternateContent>
      </w:r>
    </w:p>
    <w:p w:rsidR="004560C7" w:rsidRPr="004D72FD" w:rsidRDefault="006933E3" w:rsidP="004D72FD">
      <w:pPr>
        <w:pStyle w:val="BodyB"/>
        <w:jc w:val="center"/>
        <w:rPr>
          <w:color w:val="CCCC00"/>
        </w:rPr>
      </w:pPr>
      <w:r>
        <w:rPr>
          <w:noProof/>
          <w:lang w:val="es-EC"/>
        </w:rPr>
        <mc:AlternateContent>
          <mc:Choice Requires="wps">
            <w:drawing>
              <wp:anchor distT="0" distB="0" distL="114300" distR="114300" simplePos="0" relativeHeight="251675648" behindDoc="0" locked="0" layoutInCell="1" allowOverlap="1" wp14:anchorId="2D76FD7E" wp14:editId="48E78D29">
                <wp:simplePos x="0" y="0"/>
                <wp:positionH relativeFrom="column">
                  <wp:posOffset>4200702</wp:posOffset>
                </wp:positionH>
                <wp:positionV relativeFrom="paragraph">
                  <wp:posOffset>2252611</wp:posOffset>
                </wp:positionV>
                <wp:extent cx="1580707" cy="715925"/>
                <wp:effectExtent l="0" t="0" r="6985" b="825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0707" cy="715925"/>
                        </a:xfrm>
                        <a:prstGeom prst="rect">
                          <a:avLst/>
                        </a:prstGeom>
                        <a:solidFill>
                          <a:srgbClr val="FFFFFF"/>
                        </a:solidFill>
                        <a:ln w="9525">
                          <a:solidFill>
                            <a:srgbClr val="0070C0"/>
                          </a:solidFill>
                          <a:miter lim="800000"/>
                          <a:headEnd/>
                          <a:tailEnd/>
                        </a:ln>
                      </wps:spPr>
                      <wps:txbx>
                        <w:txbxContent>
                          <w:p w:rsidR="00480316" w:rsidRPr="006933E3" w:rsidRDefault="00480316" w:rsidP="006933E3">
                            <w:pPr>
                              <w:pStyle w:val="Sinespaciado"/>
                              <w:rPr>
                                <w:rFonts w:ascii="Times New Roman" w:hAnsi="Times New Roman" w:cs="Times New Roman"/>
                                <w:color w:val="0070C0"/>
                                <w:sz w:val="20"/>
                                <w:szCs w:val="20"/>
                                <w:lang w:val="es-ES"/>
                              </w:rPr>
                            </w:pPr>
                            <w:r w:rsidRPr="006933E3">
                              <w:rPr>
                                <w:rFonts w:ascii="Times New Roman" w:hAnsi="Times New Roman" w:cs="Times New Roman"/>
                                <w:b/>
                                <w:color w:val="0070C0"/>
                                <w:sz w:val="20"/>
                                <w:szCs w:val="20"/>
                                <w:lang w:val="es-ES"/>
                              </w:rPr>
                              <w:t>Red 3</w:t>
                            </w:r>
                            <w:r w:rsidRPr="006933E3">
                              <w:rPr>
                                <w:rFonts w:ascii="Times New Roman" w:hAnsi="Times New Roman" w:cs="Times New Roman"/>
                                <w:color w:val="0070C0"/>
                                <w:sz w:val="20"/>
                                <w:szCs w:val="20"/>
                                <w:lang w:val="es-ES"/>
                              </w:rPr>
                              <w:t>: Alianza Estratégica Municipal por el Agua</w:t>
                            </w:r>
                          </w:p>
                          <w:p w:rsidR="00480316" w:rsidRPr="006933E3" w:rsidRDefault="00480316" w:rsidP="006933E3">
                            <w:pPr>
                              <w:pStyle w:val="Sinespaciado"/>
                              <w:rPr>
                                <w:rFonts w:ascii="Times New Roman" w:hAnsi="Times New Roman" w:cs="Times New Roman"/>
                                <w:color w:val="0070C0"/>
                                <w:sz w:val="20"/>
                                <w:szCs w:val="20"/>
                                <w:lang w:val="es-ES"/>
                              </w:rPr>
                            </w:pPr>
                            <w:r w:rsidRPr="006933E3">
                              <w:rPr>
                                <w:rFonts w:ascii="Times New Roman" w:hAnsi="Times New Roman" w:cs="Times New Roman"/>
                                <w:color w:val="0070C0"/>
                                <w:sz w:val="20"/>
                                <w:szCs w:val="20"/>
                                <w:lang w:val="es-ES"/>
                              </w:rPr>
                              <w:t>Idea programática:</w:t>
                            </w:r>
                          </w:p>
                          <w:p w:rsidR="00480316" w:rsidRPr="006933E3" w:rsidRDefault="00480316" w:rsidP="006933E3">
                            <w:pPr>
                              <w:pStyle w:val="Sinespaciado"/>
                              <w:rPr>
                                <w:rFonts w:ascii="Times New Roman" w:hAnsi="Times New Roman" w:cs="Times New Roman"/>
                                <w:color w:val="0070C0"/>
                                <w:sz w:val="20"/>
                                <w:szCs w:val="20"/>
                                <w:lang w:val="es-ES"/>
                              </w:rPr>
                            </w:pPr>
                            <w:r w:rsidRPr="006933E3">
                              <w:rPr>
                                <w:rFonts w:ascii="Times New Roman" w:hAnsi="Times New Roman" w:cs="Times New Roman"/>
                                <w:color w:val="0070C0"/>
                                <w:sz w:val="20"/>
                                <w:szCs w:val="20"/>
                                <w:lang w:val="es-ES"/>
                              </w:rPr>
                              <w:t>Gestión eficiente</w:t>
                            </w:r>
                          </w:p>
                          <w:p w:rsidR="00480316" w:rsidRPr="004D72FD" w:rsidRDefault="00480316" w:rsidP="006933E3">
                            <w:pPr>
                              <w:rPr>
                                <w:sz w:val="20"/>
                                <w:szCs w:val="20"/>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30.75pt;margin-top:177.35pt;width:124.45pt;height:56.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" strokecolor="#0070c0">
                <v:textbox>
                  <w:txbxContent>
                    <w:p w:rsidR="00480316" w:rsidRPr="006933E3" w:rsidRDefault="00480316" w:rsidP="006933E3">
                      <w:pPr>
                        <w:pStyle w:val="Sinespaciado"/>
                        <w:rPr>
                          <w:rFonts w:ascii="Times New Roman" w:hAnsi="Times New Roman" w:cs="Times New Roman"/>
                          <w:color w:val="0070C0"/>
                          <w:sz w:val="20"/>
                          <w:szCs w:val="20"/>
                          <w:lang w:val="es-ES"/>
                        </w:rPr>
                      </w:pPr>
                      <w:r w:rsidRPr="006933E3">
                        <w:rPr>
                          <w:rFonts w:ascii="Times New Roman" w:hAnsi="Times New Roman" w:cs="Times New Roman"/>
                          <w:b/>
                          <w:color w:val="0070C0"/>
                          <w:sz w:val="20"/>
                          <w:szCs w:val="20"/>
                          <w:lang w:val="es-ES"/>
                        </w:rPr>
                        <w:t>Red 3</w:t>
                      </w:r>
                      <w:r w:rsidRPr="006933E3">
                        <w:rPr>
                          <w:rFonts w:ascii="Times New Roman" w:hAnsi="Times New Roman" w:cs="Times New Roman"/>
                          <w:color w:val="0070C0"/>
                          <w:sz w:val="20"/>
                          <w:szCs w:val="20"/>
                          <w:lang w:val="es-ES"/>
                        </w:rPr>
                        <w:t>: Alianza Estratégica Municipal por el Agua</w:t>
                      </w:r>
                    </w:p>
                    <w:p w:rsidR="00480316" w:rsidRPr="006933E3" w:rsidRDefault="00480316" w:rsidP="006933E3">
                      <w:pPr>
                        <w:pStyle w:val="Sinespaciado"/>
                        <w:rPr>
                          <w:rFonts w:ascii="Times New Roman" w:hAnsi="Times New Roman" w:cs="Times New Roman"/>
                          <w:color w:val="0070C0"/>
                          <w:sz w:val="20"/>
                          <w:szCs w:val="20"/>
                          <w:lang w:val="es-ES"/>
                        </w:rPr>
                      </w:pPr>
                      <w:r w:rsidRPr="006933E3">
                        <w:rPr>
                          <w:rFonts w:ascii="Times New Roman" w:hAnsi="Times New Roman" w:cs="Times New Roman"/>
                          <w:color w:val="0070C0"/>
                          <w:sz w:val="20"/>
                          <w:szCs w:val="20"/>
                          <w:lang w:val="es-ES"/>
                        </w:rPr>
                        <w:t>Idea programática:</w:t>
                      </w:r>
                    </w:p>
                    <w:p w:rsidR="00480316" w:rsidRPr="006933E3" w:rsidRDefault="00480316" w:rsidP="006933E3">
                      <w:pPr>
                        <w:pStyle w:val="Sinespaciado"/>
                        <w:rPr>
                          <w:rFonts w:ascii="Times New Roman" w:hAnsi="Times New Roman" w:cs="Times New Roman"/>
                          <w:color w:val="0070C0"/>
                          <w:sz w:val="20"/>
                          <w:szCs w:val="20"/>
                          <w:lang w:val="es-ES"/>
                        </w:rPr>
                      </w:pPr>
                      <w:r w:rsidRPr="006933E3">
                        <w:rPr>
                          <w:rFonts w:ascii="Times New Roman" w:hAnsi="Times New Roman" w:cs="Times New Roman"/>
                          <w:color w:val="0070C0"/>
                          <w:sz w:val="20"/>
                          <w:szCs w:val="20"/>
                          <w:lang w:val="es-ES"/>
                        </w:rPr>
                        <w:t>Gestión eficiente</w:t>
                      </w:r>
                    </w:p>
                    <w:p w:rsidR="00480316" w:rsidRPr="004D72FD" w:rsidRDefault="00480316" w:rsidP="006933E3">
                      <w:pPr>
                        <w:rPr>
                          <w:sz w:val="20"/>
                          <w:szCs w:val="20"/>
                          <w:lang w:val="es-ES"/>
                        </w:rPr>
                      </w:pPr>
                    </w:p>
                  </w:txbxContent>
                </v:textbox>
              </v:shape>
            </w:pict>
          </mc:Fallback>
        </mc:AlternateContent>
      </w:r>
      <w:r>
        <w:rPr>
          <w:noProof/>
          <w:lang w:val="es-EC"/>
        </w:rPr>
        <mc:AlternateContent>
          <mc:Choice Requires="wps">
            <w:drawing>
              <wp:anchor distT="0" distB="0" distL="114300" distR="114300" simplePos="0" relativeHeight="251671552" behindDoc="0" locked="0" layoutInCell="1" allowOverlap="1" wp14:anchorId="3DAF4AAE" wp14:editId="08D0DB1E">
                <wp:simplePos x="0" y="0"/>
                <wp:positionH relativeFrom="column">
                  <wp:posOffset>545465</wp:posOffset>
                </wp:positionH>
                <wp:positionV relativeFrom="paragraph">
                  <wp:posOffset>2408554</wp:posOffset>
                </wp:positionV>
                <wp:extent cx="1507490" cy="699247"/>
                <wp:effectExtent l="0" t="0" r="16510" b="12065"/>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699247"/>
                        </a:xfrm>
                        <a:prstGeom prst="rect">
                          <a:avLst/>
                        </a:prstGeom>
                        <a:solidFill>
                          <a:srgbClr val="FFFFFF"/>
                        </a:solidFill>
                        <a:ln w="9525">
                          <a:solidFill>
                            <a:srgbClr val="FFD579"/>
                          </a:solidFill>
                          <a:miter lim="800000"/>
                          <a:headEnd/>
                          <a:tailEnd/>
                        </a:ln>
                      </wps:spPr>
                      <wps:txbx>
                        <w:txbxContent>
                          <w:p w:rsidR="00480316" w:rsidRPr="006933E3" w:rsidRDefault="00480316" w:rsidP="00A823D6">
                            <w:pPr>
                              <w:pStyle w:val="Sinespaciado"/>
                              <w:rPr>
                                <w:rFonts w:ascii="Times New Roman" w:hAnsi="Times New Roman" w:cs="Times New Roman"/>
                                <w:color w:val="FFD579"/>
                                <w:sz w:val="20"/>
                                <w:szCs w:val="20"/>
                                <w:lang w:val="es-ES"/>
                              </w:rPr>
                            </w:pPr>
                            <w:r w:rsidRPr="006933E3">
                              <w:rPr>
                                <w:rFonts w:ascii="Times New Roman" w:hAnsi="Times New Roman" w:cs="Times New Roman"/>
                                <w:b/>
                                <w:color w:val="FFD579"/>
                                <w:sz w:val="20"/>
                                <w:szCs w:val="20"/>
                                <w:lang w:val="es-ES"/>
                              </w:rPr>
                              <w:t>Red 1</w:t>
                            </w:r>
                            <w:r w:rsidRPr="006933E3">
                              <w:rPr>
                                <w:rFonts w:ascii="Times New Roman" w:hAnsi="Times New Roman" w:cs="Times New Roman"/>
                                <w:color w:val="FFD579"/>
                                <w:sz w:val="20"/>
                                <w:szCs w:val="20"/>
                                <w:lang w:val="es-ES"/>
                              </w:rPr>
                              <w:t>: Acuerdo Nacional para el Buen Vivir</w:t>
                            </w:r>
                          </w:p>
                          <w:p w:rsidR="00480316" w:rsidRPr="006933E3" w:rsidRDefault="00480316" w:rsidP="00A823D6">
                            <w:pPr>
                              <w:pStyle w:val="Sinespaciado"/>
                              <w:rPr>
                                <w:rFonts w:ascii="Times New Roman" w:hAnsi="Times New Roman" w:cs="Times New Roman"/>
                                <w:color w:val="FFD579"/>
                                <w:sz w:val="20"/>
                                <w:szCs w:val="20"/>
                                <w:lang w:val="es-ES"/>
                              </w:rPr>
                            </w:pPr>
                            <w:r w:rsidRPr="006933E3">
                              <w:rPr>
                                <w:rFonts w:ascii="Times New Roman" w:hAnsi="Times New Roman" w:cs="Times New Roman"/>
                                <w:color w:val="FFD579"/>
                                <w:sz w:val="20"/>
                                <w:szCs w:val="20"/>
                                <w:lang w:val="es-ES"/>
                              </w:rPr>
                              <w:t>Idea programática:</w:t>
                            </w:r>
                          </w:p>
                          <w:p w:rsidR="00480316" w:rsidRPr="006933E3" w:rsidRDefault="00480316" w:rsidP="00A823D6">
                            <w:pPr>
                              <w:pStyle w:val="Sinespaciado"/>
                              <w:rPr>
                                <w:rFonts w:ascii="Times New Roman" w:hAnsi="Times New Roman" w:cs="Times New Roman"/>
                                <w:color w:val="FFD579"/>
                                <w:sz w:val="20"/>
                                <w:szCs w:val="20"/>
                                <w:lang w:val="es-ES"/>
                              </w:rPr>
                            </w:pPr>
                            <w:r w:rsidRPr="006933E3">
                              <w:rPr>
                                <w:rFonts w:ascii="Times New Roman" w:hAnsi="Times New Roman" w:cs="Times New Roman"/>
                                <w:color w:val="FFD579"/>
                                <w:sz w:val="20"/>
                                <w:szCs w:val="20"/>
                                <w:lang w:val="es-ES"/>
                              </w:rPr>
                              <w:t>Calidad de vida</w:t>
                            </w:r>
                          </w:p>
                          <w:p w:rsidR="00480316" w:rsidRPr="004D72FD" w:rsidRDefault="00480316" w:rsidP="00A823D6">
                            <w:pPr>
                              <w:rPr>
                                <w:sz w:val="20"/>
                                <w:szCs w:val="20"/>
                                <w:lang w:val="es-E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_x0000_s1028" type="#_x0000_t202" style="position:absolute;left:0;text-align:left;margin-left:42.95pt;margin-top:189.65pt;width:118.7pt;height:55.0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" strokecolor="#ffd579">
                <v:textbox>
                  <w:txbxContent>
                    <w:p w:rsidR="00480316" w:rsidRPr="006933E3" w:rsidRDefault="00480316" w:rsidP="00A823D6">
                      <w:pPr>
                        <w:pStyle w:val="Sinespaciado"/>
                        <w:rPr>
                          <w:rFonts w:ascii="Times New Roman" w:hAnsi="Times New Roman" w:cs="Times New Roman"/>
                          <w:color w:val="FFD579"/>
                          <w:sz w:val="20"/>
                          <w:szCs w:val="20"/>
                          <w:lang w:val="es-ES"/>
                        </w:rPr>
                      </w:pPr>
                      <w:r w:rsidRPr="006933E3">
                        <w:rPr>
                          <w:rFonts w:ascii="Times New Roman" w:hAnsi="Times New Roman" w:cs="Times New Roman"/>
                          <w:b/>
                          <w:color w:val="FFD579"/>
                          <w:sz w:val="20"/>
                          <w:szCs w:val="20"/>
                          <w:lang w:val="es-ES"/>
                        </w:rPr>
                        <w:t>Red 1</w:t>
                      </w:r>
                      <w:r w:rsidRPr="006933E3">
                        <w:rPr>
                          <w:rFonts w:ascii="Times New Roman" w:hAnsi="Times New Roman" w:cs="Times New Roman"/>
                          <w:color w:val="FFD579"/>
                          <w:sz w:val="20"/>
                          <w:szCs w:val="20"/>
                          <w:lang w:val="es-ES"/>
                        </w:rPr>
                        <w:t>: Acuerdo Nacional para el Buen Vivir</w:t>
                      </w:r>
                    </w:p>
                    <w:p w:rsidR="00480316" w:rsidRPr="006933E3" w:rsidRDefault="00480316" w:rsidP="00A823D6">
                      <w:pPr>
                        <w:pStyle w:val="Sinespaciado"/>
                        <w:rPr>
                          <w:rFonts w:ascii="Times New Roman" w:hAnsi="Times New Roman" w:cs="Times New Roman"/>
                          <w:color w:val="FFD579"/>
                          <w:sz w:val="20"/>
                          <w:szCs w:val="20"/>
                          <w:lang w:val="es-ES"/>
                        </w:rPr>
                      </w:pPr>
                      <w:r w:rsidRPr="006933E3">
                        <w:rPr>
                          <w:rFonts w:ascii="Times New Roman" w:hAnsi="Times New Roman" w:cs="Times New Roman"/>
                          <w:color w:val="FFD579"/>
                          <w:sz w:val="20"/>
                          <w:szCs w:val="20"/>
                          <w:lang w:val="es-ES"/>
                        </w:rPr>
                        <w:t>Idea programática:</w:t>
                      </w:r>
                    </w:p>
                    <w:p w:rsidR="00480316" w:rsidRPr="006933E3" w:rsidRDefault="00480316" w:rsidP="00A823D6">
                      <w:pPr>
                        <w:pStyle w:val="Sinespaciado"/>
                        <w:rPr>
                          <w:rFonts w:ascii="Times New Roman" w:hAnsi="Times New Roman" w:cs="Times New Roman"/>
                          <w:color w:val="FFD579"/>
                          <w:sz w:val="20"/>
                          <w:szCs w:val="20"/>
                          <w:lang w:val="es-ES"/>
                        </w:rPr>
                      </w:pPr>
                      <w:r w:rsidRPr="006933E3">
                        <w:rPr>
                          <w:rFonts w:ascii="Times New Roman" w:hAnsi="Times New Roman" w:cs="Times New Roman"/>
                          <w:color w:val="FFD579"/>
                          <w:sz w:val="20"/>
                          <w:szCs w:val="20"/>
                          <w:lang w:val="es-ES"/>
                        </w:rPr>
                        <w:t>Calidad de vida</w:t>
                      </w:r>
                    </w:p>
                    <w:p w:rsidR="00480316" w:rsidRPr="004D72FD" w:rsidRDefault="00480316" w:rsidP="00A823D6">
                      <w:pPr>
                        <w:rPr>
                          <w:sz w:val="20"/>
                          <w:szCs w:val="20"/>
                          <w:lang w:val="es-ES"/>
                        </w:rPr>
                      </w:pPr>
                    </w:p>
                  </w:txbxContent>
                </v:textbox>
              </v:shape>
            </w:pict>
          </mc:Fallback>
        </mc:AlternateContent>
      </w:r>
      <w:r w:rsidR="001321C4">
        <w:rPr>
          <w:noProof/>
          <w:lang w:val="es-EC"/>
        </w:rPr>
        <w:drawing>
          <wp:inline distT="0" distB="0" distL="0" distR="0" wp14:anchorId="465B147D" wp14:editId="2F2DE889">
            <wp:extent cx="4658418" cy="3200400"/>
            <wp:effectExtent l="0" t="0" r="2540" b="0"/>
            <wp:docPr id="1" name="Imagen 1" descr="C:\Users\Acer Aspire\Documents\MPP\Tesis\Redes Gephi\Etapas-Ideas\EtapasI\Opción2\EtapaI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 Aspire\Documents\MPP\Tesis\Redes Gephi\Etapas-Ideas\EtapasI\Opción2\EtapaI v2.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941" b="3138"/>
                    <a:stretch/>
                  </pic:blipFill>
                  <pic:spPr bwMode="auto">
                    <a:xfrm>
                      <a:off x="0" y="0"/>
                      <a:ext cx="4694039" cy="322487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Normal1"/>
        <w:tblpPr w:leftFromText="141" w:rightFromText="141" w:vertAnchor="text" w:horzAnchor="page" w:tblpX="2291" w:tblpY="109"/>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334"/>
        <w:gridCol w:w="1016"/>
        <w:gridCol w:w="1127"/>
        <w:gridCol w:w="2388"/>
        <w:gridCol w:w="682"/>
        <w:gridCol w:w="1432"/>
      </w:tblGrid>
      <w:tr w:rsidR="00522A27" w:rsidRPr="00522A27" w:rsidTr="00522A27">
        <w:trPr>
          <w:trHeight w:val="192"/>
        </w:trPr>
        <w:tc>
          <w:tcPr>
            <w:tcW w:w="0" w:type="auto"/>
            <w:tcBorders>
              <w:top w:val="nil"/>
              <w:left w:val="nil"/>
              <w:bottom w:val="nil"/>
              <w:right w:val="single" w:sz="4" w:space="0" w:color="000000"/>
            </w:tcBorders>
            <w:shd w:val="clear" w:color="auto" w:fill="auto"/>
            <w:tcMar>
              <w:top w:w="80" w:type="dxa"/>
              <w:left w:w="80" w:type="dxa"/>
              <w:bottom w:w="80" w:type="dxa"/>
              <w:right w:w="80" w:type="dxa"/>
            </w:tcMar>
            <w:vAlign w:val="center"/>
          </w:tcPr>
          <w:p w:rsidR="00522A27" w:rsidRPr="00522A27" w:rsidRDefault="00522A27" w:rsidP="00651DFA">
            <w:pPr>
              <w:jc w:val="center"/>
              <w:rPr>
                <w:sz w:val="22"/>
                <w:szCs w:val="22"/>
              </w:rPr>
            </w:pPr>
            <w:r w:rsidRPr="00522A27">
              <w:rPr>
                <w:sz w:val="22"/>
                <w:szCs w:val="22"/>
              </w:rPr>
              <w:t>Tipo de nodo</w:t>
            </w:r>
          </w:p>
        </w:tc>
        <w:tc>
          <w:tcPr>
            <w:tcW w:w="0" w:type="auto"/>
            <w:tcBorders>
              <w:top w:val="single" w:sz="4" w:space="0" w:color="000000"/>
              <w:left w:val="single" w:sz="4" w:space="0" w:color="000000"/>
              <w:bottom w:val="single" w:sz="4" w:space="0" w:color="000000"/>
              <w:right w:val="single" w:sz="4" w:space="0" w:color="000000"/>
            </w:tcBorders>
            <w:shd w:val="clear" w:color="auto" w:fill="4BACC6"/>
            <w:tcMar>
              <w:top w:w="80" w:type="dxa"/>
              <w:left w:w="80" w:type="dxa"/>
              <w:bottom w:w="80" w:type="dxa"/>
              <w:right w:w="80" w:type="dxa"/>
            </w:tcMar>
            <w:vAlign w:val="center"/>
          </w:tcPr>
          <w:p w:rsidR="00522A27" w:rsidRPr="004D72FD" w:rsidRDefault="00522A27" w:rsidP="00651DFA">
            <w:pPr>
              <w:pStyle w:val="Body"/>
              <w:jc w:val="center"/>
              <w:rPr>
                <w:sz w:val="20"/>
                <w:szCs w:val="20"/>
              </w:rPr>
            </w:pPr>
            <w:r w:rsidRPr="004D72FD">
              <w:rPr>
                <w:sz w:val="20"/>
                <w:szCs w:val="20"/>
              </w:rPr>
              <w:t>Institución</w:t>
            </w: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rsidR="00522A27" w:rsidRPr="004D72FD" w:rsidRDefault="00522A27" w:rsidP="00651DFA">
            <w:pPr>
              <w:pStyle w:val="Body"/>
              <w:jc w:val="center"/>
              <w:rPr>
                <w:sz w:val="20"/>
                <w:szCs w:val="20"/>
              </w:rPr>
            </w:pPr>
            <w:r w:rsidRPr="004D72FD">
              <w:rPr>
                <w:sz w:val="20"/>
                <w:szCs w:val="20"/>
              </w:rPr>
              <w:t>Instrumento</w:t>
            </w:r>
          </w:p>
        </w:tc>
        <w:tc>
          <w:tcPr>
            <w:tcW w:w="0" w:type="auto"/>
            <w:tcBorders>
              <w:top w:val="single" w:sz="4" w:space="0" w:color="000000"/>
              <w:left w:val="single" w:sz="4" w:space="0" w:color="000000"/>
              <w:bottom w:val="single" w:sz="4" w:space="0" w:color="000000"/>
              <w:right w:val="single" w:sz="4" w:space="0" w:color="000000"/>
            </w:tcBorders>
            <w:shd w:val="clear" w:color="auto" w:fill="F79646"/>
            <w:tcMar>
              <w:top w:w="80" w:type="dxa"/>
              <w:left w:w="80" w:type="dxa"/>
              <w:bottom w:w="80" w:type="dxa"/>
              <w:right w:w="80" w:type="dxa"/>
            </w:tcMar>
            <w:vAlign w:val="center"/>
          </w:tcPr>
          <w:p w:rsidR="00522A27" w:rsidRPr="004D72FD" w:rsidRDefault="00522A27" w:rsidP="00651DFA">
            <w:pPr>
              <w:pStyle w:val="Body"/>
              <w:jc w:val="center"/>
              <w:rPr>
                <w:sz w:val="20"/>
                <w:szCs w:val="20"/>
              </w:rPr>
            </w:pPr>
            <w:r w:rsidRPr="004D72FD">
              <w:rPr>
                <w:sz w:val="20"/>
                <w:szCs w:val="20"/>
              </w:rPr>
              <w:t>Organismos internacionales</w:t>
            </w:r>
          </w:p>
        </w:tc>
        <w:tc>
          <w:tcPr>
            <w:tcW w:w="0" w:type="auto"/>
            <w:tcBorders>
              <w:top w:val="single" w:sz="4" w:space="0" w:color="000000"/>
              <w:left w:val="single" w:sz="4" w:space="0" w:color="000000"/>
              <w:bottom w:val="single" w:sz="4" w:space="0" w:color="000000"/>
              <w:right w:val="single" w:sz="4" w:space="0" w:color="000000"/>
            </w:tcBorders>
            <w:shd w:val="clear" w:color="auto" w:fill="8064A2"/>
            <w:tcMar>
              <w:top w:w="80" w:type="dxa"/>
              <w:left w:w="80" w:type="dxa"/>
              <w:bottom w:w="80" w:type="dxa"/>
              <w:right w:w="80" w:type="dxa"/>
            </w:tcMar>
            <w:vAlign w:val="center"/>
          </w:tcPr>
          <w:p w:rsidR="00522A27" w:rsidRPr="004D72FD" w:rsidRDefault="00522A27" w:rsidP="00651DFA">
            <w:pPr>
              <w:pStyle w:val="Body"/>
              <w:jc w:val="center"/>
              <w:rPr>
                <w:sz w:val="20"/>
                <w:szCs w:val="20"/>
              </w:rPr>
            </w:pPr>
            <w:r w:rsidRPr="004D72FD">
              <w:rPr>
                <w:sz w:val="20"/>
                <w:szCs w:val="20"/>
              </w:rPr>
              <w:t>Hecho</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rsidR="00522A27" w:rsidRPr="004D72FD" w:rsidRDefault="00522A27" w:rsidP="00651DFA">
            <w:pPr>
              <w:pStyle w:val="Body"/>
              <w:jc w:val="center"/>
              <w:rPr>
                <w:sz w:val="20"/>
                <w:szCs w:val="20"/>
              </w:rPr>
            </w:pPr>
            <w:r w:rsidRPr="004D72FD">
              <w:rPr>
                <w:sz w:val="20"/>
                <w:szCs w:val="20"/>
              </w:rPr>
              <w:t>Actor particular</w:t>
            </w:r>
          </w:p>
        </w:tc>
      </w:tr>
    </w:tbl>
    <w:p w:rsidR="004560C7" w:rsidRDefault="004560C7" w:rsidP="004560C7">
      <w:pPr>
        <w:rPr>
          <w:lang w:val="es-ES_tradnl" w:eastAsia="es-EC"/>
        </w:rPr>
      </w:pPr>
    </w:p>
    <w:p w:rsidR="00C5014A" w:rsidRPr="004D72FD" w:rsidRDefault="001321C4" w:rsidP="004D72FD">
      <w:pPr>
        <w:pStyle w:val="BodyA"/>
        <w:spacing w:after="0" w:line="360" w:lineRule="auto"/>
        <w:ind w:left="708" w:firstLine="708"/>
        <w:jc w:val="center"/>
        <w:rPr>
          <w:rFonts w:ascii="Times New Roman" w:eastAsia="Times New Roman" w:hAnsi="Times New Roman" w:cs="Times New Roman"/>
          <w:sz w:val="20"/>
          <w:szCs w:val="20"/>
        </w:rPr>
      </w:pPr>
      <w:r w:rsidRPr="004D72FD">
        <w:rPr>
          <w:rFonts w:ascii="Times New Roman" w:hAnsi="Times New Roman"/>
          <w:sz w:val="20"/>
          <w:szCs w:val="20"/>
        </w:rPr>
        <w:t xml:space="preserve">Fuente: </w:t>
      </w:r>
      <w:r w:rsidR="004D72FD" w:rsidRPr="004D72FD">
        <w:rPr>
          <w:rFonts w:ascii="Times New Roman" w:hAnsi="Times New Roman"/>
          <w:sz w:val="20"/>
          <w:szCs w:val="20"/>
        </w:rPr>
        <w:t>Elaboración propia</w:t>
      </w:r>
    </w:p>
    <w:p w:rsidR="004D72FD" w:rsidRDefault="004D72FD" w:rsidP="001321C4">
      <w:pPr>
        <w:pStyle w:val="Epgrafe"/>
        <w:spacing w:after="0"/>
        <w:jc w:val="center"/>
        <w:rPr>
          <w:rFonts w:ascii="Times New Roman" w:hAnsi="Times New Roman" w:cs="Times New Roman"/>
          <w:color w:val="000000"/>
          <w:sz w:val="24"/>
          <w:szCs w:val="24"/>
          <w:u w:color="000000"/>
        </w:rPr>
      </w:pPr>
    </w:p>
    <w:p w:rsidR="004D72FD" w:rsidRDefault="004D72FD" w:rsidP="001321C4">
      <w:pPr>
        <w:pStyle w:val="Epgrafe"/>
        <w:spacing w:after="0"/>
        <w:jc w:val="center"/>
        <w:rPr>
          <w:rFonts w:ascii="Times New Roman" w:hAnsi="Times New Roman" w:cs="Times New Roman"/>
          <w:color w:val="000000"/>
          <w:sz w:val="24"/>
          <w:szCs w:val="24"/>
          <w:u w:color="000000"/>
        </w:rPr>
      </w:pPr>
    </w:p>
    <w:p w:rsidR="004D72FD" w:rsidRPr="00A5089D" w:rsidRDefault="00CF3F38" w:rsidP="00CF3F38">
      <w:pPr>
        <w:pStyle w:val="Ttulo1"/>
        <w:spacing w:before="0" w:after="200" w:line="240" w:lineRule="auto"/>
        <w:jc w:val="both"/>
        <w:rPr>
          <w:rFonts w:ascii="Times New Roman" w:hAnsi="Times New Roman"/>
          <w:b w:val="0"/>
          <w:bCs w:val="0"/>
          <w:iCs/>
          <w:color w:val="000000" w:themeColor="text1"/>
          <w:sz w:val="24"/>
          <w:szCs w:val="22"/>
          <w:u w:color="FF0000"/>
        </w:rPr>
      </w:pPr>
      <w:r w:rsidRPr="00A5089D">
        <w:rPr>
          <w:rFonts w:ascii="Times New Roman" w:hAnsi="Times New Roman"/>
          <w:b w:val="0"/>
          <w:bCs w:val="0"/>
          <w:iCs/>
          <w:color w:val="000000" w:themeColor="text1"/>
          <w:sz w:val="24"/>
          <w:szCs w:val="22"/>
          <w:u w:color="FF0000"/>
        </w:rPr>
        <w:t>La primera etapa del contexto ideacional estuvo fuertemente influenciada por la consideración de que el agua y el saneamiento son un derecho fundamental para alcanzar mejor calidad de vida de la población y el cumplimiento de otros derechos tales como salud, ambiente sano, hábitat y vivienda. Una innovación de la Constitución de 2008 es considerar el agua como un “patrimonio estratégico de uso público”, lo que prohíbe toda forma de su privatización. Este panorama influyó para que en el año 2012 se conforme la red de política en la que el presidente Rafael Correa y la A</w:t>
      </w:r>
      <w:r w:rsidR="00475A6C" w:rsidRPr="00A5089D">
        <w:rPr>
          <w:rFonts w:ascii="Times New Roman" w:hAnsi="Times New Roman"/>
          <w:b w:val="0"/>
          <w:bCs w:val="0"/>
          <w:iCs/>
          <w:color w:val="000000" w:themeColor="text1"/>
          <w:sz w:val="24"/>
          <w:szCs w:val="22"/>
          <w:u w:color="FF0000"/>
        </w:rPr>
        <w:t>ME, en representación de los GA</w:t>
      </w:r>
      <w:r w:rsidR="00C2124E">
        <w:rPr>
          <w:rFonts w:ascii="Times New Roman" w:hAnsi="Times New Roman"/>
          <w:b w:val="0"/>
          <w:bCs w:val="0"/>
          <w:iCs/>
          <w:color w:val="000000" w:themeColor="text1"/>
          <w:sz w:val="24"/>
          <w:szCs w:val="22"/>
          <w:u w:color="FF0000"/>
        </w:rPr>
        <w:t>D, se interese</w:t>
      </w:r>
      <w:r w:rsidRPr="00A5089D">
        <w:rPr>
          <w:rFonts w:ascii="Times New Roman" w:hAnsi="Times New Roman"/>
          <w:b w:val="0"/>
          <w:bCs w:val="0"/>
          <w:iCs/>
          <w:color w:val="000000" w:themeColor="text1"/>
          <w:sz w:val="24"/>
          <w:szCs w:val="22"/>
          <w:u w:color="FF0000"/>
        </w:rPr>
        <w:t xml:space="preserve">n en trabajar en conjunto para alcanzar en 2017 una cobertura del 95% de estos servicios. Con lo cual se fortalece la idea de incluir al agua y al saneamiento dentro de la planificación nacional de manera obligatoria. Este acuerdo entre la AME y el presidente comprometió al BdE a contar con una estrategia de acceso al crédito que incluyera un porcentaje importante de </w:t>
      </w:r>
      <w:r w:rsidR="00475A6C" w:rsidRPr="00A5089D">
        <w:rPr>
          <w:rFonts w:ascii="Times New Roman" w:hAnsi="Times New Roman"/>
          <w:b w:val="0"/>
          <w:bCs w:val="0"/>
          <w:iCs/>
          <w:color w:val="000000" w:themeColor="text1"/>
          <w:sz w:val="24"/>
          <w:szCs w:val="22"/>
          <w:u w:color="FF0000"/>
        </w:rPr>
        <w:t>fondos</w:t>
      </w:r>
      <w:r w:rsidRPr="00A5089D">
        <w:rPr>
          <w:rFonts w:ascii="Times New Roman" w:hAnsi="Times New Roman"/>
          <w:b w:val="0"/>
          <w:bCs w:val="0"/>
          <w:iCs/>
          <w:color w:val="000000" w:themeColor="text1"/>
          <w:sz w:val="24"/>
          <w:szCs w:val="22"/>
          <w:u w:color="FF0000"/>
        </w:rPr>
        <w:t xml:space="preserve"> no reembolsable</w:t>
      </w:r>
      <w:r w:rsidR="00475A6C" w:rsidRPr="00A5089D">
        <w:rPr>
          <w:rFonts w:ascii="Times New Roman" w:hAnsi="Times New Roman"/>
          <w:b w:val="0"/>
          <w:bCs w:val="0"/>
          <w:iCs/>
          <w:color w:val="000000" w:themeColor="text1"/>
          <w:sz w:val="24"/>
          <w:szCs w:val="22"/>
          <w:u w:color="FF0000"/>
        </w:rPr>
        <w:t>s</w:t>
      </w:r>
      <w:r w:rsidRPr="00A5089D">
        <w:rPr>
          <w:rFonts w:ascii="Times New Roman" w:hAnsi="Times New Roman"/>
          <w:b w:val="0"/>
          <w:bCs w:val="0"/>
          <w:iCs/>
          <w:color w:val="000000" w:themeColor="text1"/>
          <w:sz w:val="24"/>
          <w:szCs w:val="22"/>
          <w:u w:color="FF0000"/>
        </w:rPr>
        <w:t>. Esto a su vez, permitió la consolidación de la red de política en torno a Proseaneamiento más enfocada en el cumplimiento de las metas nacionales y en la disminución de las brechas de cobertura gracias a programas crediticios con un alto componente de subvenciones. Las dificultades para el acceso al crédito de los GAD fueron identificadas y canalizadas por la AME, reconociendo que las más importantes eran los bajos cupos de endeudamiento establecidos y los largos tiempos para el acceso al financiamiento. Esto impulsa la red de la Alianza Estratégica Municipal por el Agua que tiene como idea fuerza el alcanzar una gestión más eficiente.</w:t>
      </w:r>
    </w:p>
    <w:p w:rsidR="00CF3F38" w:rsidRPr="00CF3F38" w:rsidRDefault="00CF3F38" w:rsidP="00CF3F38">
      <w:pPr>
        <w:pStyle w:val="BodyB"/>
      </w:pPr>
    </w:p>
    <w:p w:rsidR="004560C7" w:rsidRDefault="004560C7" w:rsidP="001321C4">
      <w:pPr>
        <w:pStyle w:val="Epgrafe"/>
        <w:spacing w:after="0"/>
        <w:jc w:val="center"/>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Gráfico 3</w:t>
      </w:r>
      <w:r w:rsidRPr="00537D1E">
        <w:rPr>
          <w:rFonts w:ascii="Times New Roman" w:hAnsi="Times New Roman" w:cs="Times New Roman"/>
          <w:color w:val="000000"/>
          <w:sz w:val="24"/>
          <w:szCs w:val="24"/>
          <w:u w:color="000000"/>
        </w:rPr>
        <w:t xml:space="preserve">. </w:t>
      </w:r>
      <w:r>
        <w:rPr>
          <w:rFonts w:ascii="Times New Roman" w:hAnsi="Times New Roman" w:cs="Times New Roman"/>
          <w:color w:val="000000"/>
          <w:sz w:val="24"/>
          <w:szCs w:val="24"/>
          <w:u w:color="000000"/>
        </w:rPr>
        <w:t>R</w:t>
      </w:r>
      <w:r w:rsidRPr="00537D1E">
        <w:rPr>
          <w:rFonts w:ascii="Times New Roman" w:hAnsi="Times New Roman" w:cs="Times New Roman"/>
          <w:color w:val="000000"/>
          <w:sz w:val="24"/>
          <w:szCs w:val="24"/>
          <w:u w:color="000000"/>
        </w:rPr>
        <w:t xml:space="preserve">edes </w:t>
      </w:r>
      <w:r w:rsidR="00601550">
        <w:rPr>
          <w:rFonts w:ascii="Times New Roman" w:hAnsi="Times New Roman" w:cs="Times New Roman"/>
          <w:color w:val="000000"/>
          <w:sz w:val="24"/>
          <w:szCs w:val="24"/>
          <w:u w:color="000000"/>
        </w:rPr>
        <w:t>de</w:t>
      </w:r>
      <w:r w:rsidRPr="00537D1E">
        <w:rPr>
          <w:rFonts w:ascii="Times New Roman" w:hAnsi="Times New Roman" w:cs="Times New Roman"/>
          <w:color w:val="000000"/>
          <w:sz w:val="24"/>
          <w:szCs w:val="24"/>
          <w:u w:color="000000"/>
        </w:rPr>
        <w:t xml:space="preserve"> </w:t>
      </w:r>
      <w:r>
        <w:rPr>
          <w:rFonts w:ascii="Times New Roman" w:hAnsi="Times New Roman" w:cs="Times New Roman"/>
          <w:color w:val="000000"/>
          <w:sz w:val="24"/>
          <w:szCs w:val="24"/>
          <w:u w:color="000000"/>
        </w:rPr>
        <w:t>la segunda</w:t>
      </w:r>
      <w:r w:rsidR="004D72FD">
        <w:rPr>
          <w:rFonts w:ascii="Times New Roman" w:hAnsi="Times New Roman" w:cs="Times New Roman"/>
          <w:color w:val="000000"/>
          <w:sz w:val="24"/>
          <w:szCs w:val="24"/>
          <w:u w:color="000000"/>
        </w:rPr>
        <w:t xml:space="preserve"> etapa</w:t>
      </w:r>
      <w:r w:rsidRPr="00537D1E">
        <w:rPr>
          <w:rFonts w:ascii="Times New Roman" w:hAnsi="Times New Roman" w:cs="Times New Roman"/>
          <w:color w:val="000000"/>
          <w:sz w:val="24"/>
          <w:szCs w:val="24"/>
          <w:u w:color="000000"/>
        </w:rPr>
        <w:t xml:space="preserve"> </w:t>
      </w:r>
    </w:p>
    <w:p w:rsidR="004560C7" w:rsidRPr="004D72FD" w:rsidRDefault="004560C7" w:rsidP="001321C4">
      <w:pPr>
        <w:pStyle w:val="Body"/>
        <w:jc w:val="both"/>
        <w:rPr>
          <w:rFonts w:eastAsia="Arial"/>
          <w:noProof/>
          <w:lang w:val="es-ES_tradnl"/>
        </w:rPr>
      </w:pPr>
    </w:p>
    <w:p w:rsidR="001321C4" w:rsidRDefault="004D72FD" w:rsidP="001321C4">
      <w:pPr>
        <w:pStyle w:val="Body"/>
        <w:jc w:val="both"/>
        <w:rPr>
          <w:rFonts w:eastAsia="Arial"/>
          <w:noProof/>
        </w:rPr>
      </w:pPr>
      <w:r w:rsidRPr="00C56664">
        <w:rPr>
          <w:rFonts w:eastAsia="Arial"/>
          <w:noProof/>
        </w:rPr>
        <mc:AlternateContent>
          <mc:Choice Requires="wps">
            <w:drawing>
              <wp:anchor distT="0" distB="0" distL="0" distR="0" simplePos="0" relativeHeight="251664384" behindDoc="0" locked="0" layoutInCell="1" allowOverlap="1" wp14:anchorId="4DC9BF07" wp14:editId="4FB257EB">
                <wp:simplePos x="0" y="0"/>
                <wp:positionH relativeFrom="column">
                  <wp:posOffset>595054</wp:posOffset>
                </wp:positionH>
                <wp:positionV relativeFrom="line">
                  <wp:posOffset>16088</wp:posOffset>
                </wp:positionV>
                <wp:extent cx="1641377" cy="386206"/>
                <wp:effectExtent l="12700" t="12700" r="10160" b="7620"/>
                <wp:wrapNone/>
                <wp:docPr id="1073741886" name="officeArt object"/>
                <wp:cNvGraphicFramePr/>
                <a:graphic xmlns:a="http://schemas.openxmlformats.org/drawingml/2006/main">
                  <a:graphicData uri="http://schemas.microsoft.com/office/word/2010/wordprocessingShape">
                    <wps:wsp>
                      <wps:cNvSpPr/>
                      <wps:spPr>
                        <a:xfrm>
                          <a:off x="0" y="0"/>
                          <a:ext cx="1641377" cy="386206"/>
                        </a:xfrm>
                        <a:prstGeom prst="ellipse">
                          <a:avLst/>
                        </a:prstGeom>
                        <a:noFill/>
                        <a:ln w="25400" cap="flat">
                          <a:solidFill>
                            <a:srgbClr val="FF0000"/>
                          </a:solidFill>
                          <a:prstDash val="sysDot"/>
                          <a:roun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9CF49C3" id="officeArt object" o:spid="_x0000_s1026" style="position:absolute;margin-left:46.85pt;margin-top:1.25pt;width:129.25pt;height:30.4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" filled="f" strokecolor="red" strokeweight="2pt">
                <v:stroke dashstyle="1 1"/>
                <w10:wrap anchory="line"/>
              </v:oval>
            </w:pict>
          </mc:Fallback>
        </mc:AlternateContent>
      </w:r>
      <w:r w:rsidR="00C56664" w:rsidRPr="00C56664">
        <w:rPr>
          <w:rFonts w:eastAsia="Arial"/>
          <w:noProof/>
        </w:rPr>
        <mc:AlternateContent>
          <mc:Choice Requires="wps">
            <w:drawing>
              <wp:anchor distT="0" distB="0" distL="0" distR="0" simplePos="0" relativeHeight="251665408" behindDoc="0" locked="0" layoutInCell="1" allowOverlap="1" wp14:anchorId="07E3AD30" wp14:editId="4477C39C">
                <wp:simplePos x="0" y="0"/>
                <wp:positionH relativeFrom="column">
                  <wp:posOffset>2317060</wp:posOffset>
                </wp:positionH>
                <wp:positionV relativeFrom="line">
                  <wp:posOffset>51719</wp:posOffset>
                </wp:positionV>
                <wp:extent cx="1692275" cy="276860"/>
                <wp:effectExtent l="0" t="0" r="3175" b="0"/>
                <wp:wrapNone/>
                <wp:docPr id="1073741885" name="officeArt object"/>
                <wp:cNvGraphicFramePr/>
                <a:graphic xmlns:a="http://schemas.openxmlformats.org/drawingml/2006/main">
                  <a:graphicData uri="http://schemas.microsoft.com/office/word/2010/wordprocessingShape">
                    <wps:wsp>
                      <wps:cNvSpPr/>
                      <wps:spPr>
                        <a:xfrm>
                          <a:off x="0" y="0"/>
                          <a:ext cx="1692275" cy="276860"/>
                        </a:xfrm>
                        <a:prstGeom prst="rect">
                          <a:avLst/>
                        </a:prstGeom>
                        <a:noFill/>
                        <a:ln w="12700" cap="flat">
                          <a:noFill/>
                          <a:miter lim="400000"/>
                        </a:ln>
                        <a:effectLst/>
                      </wps:spPr>
                      <wps:txbx>
                        <w:txbxContent>
                          <w:p w:rsidR="00480316" w:rsidRDefault="00480316" w:rsidP="00C56664">
                            <w:r>
                              <w:rPr>
                                <w:b/>
                                <w:bCs/>
                                <w:color w:val="FF0000"/>
                                <w:kern w:val="24"/>
                                <w:sz w:val="20"/>
                                <w:szCs w:val="20"/>
                                <w:u w:color="FF0000"/>
                              </w:rPr>
                              <w:t>Autoridad política</w:t>
                            </w:r>
                          </w:p>
                        </w:txbxContent>
                      </wps:txbx>
                      <wps:bodyPr wrap="square" lIns="45719" tIns="45719" rIns="45719" bIns="45719" numCol="1" anchor="t">
                        <a:noAutofit/>
                      </wps:bodyPr>
                    </wps:wsp>
                  </a:graphicData>
                </a:graphic>
              </wp:anchor>
            </w:drawing>
          </mc:Choice>
          <mc:Fallback>
            <w:pict>
              <v:rect id="officeArt object" o:spid="_x0000_s1029" style="position:absolute;left:0;text-align:left;margin-left:182.45pt;margin-top:4.05pt;width:133.25pt;height:21.8pt;z-index:25166540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" filled="f" stroked="f" strokeweight="1pt">
                <v:stroke miterlimit="4"/>
                <v:textbox inset="1.27mm,1.27mm,1.27mm,1.27mm">
                  <w:txbxContent>
                    <w:p w:rsidR="00480316" w:rsidRDefault="00480316" w:rsidP="00C56664">
                      <w:r>
                        <w:rPr>
                          <w:b/>
                          <w:bCs/>
                          <w:color w:val="FF0000"/>
                          <w:kern w:val="24"/>
                          <w:sz w:val="20"/>
                          <w:szCs w:val="20"/>
                          <w:u w:color="FF0000"/>
                        </w:rPr>
                        <w:t>Autoridad política</w:t>
                      </w:r>
                    </w:p>
                  </w:txbxContent>
                </v:textbox>
                <w10:wrap anchory="line"/>
              </v:rect>
            </w:pict>
          </mc:Fallback>
        </mc:AlternateContent>
      </w:r>
    </w:p>
    <w:p w:rsidR="001321C4" w:rsidRDefault="004D72FD" w:rsidP="004D72FD">
      <w:pPr>
        <w:pStyle w:val="Body"/>
        <w:jc w:val="center"/>
        <w:rPr>
          <w:rFonts w:eastAsia="Arial"/>
          <w:noProof/>
        </w:rPr>
      </w:pPr>
      <w:r>
        <w:rPr>
          <w:noProof/>
        </w:rPr>
        <mc:AlternateContent>
          <mc:Choice Requires="wpg">
            <w:drawing>
              <wp:anchor distT="0" distB="0" distL="114300" distR="114300" simplePos="0" relativeHeight="251660288" behindDoc="0" locked="0" layoutInCell="1" allowOverlap="1" wp14:anchorId="4AFA5005" wp14:editId="7FDCB8B6">
                <wp:simplePos x="0" y="0"/>
                <wp:positionH relativeFrom="column">
                  <wp:posOffset>-87763</wp:posOffset>
                </wp:positionH>
                <wp:positionV relativeFrom="paragraph">
                  <wp:posOffset>305760</wp:posOffset>
                </wp:positionV>
                <wp:extent cx="5883275" cy="3014345"/>
                <wp:effectExtent l="0" t="0" r="9525" b="8255"/>
                <wp:wrapNone/>
                <wp:docPr id="23" name="Grupo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275" cy="3014345"/>
                          <a:chOff x="1750" y="785"/>
                          <a:chExt cx="9265" cy="4747"/>
                        </a:xfrm>
                      </wpg:grpSpPr>
                      <wps:wsp>
                        <wps:cNvPr id="24" name="Text Box 19"/>
                        <wps:cNvSpPr txBox="1">
                          <a:spLocks noChangeArrowheads="1"/>
                        </wps:cNvSpPr>
                        <wps:spPr bwMode="auto">
                          <a:xfrm>
                            <a:off x="8698" y="4205"/>
                            <a:ext cx="2317" cy="1327"/>
                          </a:xfrm>
                          <a:prstGeom prst="rect">
                            <a:avLst/>
                          </a:prstGeom>
                          <a:solidFill>
                            <a:srgbClr val="FFFFFF"/>
                          </a:solidFill>
                          <a:ln w="9525">
                            <a:solidFill>
                              <a:schemeClr val="accent1">
                                <a:lumMod val="100000"/>
                                <a:lumOff val="0"/>
                              </a:schemeClr>
                            </a:solidFill>
                            <a:miter lim="800000"/>
                            <a:headEnd/>
                            <a:tailEnd/>
                          </a:ln>
                        </wps:spPr>
                        <wps:txbx>
                          <w:txbxContent>
                            <w:p w:rsidR="00480316" w:rsidRPr="00A823D6" w:rsidRDefault="00480316" w:rsidP="001321C4">
                              <w:pPr>
                                <w:pStyle w:val="Sinespaciado"/>
                                <w:rPr>
                                  <w:rFonts w:ascii="Times New Roman" w:hAnsi="Times New Roman" w:cs="Times New Roman"/>
                                  <w:color w:val="002060"/>
                                  <w:sz w:val="20"/>
                                  <w:szCs w:val="20"/>
                                  <w:lang w:val="es-ES"/>
                                </w:rPr>
                              </w:pPr>
                              <w:r w:rsidRPr="00A823D6">
                                <w:rPr>
                                  <w:rFonts w:ascii="Times New Roman" w:hAnsi="Times New Roman" w:cs="Times New Roman"/>
                                  <w:b/>
                                  <w:color w:val="002060"/>
                                  <w:sz w:val="20"/>
                                  <w:szCs w:val="20"/>
                                  <w:lang w:val="es-ES"/>
                                </w:rPr>
                                <w:t xml:space="preserve">Red </w:t>
                              </w:r>
                              <w:r>
                                <w:rPr>
                                  <w:rFonts w:ascii="Times New Roman" w:hAnsi="Times New Roman" w:cs="Times New Roman"/>
                                  <w:b/>
                                  <w:color w:val="002060"/>
                                  <w:sz w:val="20"/>
                                  <w:szCs w:val="20"/>
                                  <w:lang w:val="es-ES"/>
                                </w:rPr>
                                <w:t>4</w:t>
                              </w:r>
                              <w:r w:rsidRPr="00A823D6">
                                <w:rPr>
                                  <w:rFonts w:ascii="Times New Roman" w:hAnsi="Times New Roman" w:cs="Times New Roman"/>
                                  <w:color w:val="002060"/>
                                  <w:sz w:val="20"/>
                                  <w:szCs w:val="20"/>
                                  <w:lang w:val="es-ES"/>
                                </w:rPr>
                                <w:t xml:space="preserve">: Propuesta interinstitucional </w:t>
                              </w:r>
                            </w:p>
                            <w:p w:rsidR="00480316" w:rsidRPr="00A823D6" w:rsidRDefault="00480316" w:rsidP="001321C4">
                              <w:pPr>
                                <w:pStyle w:val="Sinespaciado"/>
                                <w:rPr>
                                  <w:rFonts w:ascii="Times New Roman" w:hAnsi="Times New Roman" w:cs="Times New Roman"/>
                                  <w:color w:val="002060"/>
                                  <w:sz w:val="20"/>
                                  <w:szCs w:val="20"/>
                                  <w:lang w:val="es-ES"/>
                                </w:rPr>
                              </w:pPr>
                              <w:r w:rsidRPr="00A823D6">
                                <w:rPr>
                                  <w:rFonts w:ascii="Times New Roman" w:hAnsi="Times New Roman" w:cs="Times New Roman"/>
                                  <w:color w:val="002060"/>
                                  <w:sz w:val="20"/>
                                  <w:szCs w:val="20"/>
                                  <w:lang w:val="es-ES"/>
                                </w:rPr>
                                <w:t>Idea programática: Cobertura, gestión y calidad</w:t>
                              </w:r>
                            </w:p>
                            <w:p w:rsidR="00480316" w:rsidRPr="004D72FD" w:rsidRDefault="00480316" w:rsidP="001321C4">
                              <w:pPr>
                                <w:rPr>
                                  <w:color w:val="002060"/>
                                  <w:sz w:val="20"/>
                                  <w:szCs w:val="20"/>
                                  <w:lang w:val="es-EC"/>
                                </w:rPr>
                              </w:pPr>
                            </w:p>
                          </w:txbxContent>
                        </wps:txbx>
                        <wps:bodyPr rot="0" vert="horz" wrap="square" lIns="91440" tIns="45720" rIns="91440" bIns="45720" anchor="t" anchorCtr="0" upright="1">
                          <a:noAutofit/>
                        </wps:bodyPr>
                      </wps:wsp>
                      <wps:wsp>
                        <wps:cNvPr id="25" name="Text Box 20"/>
                        <wps:cNvSpPr txBox="1">
                          <a:spLocks noChangeArrowheads="1"/>
                        </wps:cNvSpPr>
                        <wps:spPr bwMode="auto">
                          <a:xfrm>
                            <a:off x="7663" y="785"/>
                            <a:ext cx="2374" cy="866"/>
                          </a:xfrm>
                          <a:prstGeom prst="rect">
                            <a:avLst/>
                          </a:prstGeom>
                          <a:solidFill>
                            <a:srgbClr val="FFFFFF"/>
                          </a:solidFill>
                          <a:ln w="9525">
                            <a:solidFill>
                              <a:schemeClr val="accent4">
                                <a:lumMod val="100000"/>
                                <a:lumOff val="0"/>
                              </a:schemeClr>
                            </a:solidFill>
                            <a:miter lim="800000"/>
                            <a:headEnd/>
                            <a:tailEnd/>
                          </a:ln>
                        </wps:spPr>
                        <wps:txbx>
                          <w:txbxContent>
                            <w:p w:rsidR="00480316" w:rsidRPr="004D72FD" w:rsidRDefault="00480316" w:rsidP="001321C4">
                              <w:pPr>
                                <w:pStyle w:val="Sinespaciado"/>
                                <w:rPr>
                                  <w:rFonts w:ascii="Times New Roman" w:hAnsi="Times New Roman" w:cs="Times New Roman"/>
                                  <w:color w:val="8064A2" w:themeColor="accent4"/>
                                  <w:sz w:val="20"/>
                                  <w:szCs w:val="20"/>
                                  <w:lang w:val="es-ES"/>
                                </w:rPr>
                              </w:pPr>
                              <w:r w:rsidRPr="00A823D6">
                                <w:rPr>
                                  <w:rFonts w:ascii="Times New Roman" w:hAnsi="Times New Roman" w:cs="Times New Roman"/>
                                  <w:b/>
                                  <w:color w:val="8064A2" w:themeColor="accent4"/>
                                  <w:sz w:val="20"/>
                                  <w:szCs w:val="20"/>
                                  <w:lang w:val="es-ES"/>
                                </w:rPr>
                                <w:t>Red 2</w:t>
                              </w:r>
                              <w:r w:rsidRPr="00A823D6">
                                <w:rPr>
                                  <w:rFonts w:ascii="Times New Roman" w:hAnsi="Times New Roman" w:cs="Times New Roman"/>
                                  <w:color w:val="8064A2" w:themeColor="accent4"/>
                                  <w:sz w:val="20"/>
                                  <w:szCs w:val="20"/>
                                  <w:lang w:val="es-ES"/>
                                </w:rPr>
                                <w:t xml:space="preserve">: Prosaneamiento </w:t>
                              </w:r>
                            </w:p>
                            <w:p w:rsidR="00480316" w:rsidRPr="004D72FD" w:rsidRDefault="00480316" w:rsidP="001321C4">
                              <w:pPr>
                                <w:pStyle w:val="Sinespaciado"/>
                                <w:rPr>
                                  <w:rFonts w:ascii="Times New Roman" w:hAnsi="Times New Roman" w:cs="Times New Roman"/>
                                  <w:color w:val="8064A2" w:themeColor="accent4"/>
                                  <w:sz w:val="20"/>
                                  <w:szCs w:val="20"/>
                                  <w:lang w:val="es-ES"/>
                                </w:rPr>
                              </w:pPr>
                              <w:r w:rsidRPr="004D72FD">
                                <w:rPr>
                                  <w:rFonts w:ascii="Times New Roman" w:hAnsi="Times New Roman" w:cs="Times New Roman"/>
                                  <w:color w:val="8064A2" w:themeColor="accent4"/>
                                  <w:sz w:val="20"/>
                                  <w:szCs w:val="20"/>
                                  <w:lang w:val="es-ES"/>
                                </w:rPr>
                                <w:t xml:space="preserve">Idea programática: </w:t>
                              </w:r>
                            </w:p>
                            <w:p w:rsidR="00480316" w:rsidRPr="004D72FD" w:rsidRDefault="00480316" w:rsidP="001321C4">
                              <w:pPr>
                                <w:pStyle w:val="Sinespaciado"/>
                                <w:rPr>
                                  <w:rFonts w:ascii="Times New Roman" w:hAnsi="Times New Roman" w:cs="Times New Roman"/>
                                  <w:color w:val="8064A2" w:themeColor="accent4"/>
                                  <w:sz w:val="20"/>
                                  <w:szCs w:val="20"/>
                                  <w:lang w:val="es-ES"/>
                                </w:rPr>
                              </w:pPr>
                              <w:r w:rsidRPr="004D72FD">
                                <w:rPr>
                                  <w:rFonts w:ascii="Times New Roman" w:hAnsi="Times New Roman" w:cs="Times New Roman"/>
                                  <w:color w:val="8064A2" w:themeColor="accent4"/>
                                  <w:sz w:val="20"/>
                                  <w:szCs w:val="20"/>
                                  <w:lang w:val="es-ES"/>
                                </w:rPr>
                                <w:t>Financiamiento</w:t>
                              </w:r>
                            </w:p>
                            <w:p w:rsidR="00480316" w:rsidRPr="004D72FD" w:rsidRDefault="00480316" w:rsidP="001321C4">
                              <w:pPr>
                                <w:rPr>
                                  <w:sz w:val="20"/>
                                  <w:szCs w:val="20"/>
                                  <w:lang w:val="es-ES"/>
                                </w:rPr>
                              </w:pPr>
                            </w:p>
                          </w:txbxContent>
                        </wps:txbx>
                        <wps:bodyPr rot="0" vert="horz" wrap="square" lIns="91440" tIns="45720" rIns="91440" bIns="45720" anchor="t" anchorCtr="0" upright="1">
                          <a:noAutofit/>
                        </wps:bodyPr>
                      </wps:wsp>
                      <wps:wsp>
                        <wps:cNvPr id="26" name="Text Box 21"/>
                        <wps:cNvSpPr txBox="1">
                          <a:spLocks noChangeArrowheads="1"/>
                        </wps:cNvSpPr>
                        <wps:spPr bwMode="auto">
                          <a:xfrm>
                            <a:off x="2427" y="1640"/>
                            <a:ext cx="2154" cy="1035"/>
                          </a:xfrm>
                          <a:prstGeom prst="rect">
                            <a:avLst/>
                          </a:prstGeom>
                          <a:solidFill>
                            <a:srgbClr val="FFFFFF"/>
                          </a:solidFill>
                          <a:ln w="9525">
                            <a:solidFill>
                              <a:srgbClr val="FF0000"/>
                            </a:solidFill>
                            <a:miter lim="800000"/>
                            <a:headEnd/>
                            <a:tailEnd/>
                          </a:ln>
                        </wps:spPr>
                        <wps:txbx>
                          <w:txbxContent>
                            <w:p w:rsidR="00480316" w:rsidRPr="004D72FD" w:rsidRDefault="00480316" w:rsidP="001321C4">
                              <w:pPr>
                                <w:pStyle w:val="Sinespaciado"/>
                                <w:rPr>
                                  <w:rFonts w:ascii="Times New Roman" w:hAnsi="Times New Roman" w:cs="Times New Roman"/>
                                  <w:color w:val="FF0000"/>
                                  <w:sz w:val="18"/>
                                  <w:szCs w:val="18"/>
                                  <w:lang w:val="es-ES"/>
                                </w:rPr>
                              </w:pPr>
                              <w:r w:rsidRPr="006933E3">
                                <w:rPr>
                                  <w:rFonts w:ascii="Times New Roman" w:hAnsi="Times New Roman" w:cs="Times New Roman"/>
                                  <w:b/>
                                  <w:color w:val="FF0000"/>
                                  <w:sz w:val="18"/>
                                  <w:szCs w:val="18"/>
                                  <w:lang w:val="es-ES"/>
                                </w:rPr>
                                <w:t>Red 6</w:t>
                              </w:r>
                              <w:r w:rsidRPr="004D72FD">
                                <w:rPr>
                                  <w:rFonts w:ascii="Times New Roman" w:hAnsi="Times New Roman" w:cs="Times New Roman"/>
                                  <w:color w:val="FF0000"/>
                                  <w:sz w:val="18"/>
                                  <w:szCs w:val="18"/>
                                  <w:lang w:val="es-ES"/>
                                </w:rPr>
                                <w:t>: Eliminación de subsidios</w:t>
                              </w:r>
                            </w:p>
                            <w:p w:rsidR="00480316" w:rsidRPr="004D72FD" w:rsidRDefault="00480316" w:rsidP="001321C4">
                              <w:pPr>
                                <w:pStyle w:val="Sinespaciado"/>
                                <w:rPr>
                                  <w:rFonts w:ascii="Times New Roman" w:hAnsi="Times New Roman" w:cs="Times New Roman"/>
                                  <w:color w:val="FF0000"/>
                                  <w:sz w:val="18"/>
                                  <w:szCs w:val="18"/>
                                  <w:lang w:val="es-ES"/>
                                </w:rPr>
                              </w:pPr>
                              <w:r>
                                <w:rPr>
                                  <w:rFonts w:ascii="Times New Roman" w:hAnsi="Times New Roman" w:cs="Times New Roman"/>
                                  <w:color w:val="FF0000"/>
                                  <w:sz w:val="18"/>
                                  <w:szCs w:val="18"/>
                                  <w:lang w:val="es-ES"/>
                                </w:rPr>
                                <w:t>Idea programática: E</w:t>
                              </w:r>
                              <w:r w:rsidRPr="004D72FD">
                                <w:rPr>
                                  <w:rFonts w:ascii="Times New Roman" w:hAnsi="Times New Roman" w:cs="Times New Roman"/>
                                  <w:color w:val="FF0000"/>
                                  <w:sz w:val="18"/>
                                  <w:szCs w:val="18"/>
                                  <w:lang w:val="es-ES"/>
                                </w:rPr>
                                <w:t>liminación de subsidios</w:t>
                              </w:r>
                            </w:p>
                          </w:txbxContent>
                        </wps:txbx>
                        <wps:bodyPr rot="0" vert="horz" wrap="square" lIns="91440" tIns="45720" rIns="91440" bIns="45720" anchor="t" anchorCtr="0" upright="1">
                          <a:noAutofit/>
                        </wps:bodyPr>
                      </wps:wsp>
                      <wps:wsp>
                        <wps:cNvPr id="27" name="Text Box 22"/>
                        <wps:cNvSpPr txBox="1">
                          <a:spLocks noChangeArrowheads="1"/>
                        </wps:cNvSpPr>
                        <wps:spPr bwMode="auto">
                          <a:xfrm>
                            <a:off x="1750" y="4197"/>
                            <a:ext cx="2387" cy="1335"/>
                          </a:xfrm>
                          <a:prstGeom prst="rect">
                            <a:avLst/>
                          </a:prstGeom>
                          <a:solidFill>
                            <a:srgbClr val="FFFFFF"/>
                          </a:solidFill>
                          <a:ln w="9525">
                            <a:solidFill>
                              <a:schemeClr val="accent3">
                                <a:lumMod val="75000"/>
                                <a:lumOff val="0"/>
                              </a:schemeClr>
                            </a:solidFill>
                            <a:miter lim="800000"/>
                            <a:headEnd/>
                            <a:tailEnd/>
                          </a:ln>
                        </wps:spPr>
                        <wps:txbx>
                          <w:txbxContent>
                            <w:p w:rsidR="00480316" w:rsidRPr="006933E3" w:rsidRDefault="00480316" w:rsidP="001321C4">
                              <w:pPr>
                                <w:pStyle w:val="Sinespaciado"/>
                                <w:rPr>
                                  <w:rFonts w:ascii="Times New Roman" w:hAnsi="Times New Roman" w:cs="Times New Roman"/>
                                  <w:b/>
                                  <w:color w:val="76923C" w:themeColor="accent3" w:themeShade="BF"/>
                                  <w:sz w:val="20"/>
                                  <w:szCs w:val="20"/>
                                  <w:lang w:val="es-ES"/>
                                </w:rPr>
                              </w:pPr>
                              <w:r w:rsidRPr="004D72FD">
                                <w:rPr>
                                  <w:rFonts w:ascii="Times New Roman" w:hAnsi="Times New Roman" w:cs="Times New Roman"/>
                                  <w:b/>
                                  <w:color w:val="76923C" w:themeColor="accent3" w:themeShade="BF"/>
                                  <w:sz w:val="20"/>
                                  <w:szCs w:val="20"/>
                                  <w:lang w:val="es-ES"/>
                                </w:rPr>
                                <w:t xml:space="preserve">Red 5: </w:t>
                              </w:r>
                              <w:r w:rsidRPr="006933E3">
                                <w:rPr>
                                  <w:rFonts w:ascii="Times New Roman" w:hAnsi="Times New Roman" w:cs="Times New Roman"/>
                                  <w:color w:val="76923C" w:themeColor="accent3" w:themeShade="BF"/>
                                  <w:sz w:val="20"/>
                                  <w:szCs w:val="20"/>
                                  <w:lang w:val="es-ES"/>
                                </w:rPr>
                                <w:t>Cambio de metas PNBV 2013-2017</w:t>
                              </w:r>
                            </w:p>
                            <w:p w:rsidR="00480316" w:rsidRPr="004D72FD" w:rsidRDefault="00480316" w:rsidP="001321C4">
                              <w:pPr>
                                <w:rPr>
                                  <w:color w:val="76923C" w:themeColor="accent3" w:themeShade="BF"/>
                                  <w:sz w:val="20"/>
                                  <w:szCs w:val="20"/>
                                  <w:lang w:val="es-ES"/>
                                </w:rPr>
                              </w:pPr>
                              <w:r w:rsidRPr="004D72FD">
                                <w:rPr>
                                  <w:rFonts w:eastAsia="Times New Roman"/>
                                  <w:color w:val="76923C" w:themeColor="accent3" w:themeShade="BF"/>
                                  <w:sz w:val="20"/>
                                  <w:szCs w:val="20"/>
                                  <w:lang w:val="es-EC" w:eastAsia="es-EC"/>
                                </w:rPr>
                                <w:t>Idea programática: Imposibilidad de lograr metas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3" o:spid="_x0000_s1030" style="position:absolute;left:0;text-align:left;margin-left:-6.9pt;margin-top:24.1pt;width:463.25pt;height:237.35pt;z-index:251660288" coordorigin="1750,785" coordsize="9265,4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">
                <v:shape id="Text Box 19" o:spid="_x0000_s1031" type="#_x0000_t202" style="position:absolute;left:8698;top:4205;width:2317;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IzsYA&#10;AADbAAAADwAAAGRycy9kb3ducmV2LnhtbESPQWvCQBSE7wX/w/IK3uqmklZNXUWsihdRo9AeH9nX&#10;JJh9m2a3mvbXu0LB4zAz3zDjaWsqcabGlZYVPPciEMSZ1SXnCo6H5dMQhPPIGivLpOCXHEwnnYcx&#10;JtpeeE/n1OciQNglqKDwvk6kdFlBBl3P1sTB+7KNQR9kk0vd4CXATSX7UfQqDZYcFgqsaV5Qdkp/&#10;jIJF/DIYyWG6+fv4/N69r2pbbVexUt3HdvYGwlPr7+H/9lor6Mdw+xJ+gJ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KIzsYAAADbAAAADwAAAAAAAAAAAAAAAACYAgAAZHJz&#10;L2Rvd25yZXYueG1sUEsFBgAAAAAEAAQA9QAAAIsDAAAAAA==&#10;" strokecolor="#4f81bd [3204]">
                  <v:textbox>
                    <w:txbxContent>
                      <w:p w:rsidR="00480316" w:rsidRPr="00A823D6" w:rsidRDefault="00480316" w:rsidP="001321C4">
                        <w:pPr>
                          <w:pStyle w:val="Sinespaciado"/>
                          <w:rPr>
                            <w:rFonts w:ascii="Times New Roman" w:hAnsi="Times New Roman" w:cs="Times New Roman"/>
                            <w:color w:val="002060"/>
                            <w:sz w:val="20"/>
                            <w:szCs w:val="20"/>
                            <w:lang w:val="es-ES"/>
                          </w:rPr>
                        </w:pPr>
                        <w:r w:rsidRPr="00A823D6">
                          <w:rPr>
                            <w:rFonts w:ascii="Times New Roman" w:hAnsi="Times New Roman" w:cs="Times New Roman"/>
                            <w:b/>
                            <w:color w:val="002060"/>
                            <w:sz w:val="20"/>
                            <w:szCs w:val="20"/>
                            <w:lang w:val="es-ES"/>
                          </w:rPr>
                          <w:t xml:space="preserve">Red </w:t>
                        </w:r>
                        <w:r>
                          <w:rPr>
                            <w:rFonts w:ascii="Times New Roman" w:hAnsi="Times New Roman" w:cs="Times New Roman"/>
                            <w:b/>
                            <w:color w:val="002060"/>
                            <w:sz w:val="20"/>
                            <w:szCs w:val="20"/>
                            <w:lang w:val="es-ES"/>
                          </w:rPr>
                          <w:t>4</w:t>
                        </w:r>
                        <w:r w:rsidRPr="00A823D6">
                          <w:rPr>
                            <w:rFonts w:ascii="Times New Roman" w:hAnsi="Times New Roman" w:cs="Times New Roman"/>
                            <w:color w:val="002060"/>
                            <w:sz w:val="20"/>
                            <w:szCs w:val="20"/>
                            <w:lang w:val="es-ES"/>
                          </w:rPr>
                          <w:t xml:space="preserve">: Propuesta interinstitucional </w:t>
                        </w:r>
                      </w:p>
                      <w:p w:rsidR="00480316" w:rsidRPr="00A823D6" w:rsidRDefault="00480316" w:rsidP="001321C4">
                        <w:pPr>
                          <w:pStyle w:val="Sinespaciado"/>
                          <w:rPr>
                            <w:rFonts w:ascii="Times New Roman" w:hAnsi="Times New Roman" w:cs="Times New Roman"/>
                            <w:color w:val="002060"/>
                            <w:sz w:val="20"/>
                            <w:szCs w:val="20"/>
                            <w:lang w:val="es-ES"/>
                          </w:rPr>
                        </w:pPr>
                        <w:r w:rsidRPr="00A823D6">
                          <w:rPr>
                            <w:rFonts w:ascii="Times New Roman" w:hAnsi="Times New Roman" w:cs="Times New Roman"/>
                            <w:color w:val="002060"/>
                            <w:sz w:val="20"/>
                            <w:szCs w:val="20"/>
                            <w:lang w:val="es-ES"/>
                          </w:rPr>
                          <w:t>Idea programática: Cobertura, gestión y calidad</w:t>
                        </w:r>
                      </w:p>
                      <w:p w:rsidR="00480316" w:rsidRPr="004D72FD" w:rsidRDefault="00480316" w:rsidP="001321C4">
                        <w:pPr>
                          <w:rPr>
                            <w:color w:val="002060"/>
                            <w:sz w:val="20"/>
                            <w:szCs w:val="20"/>
                            <w:lang w:val="es-EC"/>
                          </w:rPr>
                        </w:pPr>
                      </w:p>
                    </w:txbxContent>
                  </v:textbox>
                </v:shape>
                <v:shape id="_x0000_s1032" type="#_x0000_t202" style="position:absolute;left:7663;top:785;width:2374;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rcBcMA&#10;AADbAAAADwAAAGRycy9kb3ducmV2LnhtbESPzarCMBSE94LvEI7gTlMFRapRLgXFhYL/4O7c5ty2&#10;3OakNFHr2xtBcDnMzDfMbNGYUtypdoVlBYN+BII4tbrgTMHpuOxNQDiPrLG0TAqe5GAxb7dmGGv7&#10;4D3dDz4TAcIuRgW591UspUtzMuj6tiIO3p+tDfog60zqGh8Bbko5jKKxNFhwWMixoiSn9P9wMwpM&#10;shmsztdsfR1ffotdMjnvt7tSqW6n+ZmC8NT4b/jTXmsFwxG8v4Qf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rcBcMAAADbAAAADwAAAAAAAAAAAAAAAACYAgAAZHJzL2Rv&#10;d25yZXYueG1sUEsFBgAAAAAEAAQA9QAAAIgDAAAAAA==&#10;" strokecolor="#8064a2 [3207]">
                  <v:textbox>
                    <w:txbxContent>
                      <w:p w:rsidR="00480316" w:rsidRPr="004D72FD" w:rsidRDefault="00480316" w:rsidP="001321C4">
                        <w:pPr>
                          <w:pStyle w:val="Sinespaciado"/>
                          <w:rPr>
                            <w:rFonts w:ascii="Times New Roman" w:hAnsi="Times New Roman" w:cs="Times New Roman"/>
                            <w:color w:val="8064A2" w:themeColor="accent4"/>
                            <w:sz w:val="20"/>
                            <w:szCs w:val="20"/>
                            <w:lang w:val="es-ES"/>
                          </w:rPr>
                        </w:pPr>
                        <w:r w:rsidRPr="00A823D6">
                          <w:rPr>
                            <w:rFonts w:ascii="Times New Roman" w:hAnsi="Times New Roman" w:cs="Times New Roman"/>
                            <w:b/>
                            <w:color w:val="8064A2" w:themeColor="accent4"/>
                            <w:sz w:val="20"/>
                            <w:szCs w:val="20"/>
                            <w:lang w:val="es-ES"/>
                          </w:rPr>
                          <w:t>Red 2</w:t>
                        </w:r>
                        <w:r w:rsidRPr="00A823D6">
                          <w:rPr>
                            <w:rFonts w:ascii="Times New Roman" w:hAnsi="Times New Roman" w:cs="Times New Roman"/>
                            <w:color w:val="8064A2" w:themeColor="accent4"/>
                            <w:sz w:val="20"/>
                            <w:szCs w:val="20"/>
                            <w:lang w:val="es-ES"/>
                          </w:rPr>
                          <w:t xml:space="preserve">: Prosaneamiento </w:t>
                        </w:r>
                      </w:p>
                      <w:p w:rsidR="00480316" w:rsidRPr="004D72FD" w:rsidRDefault="00480316" w:rsidP="001321C4">
                        <w:pPr>
                          <w:pStyle w:val="Sinespaciado"/>
                          <w:rPr>
                            <w:rFonts w:ascii="Times New Roman" w:hAnsi="Times New Roman" w:cs="Times New Roman"/>
                            <w:color w:val="8064A2" w:themeColor="accent4"/>
                            <w:sz w:val="20"/>
                            <w:szCs w:val="20"/>
                            <w:lang w:val="es-ES"/>
                          </w:rPr>
                        </w:pPr>
                        <w:r w:rsidRPr="004D72FD">
                          <w:rPr>
                            <w:rFonts w:ascii="Times New Roman" w:hAnsi="Times New Roman" w:cs="Times New Roman"/>
                            <w:color w:val="8064A2" w:themeColor="accent4"/>
                            <w:sz w:val="20"/>
                            <w:szCs w:val="20"/>
                            <w:lang w:val="es-ES"/>
                          </w:rPr>
                          <w:t xml:space="preserve">Idea programática: </w:t>
                        </w:r>
                      </w:p>
                      <w:p w:rsidR="00480316" w:rsidRPr="004D72FD" w:rsidRDefault="00480316" w:rsidP="001321C4">
                        <w:pPr>
                          <w:pStyle w:val="Sinespaciado"/>
                          <w:rPr>
                            <w:rFonts w:ascii="Times New Roman" w:hAnsi="Times New Roman" w:cs="Times New Roman"/>
                            <w:color w:val="8064A2" w:themeColor="accent4"/>
                            <w:sz w:val="20"/>
                            <w:szCs w:val="20"/>
                            <w:lang w:val="es-ES"/>
                          </w:rPr>
                        </w:pPr>
                        <w:r w:rsidRPr="004D72FD">
                          <w:rPr>
                            <w:rFonts w:ascii="Times New Roman" w:hAnsi="Times New Roman" w:cs="Times New Roman"/>
                            <w:color w:val="8064A2" w:themeColor="accent4"/>
                            <w:sz w:val="20"/>
                            <w:szCs w:val="20"/>
                            <w:lang w:val="es-ES"/>
                          </w:rPr>
                          <w:t>Financiamiento</w:t>
                        </w:r>
                      </w:p>
                      <w:p w:rsidR="00480316" w:rsidRPr="004D72FD" w:rsidRDefault="00480316" w:rsidP="001321C4">
                        <w:pPr>
                          <w:rPr>
                            <w:sz w:val="20"/>
                            <w:szCs w:val="20"/>
                            <w:lang w:val="es-ES"/>
                          </w:rPr>
                        </w:pPr>
                      </w:p>
                    </w:txbxContent>
                  </v:textbox>
                </v:shape>
                <v:shape id="Text Box 21" o:spid="_x0000_s1033" type="#_x0000_t202" style="position:absolute;left:2427;top:1640;width:2154;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VHBsQA&#10;AADbAAAADwAAAGRycy9kb3ducmV2LnhtbESPQYvCMBSE7wv7H8IT9iKa6qEr1SiyoLjixXZZ8PZo&#10;nm2xeSlNrPXfG0HwOMzMN8xi1ZtadNS6yrKCyTgCQZxbXXGh4C/bjGYgnEfWWFsmBXdysFp+fiww&#10;0fbGR+pSX4gAYZeggtL7JpHS5SUZdGPbEAfvbFuDPsi2kLrFW4CbWk6jKJYGKw4LJTb0U1J+Sa9G&#10;wem3uxy+7X+238fpcCe36aEfVkp9Dfr1HISn3r/Dr/ZOK5jG8PwSf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1RwbEAAAA2wAAAA8AAAAAAAAAAAAAAAAAmAIAAGRycy9k&#10;b3ducmV2LnhtbFBLBQYAAAAABAAEAPUAAACJAwAAAAA=&#10;" strokecolor="red">
                  <v:textbox>
                    <w:txbxContent>
                      <w:p w:rsidR="00480316" w:rsidRPr="004D72FD" w:rsidRDefault="00480316" w:rsidP="001321C4">
                        <w:pPr>
                          <w:pStyle w:val="Sinespaciado"/>
                          <w:rPr>
                            <w:rFonts w:ascii="Times New Roman" w:hAnsi="Times New Roman" w:cs="Times New Roman"/>
                            <w:color w:val="FF0000"/>
                            <w:sz w:val="18"/>
                            <w:szCs w:val="18"/>
                            <w:lang w:val="es-ES"/>
                          </w:rPr>
                        </w:pPr>
                        <w:r w:rsidRPr="006933E3">
                          <w:rPr>
                            <w:rFonts w:ascii="Times New Roman" w:hAnsi="Times New Roman" w:cs="Times New Roman"/>
                            <w:b/>
                            <w:color w:val="FF0000"/>
                            <w:sz w:val="18"/>
                            <w:szCs w:val="18"/>
                            <w:lang w:val="es-ES"/>
                          </w:rPr>
                          <w:t>Red 6</w:t>
                        </w:r>
                        <w:r w:rsidRPr="004D72FD">
                          <w:rPr>
                            <w:rFonts w:ascii="Times New Roman" w:hAnsi="Times New Roman" w:cs="Times New Roman"/>
                            <w:color w:val="FF0000"/>
                            <w:sz w:val="18"/>
                            <w:szCs w:val="18"/>
                            <w:lang w:val="es-ES"/>
                          </w:rPr>
                          <w:t>: Eliminación de subsidios</w:t>
                        </w:r>
                      </w:p>
                      <w:p w:rsidR="00480316" w:rsidRPr="004D72FD" w:rsidRDefault="00480316" w:rsidP="001321C4">
                        <w:pPr>
                          <w:pStyle w:val="Sinespaciado"/>
                          <w:rPr>
                            <w:rFonts w:ascii="Times New Roman" w:hAnsi="Times New Roman" w:cs="Times New Roman"/>
                            <w:color w:val="FF0000"/>
                            <w:sz w:val="18"/>
                            <w:szCs w:val="18"/>
                            <w:lang w:val="es-ES"/>
                          </w:rPr>
                        </w:pPr>
                        <w:r>
                          <w:rPr>
                            <w:rFonts w:ascii="Times New Roman" w:hAnsi="Times New Roman" w:cs="Times New Roman"/>
                            <w:color w:val="FF0000"/>
                            <w:sz w:val="18"/>
                            <w:szCs w:val="18"/>
                            <w:lang w:val="es-ES"/>
                          </w:rPr>
                          <w:t>Idea programática: E</w:t>
                        </w:r>
                        <w:r w:rsidRPr="004D72FD">
                          <w:rPr>
                            <w:rFonts w:ascii="Times New Roman" w:hAnsi="Times New Roman" w:cs="Times New Roman"/>
                            <w:color w:val="FF0000"/>
                            <w:sz w:val="18"/>
                            <w:szCs w:val="18"/>
                            <w:lang w:val="es-ES"/>
                          </w:rPr>
                          <w:t>liminación de subsidios</w:t>
                        </w:r>
                      </w:p>
                    </w:txbxContent>
                  </v:textbox>
                </v:shape>
                <v:shape id="Text Box 22" o:spid="_x0000_s1034" type="#_x0000_t202" style="position:absolute;left:1750;top:4197;width:2387;height:1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vCMIA&#10;AADbAAAADwAAAGRycy9kb3ducmV2LnhtbESPS6vCMBSE94L/IZwLbkRTCz7oNYoIgujKB7o9NMe2&#10;9zYnpYm1/nsjCC6HmfmGmS9bU4qGaldYVjAaRiCIU6sLzhScT5vBDITzyBpLy6TgSQ6Wi25njom2&#10;Dz5Qc/SZCBB2CSrIva8SKV2ak0E3tBVx8G62NuiDrDOpa3wEuCllHEUTabDgsJBjReuc0v/j3SiQ&#10;2/O17250acaHarzha7zf/cVK9X7a1S8IT63/hj/trVYQT+H9Jf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y8IwgAAANsAAAAPAAAAAAAAAAAAAAAAAJgCAABkcnMvZG93&#10;bnJldi54bWxQSwUGAAAAAAQABAD1AAAAhwMAAAAA&#10;" strokecolor="#76923c [2406]">
                  <v:textbox>
                    <w:txbxContent>
                      <w:p w:rsidR="00480316" w:rsidRPr="006933E3" w:rsidRDefault="00480316" w:rsidP="001321C4">
                        <w:pPr>
                          <w:pStyle w:val="Sinespaciado"/>
                          <w:rPr>
                            <w:rFonts w:ascii="Times New Roman" w:hAnsi="Times New Roman" w:cs="Times New Roman"/>
                            <w:b/>
                            <w:color w:val="76923C" w:themeColor="accent3" w:themeShade="BF"/>
                            <w:sz w:val="20"/>
                            <w:szCs w:val="20"/>
                            <w:lang w:val="es-ES"/>
                          </w:rPr>
                        </w:pPr>
                        <w:r w:rsidRPr="004D72FD">
                          <w:rPr>
                            <w:rFonts w:ascii="Times New Roman" w:hAnsi="Times New Roman" w:cs="Times New Roman"/>
                            <w:b/>
                            <w:color w:val="76923C" w:themeColor="accent3" w:themeShade="BF"/>
                            <w:sz w:val="20"/>
                            <w:szCs w:val="20"/>
                            <w:lang w:val="es-ES"/>
                          </w:rPr>
                          <w:t xml:space="preserve">Red 5: </w:t>
                        </w:r>
                        <w:r w:rsidRPr="006933E3">
                          <w:rPr>
                            <w:rFonts w:ascii="Times New Roman" w:hAnsi="Times New Roman" w:cs="Times New Roman"/>
                            <w:color w:val="76923C" w:themeColor="accent3" w:themeShade="BF"/>
                            <w:sz w:val="20"/>
                            <w:szCs w:val="20"/>
                            <w:lang w:val="es-ES"/>
                          </w:rPr>
                          <w:t>Cambio de metas PNBV 2013-2017</w:t>
                        </w:r>
                      </w:p>
                      <w:p w:rsidR="00480316" w:rsidRPr="004D72FD" w:rsidRDefault="00480316" w:rsidP="001321C4">
                        <w:pPr>
                          <w:rPr>
                            <w:color w:val="76923C" w:themeColor="accent3" w:themeShade="BF"/>
                            <w:sz w:val="20"/>
                            <w:szCs w:val="20"/>
                            <w:lang w:val="es-ES"/>
                          </w:rPr>
                        </w:pPr>
                        <w:r w:rsidRPr="004D72FD">
                          <w:rPr>
                            <w:rFonts w:eastAsia="Times New Roman"/>
                            <w:color w:val="76923C" w:themeColor="accent3" w:themeShade="BF"/>
                            <w:sz w:val="20"/>
                            <w:szCs w:val="20"/>
                            <w:lang w:val="es-EC" w:eastAsia="es-EC"/>
                          </w:rPr>
                          <w:t>Idea programática: Imposibilidad de lograr metas</w:t>
                        </w:r>
                      </w:p>
                    </w:txbxContent>
                  </v:textbox>
                </v:shape>
              </v:group>
            </w:pict>
          </mc:Fallback>
        </mc:AlternateContent>
      </w:r>
      <w:r w:rsidR="001321C4">
        <w:rPr>
          <w:noProof/>
        </w:rPr>
        <w:drawing>
          <wp:inline distT="0" distB="0" distL="0" distR="0" wp14:anchorId="51A729B5" wp14:editId="14F7EDE2">
            <wp:extent cx="3707130" cy="3263900"/>
            <wp:effectExtent l="0" t="0" r="1270" b="0"/>
            <wp:docPr id="7" name="Imagen 7" descr="C:\Users\Acer Aspire\Documents\MPP\Tesis\Redes Gephi\Etapas-Ideas\Etapas II\OpciónII\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 Aspire\Documents\MPP\Tesis\Redes Gephi\Etapas-Ideas\Etapas II\OpciónII\Untitled.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377" t="2867" r="20719" b="2867"/>
                    <a:stretch/>
                  </pic:blipFill>
                  <pic:spPr bwMode="auto">
                    <a:xfrm>
                      <a:off x="0" y="0"/>
                      <a:ext cx="3748345" cy="3300187"/>
                    </a:xfrm>
                    <a:prstGeom prst="rect">
                      <a:avLst/>
                    </a:prstGeom>
                    <a:noFill/>
                    <a:ln>
                      <a:noFill/>
                    </a:ln>
                    <a:extLst>
                      <a:ext uri="{53640926-AAD7-44D8-BBD7-CCE9431645EC}">
                        <a14:shadowObscured xmlns:a14="http://schemas.microsoft.com/office/drawing/2010/main"/>
                      </a:ext>
                    </a:extLst>
                  </pic:spPr>
                </pic:pic>
              </a:graphicData>
            </a:graphic>
          </wp:inline>
        </w:drawing>
      </w:r>
    </w:p>
    <w:p w:rsidR="004560C7" w:rsidRDefault="004560C7" w:rsidP="001321C4">
      <w:pPr>
        <w:pStyle w:val="Body"/>
        <w:jc w:val="both"/>
        <w:rPr>
          <w:rFonts w:eastAsia="Arial"/>
          <w:noProof/>
        </w:rPr>
      </w:pPr>
    </w:p>
    <w:tbl>
      <w:tblPr>
        <w:tblStyle w:val="TableNormal1"/>
        <w:tblpPr w:leftFromText="141" w:rightFromText="141" w:vertAnchor="text" w:horzAnchor="page" w:tblpX="2291" w:tblpY="109"/>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27"/>
        <w:gridCol w:w="1016"/>
        <w:gridCol w:w="1127"/>
        <w:gridCol w:w="2388"/>
        <w:gridCol w:w="682"/>
        <w:gridCol w:w="1432"/>
      </w:tblGrid>
      <w:tr w:rsidR="00522A27" w:rsidRPr="00522A27" w:rsidTr="00651DFA">
        <w:trPr>
          <w:trHeight w:val="192"/>
        </w:trPr>
        <w:tc>
          <w:tcPr>
            <w:tcW w:w="0" w:type="auto"/>
            <w:tcBorders>
              <w:top w:val="nil"/>
              <w:left w:val="nil"/>
              <w:bottom w:val="nil"/>
              <w:right w:val="single" w:sz="4" w:space="0" w:color="000000"/>
            </w:tcBorders>
            <w:shd w:val="clear" w:color="auto" w:fill="auto"/>
            <w:tcMar>
              <w:top w:w="80" w:type="dxa"/>
              <w:left w:w="80" w:type="dxa"/>
              <w:bottom w:w="80" w:type="dxa"/>
              <w:right w:w="80" w:type="dxa"/>
            </w:tcMar>
            <w:vAlign w:val="center"/>
          </w:tcPr>
          <w:p w:rsidR="00522A27" w:rsidRPr="004D72FD" w:rsidRDefault="00522A27" w:rsidP="00651DFA">
            <w:pPr>
              <w:jc w:val="center"/>
              <w:rPr>
                <w:sz w:val="20"/>
                <w:szCs w:val="20"/>
              </w:rPr>
            </w:pPr>
            <w:r w:rsidRPr="004D72FD">
              <w:rPr>
                <w:sz w:val="20"/>
                <w:szCs w:val="20"/>
              </w:rPr>
              <w:t>Tipo de nodo</w:t>
            </w:r>
          </w:p>
        </w:tc>
        <w:tc>
          <w:tcPr>
            <w:tcW w:w="0" w:type="auto"/>
            <w:tcBorders>
              <w:top w:val="single" w:sz="4" w:space="0" w:color="000000"/>
              <w:left w:val="single" w:sz="4" w:space="0" w:color="000000"/>
              <w:bottom w:val="single" w:sz="4" w:space="0" w:color="000000"/>
              <w:right w:val="single" w:sz="4" w:space="0" w:color="000000"/>
            </w:tcBorders>
            <w:shd w:val="clear" w:color="auto" w:fill="4BACC6"/>
            <w:tcMar>
              <w:top w:w="80" w:type="dxa"/>
              <w:left w:w="80" w:type="dxa"/>
              <w:bottom w:w="80" w:type="dxa"/>
              <w:right w:w="80" w:type="dxa"/>
            </w:tcMar>
            <w:vAlign w:val="center"/>
          </w:tcPr>
          <w:p w:rsidR="00522A27" w:rsidRPr="004D72FD" w:rsidRDefault="00522A27" w:rsidP="00651DFA">
            <w:pPr>
              <w:pStyle w:val="Body"/>
              <w:jc w:val="center"/>
              <w:rPr>
                <w:sz w:val="20"/>
                <w:szCs w:val="20"/>
              </w:rPr>
            </w:pPr>
            <w:r w:rsidRPr="004D72FD">
              <w:rPr>
                <w:sz w:val="20"/>
                <w:szCs w:val="20"/>
              </w:rPr>
              <w:t>Institución</w:t>
            </w: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rsidR="00522A27" w:rsidRPr="004D72FD" w:rsidRDefault="00522A27" w:rsidP="00651DFA">
            <w:pPr>
              <w:pStyle w:val="Body"/>
              <w:jc w:val="center"/>
              <w:rPr>
                <w:sz w:val="20"/>
                <w:szCs w:val="20"/>
              </w:rPr>
            </w:pPr>
            <w:r w:rsidRPr="004D72FD">
              <w:rPr>
                <w:sz w:val="20"/>
                <w:szCs w:val="20"/>
              </w:rPr>
              <w:t>Instrumento</w:t>
            </w:r>
          </w:p>
        </w:tc>
        <w:tc>
          <w:tcPr>
            <w:tcW w:w="0" w:type="auto"/>
            <w:tcBorders>
              <w:top w:val="single" w:sz="4" w:space="0" w:color="000000"/>
              <w:left w:val="single" w:sz="4" w:space="0" w:color="000000"/>
              <w:bottom w:val="single" w:sz="4" w:space="0" w:color="000000"/>
              <w:right w:val="single" w:sz="4" w:space="0" w:color="000000"/>
            </w:tcBorders>
            <w:shd w:val="clear" w:color="auto" w:fill="F79646"/>
            <w:tcMar>
              <w:top w:w="80" w:type="dxa"/>
              <w:left w:w="80" w:type="dxa"/>
              <w:bottom w:w="80" w:type="dxa"/>
              <w:right w:w="80" w:type="dxa"/>
            </w:tcMar>
            <w:vAlign w:val="center"/>
          </w:tcPr>
          <w:p w:rsidR="00522A27" w:rsidRPr="004D72FD" w:rsidRDefault="00522A27" w:rsidP="00651DFA">
            <w:pPr>
              <w:pStyle w:val="Body"/>
              <w:jc w:val="center"/>
              <w:rPr>
                <w:sz w:val="20"/>
                <w:szCs w:val="20"/>
              </w:rPr>
            </w:pPr>
            <w:r w:rsidRPr="004D72FD">
              <w:rPr>
                <w:sz w:val="20"/>
                <w:szCs w:val="20"/>
              </w:rPr>
              <w:t>Organismos internacionales</w:t>
            </w:r>
          </w:p>
        </w:tc>
        <w:tc>
          <w:tcPr>
            <w:tcW w:w="0" w:type="auto"/>
            <w:tcBorders>
              <w:top w:val="single" w:sz="4" w:space="0" w:color="000000"/>
              <w:left w:val="single" w:sz="4" w:space="0" w:color="000000"/>
              <w:bottom w:val="single" w:sz="4" w:space="0" w:color="000000"/>
              <w:right w:val="single" w:sz="4" w:space="0" w:color="000000"/>
            </w:tcBorders>
            <w:shd w:val="clear" w:color="auto" w:fill="8064A2"/>
            <w:tcMar>
              <w:top w:w="80" w:type="dxa"/>
              <w:left w:w="80" w:type="dxa"/>
              <w:bottom w:w="80" w:type="dxa"/>
              <w:right w:w="80" w:type="dxa"/>
            </w:tcMar>
            <w:vAlign w:val="center"/>
          </w:tcPr>
          <w:p w:rsidR="00522A27" w:rsidRPr="004D72FD" w:rsidRDefault="00522A27" w:rsidP="00651DFA">
            <w:pPr>
              <w:pStyle w:val="Body"/>
              <w:jc w:val="center"/>
              <w:rPr>
                <w:sz w:val="20"/>
                <w:szCs w:val="20"/>
              </w:rPr>
            </w:pPr>
            <w:r w:rsidRPr="004D72FD">
              <w:rPr>
                <w:sz w:val="20"/>
                <w:szCs w:val="20"/>
              </w:rPr>
              <w:t>Hecho</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rsidR="00522A27" w:rsidRPr="004D72FD" w:rsidRDefault="00522A27" w:rsidP="00651DFA">
            <w:pPr>
              <w:pStyle w:val="Body"/>
              <w:jc w:val="center"/>
              <w:rPr>
                <w:sz w:val="20"/>
                <w:szCs w:val="20"/>
              </w:rPr>
            </w:pPr>
            <w:r w:rsidRPr="004D72FD">
              <w:rPr>
                <w:sz w:val="20"/>
                <w:szCs w:val="20"/>
              </w:rPr>
              <w:t>Actor particular</w:t>
            </w:r>
          </w:p>
        </w:tc>
      </w:tr>
    </w:tbl>
    <w:p w:rsidR="001321C4" w:rsidRDefault="001321C4" w:rsidP="004560C7">
      <w:pPr>
        <w:pStyle w:val="Body"/>
        <w:jc w:val="both"/>
        <w:rPr>
          <w:rFonts w:eastAsia="Arial"/>
          <w:noProof/>
        </w:rPr>
      </w:pPr>
    </w:p>
    <w:p w:rsidR="00C5014A" w:rsidRDefault="002973BD" w:rsidP="004D72FD">
      <w:pPr>
        <w:pStyle w:val="BodyA"/>
        <w:spacing w:after="0" w:line="360" w:lineRule="auto"/>
        <w:jc w:val="center"/>
        <w:rPr>
          <w:rFonts w:ascii="Times New Roman" w:hAnsi="Times New Roman"/>
          <w:sz w:val="20"/>
          <w:szCs w:val="20"/>
        </w:rPr>
      </w:pPr>
      <w:r w:rsidRPr="004D72FD">
        <w:rPr>
          <w:rFonts w:ascii="Times New Roman" w:hAnsi="Times New Roman"/>
          <w:sz w:val="20"/>
          <w:szCs w:val="20"/>
        </w:rPr>
        <w:t xml:space="preserve">Fuente: </w:t>
      </w:r>
      <w:r w:rsidR="004D72FD" w:rsidRPr="004D72FD">
        <w:rPr>
          <w:rFonts w:ascii="Times New Roman" w:hAnsi="Times New Roman"/>
          <w:sz w:val="20"/>
          <w:szCs w:val="20"/>
        </w:rPr>
        <w:t>Elaboración propia</w:t>
      </w:r>
    </w:p>
    <w:p w:rsidR="006952DD" w:rsidRPr="00A5089D" w:rsidRDefault="00CF3F38" w:rsidP="001818C3">
      <w:pPr>
        <w:pStyle w:val="BodyA"/>
        <w:spacing w:after="0" w:line="240" w:lineRule="auto"/>
        <w:jc w:val="both"/>
        <w:rPr>
          <w:rFonts w:ascii="Times New Roman" w:eastAsia="Times New Roman" w:hAnsi="Times New Roman" w:cs="Times New Roman"/>
          <w:color w:val="000000" w:themeColor="text1"/>
          <w:sz w:val="24"/>
          <w:szCs w:val="24"/>
        </w:rPr>
      </w:pPr>
      <w:bookmarkStart w:id="0" w:name="_GoBack"/>
      <w:bookmarkEnd w:id="0"/>
      <w:r w:rsidRPr="00A5089D">
        <w:rPr>
          <w:rFonts w:ascii="Times New Roman" w:eastAsia="Times New Roman" w:hAnsi="Times New Roman" w:cs="Times New Roman"/>
          <w:color w:val="000000" w:themeColor="text1"/>
          <w:sz w:val="24"/>
          <w:szCs w:val="24"/>
        </w:rPr>
        <w:lastRenderedPageBreak/>
        <w:t>En la segunda etapa</w:t>
      </w:r>
      <w:r w:rsidR="00395B70" w:rsidRPr="00A5089D">
        <w:rPr>
          <w:rFonts w:ascii="Times New Roman" w:eastAsia="Times New Roman" w:hAnsi="Times New Roman" w:cs="Times New Roman"/>
          <w:color w:val="000000" w:themeColor="text1"/>
          <w:sz w:val="24"/>
          <w:szCs w:val="24"/>
        </w:rPr>
        <w:t xml:space="preserve"> el contexto ideacional promueve las ideas que ponen de relieve el cumplimiento de las metas nacionales y el cierre de las brechas de cobertura. </w:t>
      </w:r>
      <w:r w:rsidR="001818C3" w:rsidRPr="00A5089D">
        <w:rPr>
          <w:rFonts w:ascii="Times New Roman" w:eastAsia="Times New Roman" w:hAnsi="Times New Roman" w:cs="Times New Roman"/>
          <w:color w:val="000000" w:themeColor="text1"/>
          <w:sz w:val="24"/>
          <w:szCs w:val="24"/>
        </w:rPr>
        <w:t>Como ya hemos anotado, se da un cambio en la institución que asume la rectoría de la política y se favorece la red que apoya la “propuesta insterinstitucional” para la ampliación de estos servicios.</w:t>
      </w:r>
      <w:r w:rsidR="0012520D" w:rsidRPr="00A5089D">
        <w:rPr>
          <w:rFonts w:ascii="Times New Roman" w:eastAsia="Times New Roman" w:hAnsi="Times New Roman" w:cs="Times New Roman"/>
          <w:color w:val="000000" w:themeColor="text1"/>
          <w:sz w:val="24"/>
          <w:szCs w:val="24"/>
        </w:rPr>
        <w:t xml:space="preserve"> Esto permite una mayor incorporación de las entidades relacionadas con la planificación nacional, el sector social y el sector financiero</w:t>
      </w:r>
      <w:r w:rsidR="006952DD" w:rsidRPr="00A5089D">
        <w:rPr>
          <w:rFonts w:ascii="Times New Roman" w:eastAsia="Times New Roman" w:hAnsi="Times New Roman" w:cs="Times New Roman"/>
          <w:color w:val="000000" w:themeColor="text1"/>
          <w:sz w:val="24"/>
          <w:szCs w:val="24"/>
        </w:rPr>
        <w:t xml:space="preserve">. Sin embargo, una nueva intervención del presidente de la República por fuera de los consensos promovidos por el Ejecutivo de defender el agua como un derecho constitucional y de la planificación nacional subvencionada por el gobierno central, produce el cambio de </w:t>
      </w:r>
      <w:r w:rsidR="0098556C" w:rsidRPr="00A5089D">
        <w:rPr>
          <w:rFonts w:ascii="Times New Roman" w:eastAsia="Times New Roman" w:hAnsi="Times New Roman" w:cs="Times New Roman"/>
          <w:color w:val="000000" w:themeColor="text1"/>
          <w:sz w:val="24"/>
          <w:szCs w:val="24"/>
        </w:rPr>
        <w:t>primer</w:t>
      </w:r>
      <w:r w:rsidR="006952DD" w:rsidRPr="00A5089D">
        <w:rPr>
          <w:rFonts w:ascii="Times New Roman" w:eastAsia="Times New Roman" w:hAnsi="Times New Roman" w:cs="Times New Roman"/>
          <w:color w:val="000000" w:themeColor="text1"/>
          <w:sz w:val="24"/>
          <w:szCs w:val="24"/>
        </w:rPr>
        <w:t xml:space="preserve"> orden de la política pública. Esta intervención externa, sin diálogo con los actores, transforma el proceso de toma de decisiones y reformula los instrumentos de la política produciendo un importante cambio en las ideas programáticas de la política. </w:t>
      </w:r>
    </w:p>
    <w:p w:rsidR="00920DA1" w:rsidRPr="00A5089D" w:rsidRDefault="00920DA1" w:rsidP="001818C3">
      <w:pPr>
        <w:pStyle w:val="BodyA"/>
        <w:spacing w:after="0" w:line="240" w:lineRule="auto"/>
        <w:jc w:val="both"/>
        <w:rPr>
          <w:rFonts w:ascii="Times New Roman" w:eastAsia="Times New Roman" w:hAnsi="Times New Roman" w:cs="Times New Roman"/>
          <w:color w:val="000000" w:themeColor="text1"/>
          <w:sz w:val="24"/>
          <w:szCs w:val="24"/>
        </w:rPr>
      </w:pPr>
    </w:p>
    <w:p w:rsidR="00920DA1" w:rsidRPr="00A5089D" w:rsidRDefault="00920DA1" w:rsidP="001818C3">
      <w:pPr>
        <w:pStyle w:val="BodyA"/>
        <w:spacing w:after="0" w:line="240" w:lineRule="auto"/>
        <w:jc w:val="both"/>
        <w:rPr>
          <w:rFonts w:ascii="Times New Roman" w:eastAsia="Times New Roman" w:hAnsi="Times New Roman" w:cs="Times New Roman"/>
          <w:color w:val="000000" w:themeColor="text1"/>
          <w:sz w:val="24"/>
          <w:szCs w:val="24"/>
        </w:rPr>
      </w:pPr>
      <w:r w:rsidRPr="00A5089D">
        <w:rPr>
          <w:rFonts w:ascii="Times New Roman" w:eastAsia="Times New Roman" w:hAnsi="Times New Roman" w:cs="Times New Roman"/>
          <w:color w:val="000000" w:themeColor="text1"/>
          <w:sz w:val="24"/>
          <w:szCs w:val="24"/>
        </w:rPr>
        <w:t>La intervención del presidente alteró el acuerdo de la red de otorgar créditos subsidiados y reemplazó la idea de financiamiento por la de eliminación de subsidios a los GAD, utilizando al BdE como uno de los actores ejecutores de la propuesta presidencial</w:t>
      </w:r>
      <w:r w:rsidR="00AA6FA2" w:rsidRPr="00A5089D">
        <w:rPr>
          <w:rFonts w:ascii="Times New Roman" w:eastAsia="Times New Roman" w:hAnsi="Times New Roman" w:cs="Times New Roman"/>
          <w:color w:val="000000" w:themeColor="text1"/>
          <w:sz w:val="24"/>
          <w:szCs w:val="24"/>
        </w:rPr>
        <w:t>. Esto ocasiona que la</w:t>
      </w:r>
      <w:r w:rsidR="002A42B3">
        <w:rPr>
          <w:rFonts w:ascii="Times New Roman" w:eastAsia="Times New Roman" w:hAnsi="Times New Roman" w:cs="Times New Roman"/>
          <w:color w:val="000000" w:themeColor="text1"/>
          <w:sz w:val="24"/>
          <w:szCs w:val="24"/>
        </w:rPr>
        <w:t xml:space="preserve"> entidad</w:t>
      </w:r>
      <w:r w:rsidR="00AA6FA2" w:rsidRPr="00A5089D">
        <w:rPr>
          <w:rFonts w:ascii="Times New Roman" w:eastAsia="Times New Roman" w:hAnsi="Times New Roman" w:cs="Times New Roman"/>
          <w:color w:val="000000" w:themeColor="text1"/>
          <w:sz w:val="24"/>
          <w:szCs w:val="24"/>
        </w:rPr>
        <w:t xml:space="preserve"> rectora de la política, </w:t>
      </w:r>
      <w:r w:rsidR="002A42B3">
        <w:rPr>
          <w:rFonts w:ascii="Times New Roman" w:eastAsia="Times New Roman" w:hAnsi="Times New Roman" w:cs="Times New Roman"/>
          <w:color w:val="000000" w:themeColor="text1"/>
          <w:sz w:val="24"/>
          <w:szCs w:val="24"/>
        </w:rPr>
        <w:t>S</w:t>
      </w:r>
      <w:r w:rsidR="00AA6FA2" w:rsidRPr="00A5089D">
        <w:rPr>
          <w:rFonts w:ascii="Times New Roman" w:eastAsia="Times New Roman" w:hAnsi="Times New Roman" w:cs="Times New Roman"/>
          <w:color w:val="000000" w:themeColor="text1"/>
          <w:sz w:val="24"/>
          <w:szCs w:val="24"/>
        </w:rPr>
        <w:t>ENAGUA, asuman un rol secundario en la toma de decisiones y que se reduzca la viabilidad técnica para la construcción de infraestructura a nivel nacional.</w:t>
      </w:r>
    </w:p>
    <w:p w:rsidR="001818C3" w:rsidRDefault="001818C3" w:rsidP="00395B70">
      <w:pPr>
        <w:pStyle w:val="BodyA"/>
        <w:spacing w:after="0" w:line="240" w:lineRule="auto"/>
        <w:jc w:val="both"/>
        <w:rPr>
          <w:rFonts w:ascii="Times New Roman" w:eastAsia="Times New Roman" w:hAnsi="Times New Roman" w:cs="Times New Roman"/>
          <w:color w:val="FF0000"/>
          <w:sz w:val="24"/>
          <w:szCs w:val="24"/>
        </w:rPr>
      </w:pPr>
    </w:p>
    <w:p w:rsidR="00CF3F38" w:rsidRPr="004D72FD" w:rsidRDefault="00CF3F38" w:rsidP="004D72FD">
      <w:pPr>
        <w:pStyle w:val="BodyA"/>
        <w:spacing w:after="0" w:line="360" w:lineRule="auto"/>
        <w:jc w:val="center"/>
        <w:rPr>
          <w:rFonts w:ascii="Times New Roman" w:eastAsia="Times New Roman" w:hAnsi="Times New Roman" w:cs="Times New Roman"/>
          <w:sz w:val="20"/>
          <w:szCs w:val="20"/>
        </w:rPr>
      </w:pPr>
    </w:p>
    <w:p w:rsidR="004560C7" w:rsidRDefault="004560C7" w:rsidP="004560C7">
      <w:pPr>
        <w:pStyle w:val="Epgrafe"/>
        <w:spacing w:after="0"/>
        <w:jc w:val="center"/>
        <w:rPr>
          <w:rFonts w:ascii="Times New Roman" w:hAnsi="Times New Roman" w:cs="Times New Roman"/>
          <w:color w:val="000000"/>
          <w:sz w:val="24"/>
          <w:szCs w:val="24"/>
          <w:u w:color="000000"/>
        </w:rPr>
      </w:pPr>
      <w:r>
        <w:rPr>
          <w:rFonts w:ascii="Times New Roman" w:hAnsi="Times New Roman" w:cs="Times New Roman"/>
          <w:color w:val="000000"/>
          <w:sz w:val="24"/>
          <w:szCs w:val="24"/>
          <w:u w:color="000000"/>
        </w:rPr>
        <w:t>Gráfico 4</w:t>
      </w:r>
      <w:r w:rsidRPr="00537D1E">
        <w:rPr>
          <w:rFonts w:ascii="Times New Roman" w:hAnsi="Times New Roman" w:cs="Times New Roman"/>
          <w:color w:val="000000"/>
          <w:sz w:val="24"/>
          <w:szCs w:val="24"/>
          <w:u w:color="000000"/>
        </w:rPr>
        <w:t xml:space="preserve">. </w:t>
      </w:r>
      <w:r>
        <w:rPr>
          <w:rFonts w:ascii="Times New Roman" w:hAnsi="Times New Roman" w:cs="Times New Roman"/>
          <w:color w:val="000000"/>
          <w:sz w:val="24"/>
          <w:szCs w:val="24"/>
          <w:u w:color="000000"/>
        </w:rPr>
        <w:t>R</w:t>
      </w:r>
      <w:r w:rsidRPr="00537D1E">
        <w:rPr>
          <w:rFonts w:ascii="Times New Roman" w:hAnsi="Times New Roman" w:cs="Times New Roman"/>
          <w:color w:val="000000"/>
          <w:sz w:val="24"/>
          <w:szCs w:val="24"/>
          <w:u w:color="000000"/>
        </w:rPr>
        <w:t xml:space="preserve">edes </w:t>
      </w:r>
      <w:r w:rsidR="00601550">
        <w:rPr>
          <w:rFonts w:ascii="Times New Roman" w:hAnsi="Times New Roman" w:cs="Times New Roman"/>
          <w:color w:val="000000"/>
          <w:sz w:val="24"/>
          <w:szCs w:val="24"/>
          <w:u w:color="000000"/>
        </w:rPr>
        <w:t>de</w:t>
      </w:r>
      <w:r w:rsidRPr="00537D1E">
        <w:rPr>
          <w:rFonts w:ascii="Times New Roman" w:hAnsi="Times New Roman" w:cs="Times New Roman"/>
          <w:color w:val="000000"/>
          <w:sz w:val="24"/>
          <w:szCs w:val="24"/>
          <w:u w:color="000000"/>
        </w:rPr>
        <w:t xml:space="preserve"> </w:t>
      </w:r>
      <w:r>
        <w:rPr>
          <w:rFonts w:ascii="Times New Roman" w:hAnsi="Times New Roman" w:cs="Times New Roman"/>
          <w:color w:val="000000"/>
          <w:sz w:val="24"/>
          <w:szCs w:val="24"/>
          <w:u w:color="000000"/>
        </w:rPr>
        <w:t>la tercera</w:t>
      </w:r>
      <w:r w:rsidR="004D72FD">
        <w:rPr>
          <w:rFonts w:ascii="Times New Roman" w:hAnsi="Times New Roman" w:cs="Times New Roman"/>
          <w:color w:val="000000"/>
          <w:sz w:val="24"/>
          <w:szCs w:val="24"/>
          <w:u w:color="000000"/>
        </w:rPr>
        <w:t xml:space="preserve"> etapa</w:t>
      </w:r>
    </w:p>
    <w:p w:rsidR="004560C7" w:rsidRPr="00157059" w:rsidRDefault="00FF59C5" w:rsidP="004560C7">
      <w:pPr>
        <w:pStyle w:val="Body"/>
        <w:jc w:val="both"/>
        <w:rPr>
          <w:rFonts w:eastAsia="Arial"/>
          <w:noProof/>
          <w:lang w:val="es-ES_tradnl"/>
        </w:rPr>
      </w:pPr>
      <w:r>
        <w:rPr>
          <w:rFonts w:eastAsia="Arial"/>
          <w:noProof/>
        </w:rPr>
        <mc:AlternateContent>
          <mc:Choice Requires="wps">
            <w:drawing>
              <wp:anchor distT="0" distB="0" distL="114300" distR="114300" simplePos="0" relativeHeight="251662336" behindDoc="0" locked="0" layoutInCell="1" allowOverlap="1">
                <wp:simplePos x="0" y="0"/>
                <wp:positionH relativeFrom="column">
                  <wp:posOffset>3853490</wp:posOffset>
                </wp:positionH>
                <wp:positionV relativeFrom="paragraph">
                  <wp:posOffset>173296</wp:posOffset>
                </wp:positionV>
                <wp:extent cx="1640840" cy="609479"/>
                <wp:effectExtent l="0" t="0" r="10160" b="13335"/>
                <wp:wrapNone/>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609479"/>
                        </a:xfrm>
                        <a:prstGeom prst="rect">
                          <a:avLst/>
                        </a:prstGeom>
                        <a:solidFill>
                          <a:srgbClr val="FFFFFF"/>
                        </a:solidFill>
                        <a:ln w="9525">
                          <a:solidFill>
                            <a:schemeClr val="accent4">
                              <a:lumMod val="100000"/>
                              <a:lumOff val="0"/>
                            </a:schemeClr>
                          </a:solidFill>
                          <a:miter lim="800000"/>
                          <a:headEnd/>
                          <a:tailEnd/>
                        </a:ln>
                      </wps:spPr>
                      <wps:txbx>
                        <w:txbxContent>
                          <w:p w:rsidR="00480316" w:rsidRPr="00FF59C5" w:rsidRDefault="00480316" w:rsidP="001321C4">
                            <w:pPr>
                              <w:pStyle w:val="Sinespaciado"/>
                              <w:rPr>
                                <w:rFonts w:ascii="Times New Roman" w:hAnsi="Times New Roman" w:cs="Times New Roman"/>
                                <w:b/>
                                <w:color w:val="8064A2" w:themeColor="accent4"/>
                                <w:lang w:val="es-ES"/>
                              </w:rPr>
                            </w:pPr>
                            <w:r w:rsidRPr="001321C4">
                              <w:rPr>
                                <w:rFonts w:ascii="Times New Roman" w:hAnsi="Times New Roman" w:cs="Times New Roman"/>
                                <w:b/>
                                <w:color w:val="8064A2" w:themeColor="accent4"/>
                                <w:lang w:val="es-ES"/>
                              </w:rPr>
                              <w:t xml:space="preserve">Red 2: </w:t>
                            </w:r>
                            <w:r w:rsidRPr="00FF59C5">
                              <w:rPr>
                                <w:rFonts w:ascii="Times New Roman" w:hAnsi="Times New Roman" w:cs="Times New Roman"/>
                                <w:color w:val="8064A2" w:themeColor="accent4"/>
                                <w:lang w:val="es-ES"/>
                              </w:rPr>
                              <w:t>Prosaneamiento</w:t>
                            </w:r>
                            <w:r w:rsidRPr="001321C4">
                              <w:rPr>
                                <w:rFonts w:ascii="Times New Roman" w:hAnsi="Times New Roman" w:cs="Times New Roman"/>
                                <w:b/>
                                <w:color w:val="8064A2" w:themeColor="accent4"/>
                                <w:lang w:val="es-ES"/>
                              </w:rPr>
                              <w:t xml:space="preserve"> </w:t>
                            </w:r>
                          </w:p>
                          <w:p w:rsidR="00480316" w:rsidRPr="001321C4" w:rsidRDefault="00480316" w:rsidP="001321C4">
                            <w:pPr>
                              <w:pStyle w:val="Sinespaciado"/>
                              <w:rPr>
                                <w:rFonts w:ascii="Times New Roman" w:hAnsi="Times New Roman" w:cs="Times New Roman"/>
                                <w:color w:val="8064A2" w:themeColor="accent4"/>
                                <w:lang w:val="es-ES"/>
                              </w:rPr>
                            </w:pPr>
                            <w:r w:rsidRPr="001321C4">
                              <w:rPr>
                                <w:rFonts w:ascii="Times New Roman" w:hAnsi="Times New Roman" w:cs="Times New Roman"/>
                                <w:color w:val="8064A2" w:themeColor="accent4"/>
                                <w:lang w:val="es-ES"/>
                              </w:rPr>
                              <w:t xml:space="preserve">Idea </w:t>
                            </w:r>
                            <w:r w:rsidRPr="004D72FD">
                              <w:rPr>
                                <w:rFonts w:ascii="Times New Roman" w:hAnsi="Times New Roman" w:cs="Times New Roman"/>
                                <w:color w:val="8064A2" w:themeColor="accent4"/>
                                <w:sz w:val="20"/>
                                <w:szCs w:val="20"/>
                                <w:lang w:val="es-ES"/>
                              </w:rPr>
                              <w:t>programática</w:t>
                            </w:r>
                            <w:r w:rsidRPr="001321C4">
                              <w:rPr>
                                <w:rFonts w:ascii="Times New Roman" w:hAnsi="Times New Roman" w:cs="Times New Roman"/>
                                <w:color w:val="8064A2" w:themeColor="accent4"/>
                                <w:lang w:val="es-ES"/>
                              </w:rPr>
                              <w:t xml:space="preserve">: </w:t>
                            </w:r>
                          </w:p>
                          <w:p w:rsidR="00480316" w:rsidRPr="001321C4" w:rsidRDefault="00480316" w:rsidP="001321C4">
                            <w:pPr>
                              <w:pStyle w:val="Sinespaciado"/>
                              <w:rPr>
                                <w:rFonts w:ascii="Times New Roman" w:hAnsi="Times New Roman" w:cs="Times New Roman"/>
                                <w:lang w:val="es-ES"/>
                              </w:rPr>
                            </w:pPr>
                            <w:r w:rsidRPr="001321C4">
                              <w:rPr>
                                <w:rFonts w:ascii="Times New Roman" w:hAnsi="Times New Roman" w:cs="Times New Roman"/>
                                <w:color w:val="8064A2" w:themeColor="accent4"/>
                                <w:lang w:val="es-ES"/>
                              </w:rPr>
                              <w:t>Financiamiento</w:t>
                            </w:r>
                          </w:p>
                        </w:txbxContent>
                      </wps:txbx>
                      <wps:bodyPr rot="0" vert="horz" wrap="square" lIns="91440" tIns="45720" rIns="91440" bIns="45720" anchor="t" anchorCtr="0" upright="1">
                        <a:noAutofit/>
                      </wps:bodyPr>
                    </wps:wsp>
                  </a:graphicData>
                </a:graphic>
              </wp:anchor>
            </w:drawing>
          </mc:Choice>
          <mc:Fallback>
            <w:pict>
              <v:shape id="Text Box 24" o:spid="_x0000_s1035" type="#_x0000_t202" style="position:absolute;left:0;text-align:left;margin-left:303.4pt;margin-top:13.65pt;width:129.2pt;height:4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" strokecolor="#8064a2 [3207]">
                <v:textbox>
                  <w:txbxContent>
                    <w:p w:rsidR="00480316" w:rsidRPr="00FF59C5" w:rsidRDefault="00480316" w:rsidP="001321C4">
                      <w:pPr>
                        <w:pStyle w:val="Sinespaciado"/>
                        <w:rPr>
                          <w:rFonts w:ascii="Times New Roman" w:hAnsi="Times New Roman" w:cs="Times New Roman"/>
                          <w:b/>
                          <w:color w:val="8064A2" w:themeColor="accent4"/>
                          <w:lang w:val="es-ES"/>
                        </w:rPr>
                      </w:pPr>
                      <w:r w:rsidRPr="001321C4">
                        <w:rPr>
                          <w:rFonts w:ascii="Times New Roman" w:hAnsi="Times New Roman" w:cs="Times New Roman"/>
                          <w:b/>
                          <w:color w:val="8064A2" w:themeColor="accent4"/>
                          <w:lang w:val="es-ES"/>
                        </w:rPr>
                        <w:t xml:space="preserve">Red 2: </w:t>
                      </w:r>
                      <w:proofErr w:type="spellStart"/>
                      <w:r w:rsidRPr="00FF59C5">
                        <w:rPr>
                          <w:rFonts w:ascii="Times New Roman" w:hAnsi="Times New Roman" w:cs="Times New Roman"/>
                          <w:color w:val="8064A2" w:themeColor="accent4"/>
                          <w:lang w:val="es-ES"/>
                        </w:rPr>
                        <w:t>Prosaneamiento</w:t>
                      </w:r>
                      <w:proofErr w:type="spellEnd"/>
                      <w:r w:rsidRPr="001321C4">
                        <w:rPr>
                          <w:rFonts w:ascii="Times New Roman" w:hAnsi="Times New Roman" w:cs="Times New Roman"/>
                          <w:b/>
                          <w:color w:val="8064A2" w:themeColor="accent4"/>
                          <w:lang w:val="es-ES"/>
                        </w:rPr>
                        <w:t xml:space="preserve"> </w:t>
                      </w:r>
                    </w:p>
                    <w:p w:rsidR="00480316" w:rsidRPr="001321C4" w:rsidRDefault="00480316" w:rsidP="001321C4">
                      <w:pPr>
                        <w:pStyle w:val="Sinespaciado"/>
                        <w:rPr>
                          <w:rFonts w:ascii="Times New Roman" w:hAnsi="Times New Roman" w:cs="Times New Roman"/>
                          <w:color w:val="8064A2" w:themeColor="accent4"/>
                          <w:lang w:val="es-ES"/>
                        </w:rPr>
                      </w:pPr>
                      <w:r w:rsidRPr="001321C4">
                        <w:rPr>
                          <w:rFonts w:ascii="Times New Roman" w:hAnsi="Times New Roman" w:cs="Times New Roman"/>
                          <w:color w:val="8064A2" w:themeColor="accent4"/>
                          <w:lang w:val="es-ES"/>
                        </w:rPr>
                        <w:t xml:space="preserve">Idea </w:t>
                      </w:r>
                      <w:r w:rsidRPr="004D72FD">
                        <w:rPr>
                          <w:rFonts w:ascii="Times New Roman" w:hAnsi="Times New Roman" w:cs="Times New Roman"/>
                          <w:color w:val="8064A2" w:themeColor="accent4"/>
                          <w:sz w:val="20"/>
                          <w:szCs w:val="20"/>
                          <w:lang w:val="es-ES"/>
                        </w:rPr>
                        <w:t>programática</w:t>
                      </w:r>
                      <w:r w:rsidRPr="001321C4">
                        <w:rPr>
                          <w:rFonts w:ascii="Times New Roman" w:hAnsi="Times New Roman" w:cs="Times New Roman"/>
                          <w:color w:val="8064A2" w:themeColor="accent4"/>
                          <w:lang w:val="es-ES"/>
                        </w:rPr>
                        <w:t xml:space="preserve">: </w:t>
                      </w:r>
                    </w:p>
                    <w:p w:rsidR="00480316" w:rsidRPr="001321C4" w:rsidRDefault="00480316" w:rsidP="001321C4">
                      <w:pPr>
                        <w:pStyle w:val="Sinespaciado"/>
                        <w:rPr>
                          <w:rFonts w:ascii="Times New Roman" w:hAnsi="Times New Roman" w:cs="Times New Roman"/>
                          <w:lang w:val="es-ES"/>
                        </w:rPr>
                      </w:pPr>
                      <w:r w:rsidRPr="001321C4">
                        <w:rPr>
                          <w:rFonts w:ascii="Times New Roman" w:hAnsi="Times New Roman" w:cs="Times New Roman"/>
                          <w:color w:val="8064A2" w:themeColor="accent4"/>
                          <w:lang w:val="es-ES"/>
                        </w:rPr>
                        <w:t>Financiamiento</w:t>
                      </w:r>
                    </w:p>
                  </w:txbxContent>
                </v:textbox>
              </v:shape>
            </w:pict>
          </mc:Fallback>
        </mc:AlternateContent>
      </w:r>
    </w:p>
    <w:p w:rsidR="00314E1F" w:rsidRDefault="004D72FD" w:rsidP="004D72FD">
      <w:pPr>
        <w:pStyle w:val="BodyA"/>
        <w:spacing w:after="0" w:line="360" w:lineRule="auto"/>
        <w:jc w:val="center"/>
        <w:rPr>
          <w:rFonts w:ascii="Times New Roman" w:eastAsia="Times New Roman" w:hAnsi="Times New Roman" w:cs="Times New Roman"/>
          <w:sz w:val="24"/>
          <w:szCs w:val="24"/>
        </w:rPr>
      </w:pPr>
      <w:r>
        <w:rPr>
          <w:noProof/>
          <w:lang w:val="es-EC"/>
        </w:rPr>
        <mc:AlternateContent>
          <mc:Choice Requires="wps">
            <w:drawing>
              <wp:anchor distT="0" distB="0" distL="114300" distR="114300" simplePos="0" relativeHeight="251669504" behindDoc="0" locked="0" layoutInCell="1" allowOverlap="1" wp14:anchorId="683AAC18" wp14:editId="2DE9014B">
                <wp:simplePos x="0" y="0"/>
                <wp:positionH relativeFrom="column">
                  <wp:posOffset>3739633</wp:posOffset>
                </wp:positionH>
                <wp:positionV relativeFrom="paragraph">
                  <wp:posOffset>2273360</wp:posOffset>
                </wp:positionV>
                <wp:extent cx="1758461" cy="808075"/>
                <wp:effectExtent l="0" t="0" r="6985" b="1778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461" cy="808075"/>
                        </a:xfrm>
                        <a:prstGeom prst="rect">
                          <a:avLst/>
                        </a:prstGeom>
                        <a:solidFill>
                          <a:srgbClr val="FFFFFF"/>
                        </a:solidFill>
                        <a:ln w="9525">
                          <a:solidFill>
                            <a:schemeClr val="accent4">
                              <a:lumMod val="100000"/>
                              <a:lumOff val="0"/>
                            </a:schemeClr>
                          </a:solidFill>
                          <a:miter lim="800000"/>
                          <a:headEnd/>
                          <a:tailEnd/>
                        </a:ln>
                      </wps:spPr>
                      <wps:txbx>
                        <w:txbxContent>
                          <w:p w:rsidR="00480316" w:rsidRPr="004D72FD" w:rsidRDefault="00480316" w:rsidP="004D72FD">
                            <w:pPr>
                              <w:pStyle w:val="Sinespaciado"/>
                              <w:rPr>
                                <w:rFonts w:ascii="Times New Roman" w:hAnsi="Times New Roman" w:cs="Times New Roman"/>
                                <w:b/>
                                <w:color w:val="0070C0"/>
                                <w:sz w:val="20"/>
                                <w:szCs w:val="20"/>
                                <w:lang w:val="es-ES"/>
                              </w:rPr>
                            </w:pPr>
                            <w:r w:rsidRPr="004D72FD">
                              <w:rPr>
                                <w:rFonts w:ascii="Times New Roman" w:hAnsi="Times New Roman" w:cs="Times New Roman"/>
                                <w:b/>
                                <w:color w:val="0070C0"/>
                                <w:sz w:val="20"/>
                                <w:szCs w:val="20"/>
                                <w:lang w:val="es-ES"/>
                              </w:rPr>
                              <w:t>R</w:t>
                            </w:r>
                            <w:r>
                              <w:rPr>
                                <w:rFonts w:ascii="Times New Roman" w:hAnsi="Times New Roman" w:cs="Times New Roman"/>
                                <w:b/>
                                <w:color w:val="0070C0"/>
                                <w:sz w:val="20"/>
                                <w:szCs w:val="20"/>
                                <w:lang w:val="es-ES"/>
                              </w:rPr>
                              <w:t xml:space="preserve">ed 7: </w:t>
                            </w:r>
                            <w:r w:rsidRPr="00FF59C5">
                              <w:rPr>
                                <w:rFonts w:ascii="Times New Roman" w:hAnsi="Times New Roman" w:cs="Times New Roman"/>
                                <w:color w:val="0070C0"/>
                                <w:sz w:val="20"/>
                                <w:szCs w:val="20"/>
                                <w:lang w:val="es-ES"/>
                              </w:rPr>
                              <w:t>Estrategia Nacional de Agua y Saneamiento</w:t>
                            </w:r>
                            <w:r w:rsidRPr="004D72FD">
                              <w:rPr>
                                <w:rFonts w:ascii="Times New Roman" w:hAnsi="Times New Roman" w:cs="Times New Roman"/>
                                <w:b/>
                                <w:color w:val="0070C0"/>
                                <w:sz w:val="20"/>
                                <w:szCs w:val="20"/>
                                <w:lang w:val="es-ES"/>
                              </w:rPr>
                              <w:t xml:space="preserve"> </w:t>
                            </w:r>
                          </w:p>
                          <w:p w:rsidR="00480316" w:rsidRPr="004D72FD" w:rsidRDefault="00480316" w:rsidP="004D72FD">
                            <w:pPr>
                              <w:pStyle w:val="Sinespaciado"/>
                              <w:rPr>
                                <w:rFonts w:ascii="Times New Roman" w:hAnsi="Times New Roman" w:cs="Times New Roman"/>
                                <w:color w:val="0070C0"/>
                                <w:sz w:val="20"/>
                                <w:szCs w:val="20"/>
                                <w:lang w:val="es-ES"/>
                              </w:rPr>
                            </w:pPr>
                            <w:r w:rsidRPr="004D72FD">
                              <w:rPr>
                                <w:rFonts w:ascii="Times New Roman" w:hAnsi="Times New Roman" w:cs="Times New Roman"/>
                                <w:color w:val="0070C0"/>
                                <w:sz w:val="20"/>
                                <w:szCs w:val="20"/>
                                <w:lang w:val="es-ES"/>
                              </w:rPr>
                              <w:t xml:space="preserve">Idea programática: </w:t>
                            </w:r>
                          </w:p>
                          <w:p w:rsidR="00480316" w:rsidRPr="004D72FD" w:rsidRDefault="00480316" w:rsidP="004D72FD">
                            <w:pPr>
                              <w:pStyle w:val="Sinespaciado"/>
                              <w:rPr>
                                <w:rFonts w:ascii="Times New Roman" w:hAnsi="Times New Roman" w:cs="Times New Roman"/>
                                <w:color w:val="0070C0"/>
                                <w:sz w:val="20"/>
                                <w:szCs w:val="20"/>
                                <w:lang w:val="es-ES"/>
                              </w:rPr>
                            </w:pPr>
                            <w:r>
                              <w:rPr>
                                <w:rFonts w:ascii="Times New Roman" w:hAnsi="Times New Roman" w:cs="Times New Roman"/>
                                <w:color w:val="0070C0"/>
                                <w:sz w:val="20"/>
                                <w:szCs w:val="20"/>
                                <w:lang w:val="es-ES"/>
                              </w:rPr>
                              <w:t>Orientaciones con perspectiva sectorial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94.45pt;margin-top:179pt;width:138.45pt;height:6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" strokecolor="#8064a2 [3207]">
                <v:textbox>
                  <w:txbxContent>
                    <w:p w:rsidR="00480316" w:rsidRPr="004D72FD" w:rsidRDefault="00480316" w:rsidP="004D72FD">
                      <w:pPr>
                        <w:pStyle w:val="Sinespaciado"/>
                        <w:rPr>
                          <w:rFonts w:ascii="Times New Roman" w:hAnsi="Times New Roman" w:cs="Times New Roman"/>
                          <w:b/>
                          <w:color w:val="0070C0"/>
                          <w:sz w:val="20"/>
                          <w:szCs w:val="20"/>
                          <w:lang w:val="es-ES"/>
                        </w:rPr>
                      </w:pPr>
                      <w:r w:rsidRPr="004D72FD">
                        <w:rPr>
                          <w:rFonts w:ascii="Times New Roman" w:hAnsi="Times New Roman" w:cs="Times New Roman"/>
                          <w:b/>
                          <w:color w:val="0070C0"/>
                          <w:sz w:val="20"/>
                          <w:szCs w:val="20"/>
                          <w:lang w:val="es-ES"/>
                        </w:rPr>
                        <w:t>R</w:t>
                      </w:r>
                      <w:r>
                        <w:rPr>
                          <w:rFonts w:ascii="Times New Roman" w:hAnsi="Times New Roman" w:cs="Times New Roman"/>
                          <w:b/>
                          <w:color w:val="0070C0"/>
                          <w:sz w:val="20"/>
                          <w:szCs w:val="20"/>
                          <w:lang w:val="es-ES"/>
                        </w:rPr>
                        <w:t xml:space="preserve">ed 7: </w:t>
                      </w:r>
                      <w:r w:rsidRPr="00FF59C5">
                        <w:rPr>
                          <w:rFonts w:ascii="Times New Roman" w:hAnsi="Times New Roman" w:cs="Times New Roman"/>
                          <w:color w:val="0070C0"/>
                          <w:sz w:val="20"/>
                          <w:szCs w:val="20"/>
                          <w:lang w:val="es-ES"/>
                        </w:rPr>
                        <w:t>Estrategia Nacional de Agua y Saneamiento</w:t>
                      </w:r>
                      <w:r w:rsidRPr="004D72FD">
                        <w:rPr>
                          <w:rFonts w:ascii="Times New Roman" w:hAnsi="Times New Roman" w:cs="Times New Roman"/>
                          <w:b/>
                          <w:color w:val="0070C0"/>
                          <w:sz w:val="20"/>
                          <w:szCs w:val="20"/>
                          <w:lang w:val="es-ES"/>
                        </w:rPr>
                        <w:t xml:space="preserve"> </w:t>
                      </w:r>
                    </w:p>
                    <w:p w:rsidR="00480316" w:rsidRPr="004D72FD" w:rsidRDefault="00480316" w:rsidP="004D72FD">
                      <w:pPr>
                        <w:pStyle w:val="Sinespaciado"/>
                        <w:rPr>
                          <w:rFonts w:ascii="Times New Roman" w:hAnsi="Times New Roman" w:cs="Times New Roman"/>
                          <w:color w:val="0070C0"/>
                          <w:sz w:val="20"/>
                          <w:szCs w:val="20"/>
                          <w:lang w:val="es-ES"/>
                        </w:rPr>
                      </w:pPr>
                      <w:r w:rsidRPr="004D72FD">
                        <w:rPr>
                          <w:rFonts w:ascii="Times New Roman" w:hAnsi="Times New Roman" w:cs="Times New Roman"/>
                          <w:color w:val="0070C0"/>
                          <w:sz w:val="20"/>
                          <w:szCs w:val="20"/>
                          <w:lang w:val="es-ES"/>
                        </w:rPr>
                        <w:t xml:space="preserve">Idea programática: </w:t>
                      </w:r>
                    </w:p>
                    <w:p w:rsidR="00480316" w:rsidRPr="004D72FD" w:rsidRDefault="00480316" w:rsidP="004D72FD">
                      <w:pPr>
                        <w:pStyle w:val="Sinespaciado"/>
                        <w:rPr>
                          <w:rFonts w:ascii="Times New Roman" w:hAnsi="Times New Roman" w:cs="Times New Roman"/>
                          <w:color w:val="0070C0"/>
                          <w:sz w:val="20"/>
                          <w:szCs w:val="20"/>
                          <w:lang w:val="es-ES"/>
                        </w:rPr>
                      </w:pPr>
                      <w:r>
                        <w:rPr>
                          <w:rFonts w:ascii="Times New Roman" w:hAnsi="Times New Roman" w:cs="Times New Roman"/>
                          <w:color w:val="0070C0"/>
                          <w:sz w:val="20"/>
                          <w:szCs w:val="20"/>
                          <w:lang w:val="es-ES"/>
                        </w:rPr>
                        <w:t>Orientaciones con perspectiva sectorial</w:t>
                      </w:r>
                    </w:p>
                  </w:txbxContent>
                </v:textbox>
              </v:shape>
            </w:pict>
          </mc:Fallback>
        </mc:AlternateContent>
      </w:r>
      <w:r w:rsidR="001321C4">
        <w:rPr>
          <w:rFonts w:ascii="Times New Roman" w:hAnsi="Times New Roman" w:cs="Times New Roman"/>
          <w:b/>
          <w:noProof/>
          <w:color w:val="000000" w:themeColor="text1"/>
          <w:lang w:val="es-EC"/>
        </w:rPr>
        <w:drawing>
          <wp:inline distT="0" distB="0" distL="0" distR="0" wp14:anchorId="2E7EA1CD" wp14:editId="4B11F888">
            <wp:extent cx="3443843" cy="3740727"/>
            <wp:effectExtent l="0" t="0" r="4445" b="0"/>
            <wp:docPr id="2" name="Imagen 2" descr="C:\Users\Acer Aspire\Documents\MPP\TESIS\Tesis\Redes Gephi\Etapas-Ideas\EtapasIII\Opción II\Para artíc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 Aspire\Documents\MPP\TESIS\Tesis\Redes Gephi\Etapas-Ideas\EtapasIII\Opción II\Para artículo.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69" t="2823" r="17135" b="2618"/>
                    <a:stretch/>
                  </pic:blipFill>
                  <pic:spPr bwMode="auto">
                    <a:xfrm>
                      <a:off x="0" y="0"/>
                      <a:ext cx="3470029" cy="376917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Normal1"/>
        <w:tblpPr w:leftFromText="141" w:rightFromText="141" w:vertAnchor="text" w:horzAnchor="page" w:tblpX="2291" w:tblpY="109"/>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227"/>
        <w:gridCol w:w="1016"/>
        <w:gridCol w:w="1127"/>
        <w:gridCol w:w="2388"/>
        <w:gridCol w:w="682"/>
        <w:gridCol w:w="1432"/>
      </w:tblGrid>
      <w:tr w:rsidR="00522A27" w:rsidRPr="00522A27" w:rsidTr="00651DFA">
        <w:trPr>
          <w:trHeight w:val="192"/>
        </w:trPr>
        <w:tc>
          <w:tcPr>
            <w:tcW w:w="0" w:type="auto"/>
            <w:tcBorders>
              <w:top w:val="nil"/>
              <w:left w:val="nil"/>
              <w:bottom w:val="nil"/>
              <w:right w:val="single" w:sz="4" w:space="0" w:color="000000"/>
            </w:tcBorders>
            <w:shd w:val="clear" w:color="auto" w:fill="auto"/>
            <w:tcMar>
              <w:top w:w="80" w:type="dxa"/>
              <w:left w:w="80" w:type="dxa"/>
              <w:bottom w:w="80" w:type="dxa"/>
              <w:right w:w="80" w:type="dxa"/>
            </w:tcMar>
            <w:vAlign w:val="center"/>
          </w:tcPr>
          <w:p w:rsidR="00522A27" w:rsidRPr="004D72FD" w:rsidRDefault="00522A27" w:rsidP="00651DFA">
            <w:pPr>
              <w:jc w:val="center"/>
              <w:rPr>
                <w:sz w:val="20"/>
                <w:szCs w:val="20"/>
              </w:rPr>
            </w:pPr>
            <w:r w:rsidRPr="004D72FD">
              <w:rPr>
                <w:sz w:val="20"/>
                <w:szCs w:val="20"/>
              </w:rPr>
              <w:t>Tipo de nodo</w:t>
            </w:r>
          </w:p>
        </w:tc>
        <w:tc>
          <w:tcPr>
            <w:tcW w:w="0" w:type="auto"/>
            <w:tcBorders>
              <w:top w:val="single" w:sz="4" w:space="0" w:color="000000"/>
              <w:left w:val="single" w:sz="4" w:space="0" w:color="000000"/>
              <w:bottom w:val="single" w:sz="4" w:space="0" w:color="000000"/>
              <w:right w:val="single" w:sz="4" w:space="0" w:color="000000"/>
            </w:tcBorders>
            <w:shd w:val="clear" w:color="auto" w:fill="4BACC6"/>
            <w:tcMar>
              <w:top w:w="80" w:type="dxa"/>
              <w:left w:w="80" w:type="dxa"/>
              <w:bottom w:w="80" w:type="dxa"/>
              <w:right w:w="80" w:type="dxa"/>
            </w:tcMar>
            <w:vAlign w:val="center"/>
          </w:tcPr>
          <w:p w:rsidR="00522A27" w:rsidRPr="004D72FD" w:rsidRDefault="00522A27" w:rsidP="00651DFA">
            <w:pPr>
              <w:pStyle w:val="Body"/>
              <w:jc w:val="center"/>
              <w:rPr>
                <w:sz w:val="20"/>
                <w:szCs w:val="20"/>
              </w:rPr>
            </w:pPr>
            <w:r w:rsidRPr="004D72FD">
              <w:rPr>
                <w:sz w:val="20"/>
                <w:szCs w:val="20"/>
              </w:rPr>
              <w:t>Institución</w:t>
            </w: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rsidR="00522A27" w:rsidRPr="004D72FD" w:rsidRDefault="00522A27" w:rsidP="00651DFA">
            <w:pPr>
              <w:pStyle w:val="Body"/>
              <w:jc w:val="center"/>
              <w:rPr>
                <w:sz w:val="20"/>
                <w:szCs w:val="20"/>
              </w:rPr>
            </w:pPr>
            <w:r w:rsidRPr="004D72FD">
              <w:rPr>
                <w:sz w:val="20"/>
                <w:szCs w:val="20"/>
              </w:rPr>
              <w:t>Instrumento</w:t>
            </w:r>
          </w:p>
        </w:tc>
        <w:tc>
          <w:tcPr>
            <w:tcW w:w="0" w:type="auto"/>
            <w:tcBorders>
              <w:top w:val="single" w:sz="4" w:space="0" w:color="000000"/>
              <w:left w:val="single" w:sz="4" w:space="0" w:color="000000"/>
              <w:bottom w:val="single" w:sz="4" w:space="0" w:color="000000"/>
              <w:right w:val="single" w:sz="4" w:space="0" w:color="000000"/>
            </w:tcBorders>
            <w:shd w:val="clear" w:color="auto" w:fill="F79646"/>
            <w:tcMar>
              <w:top w:w="80" w:type="dxa"/>
              <w:left w:w="80" w:type="dxa"/>
              <w:bottom w:w="80" w:type="dxa"/>
              <w:right w:w="80" w:type="dxa"/>
            </w:tcMar>
            <w:vAlign w:val="center"/>
          </w:tcPr>
          <w:p w:rsidR="00522A27" w:rsidRPr="004D72FD" w:rsidRDefault="00522A27" w:rsidP="00651DFA">
            <w:pPr>
              <w:pStyle w:val="Body"/>
              <w:jc w:val="center"/>
              <w:rPr>
                <w:sz w:val="20"/>
                <w:szCs w:val="20"/>
              </w:rPr>
            </w:pPr>
            <w:r w:rsidRPr="004D72FD">
              <w:rPr>
                <w:sz w:val="20"/>
                <w:szCs w:val="20"/>
              </w:rPr>
              <w:t>Organismos internacionales</w:t>
            </w:r>
          </w:p>
        </w:tc>
        <w:tc>
          <w:tcPr>
            <w:tcW w:w="0" w:type="auto"/>
            <w:tcBorders>
              <w:top w:val="single" w:sz="4" w:space="0" w:color="000000"/>
              <w:left w:val="single" w:sz="4" w:space="0" w:color="000000"/>
              <w:bottom w:val="single" w:sz="4" w:space="0" w:color="000000"/>
              <w:right w:val="single" w:sz="4" w:space="0" w:color="000000"/>
            </w:tcBorders>
            <w:shd w:val="clear" w:color="auto" w:fill="8064A2"/>
            <w:tcMar>
              <w:top w:w="80" w:type="dxa"/>
              <w:left w:w="80" w:type="dxa"/>
              <w:bottom w:w="80" w:type="dxa"/>
              <w:right w:w="80" w:type="dxa"/>
            </w:tcMar>
            <w:vAlign w:val="center"/>
          </w:tcPr>
          <w:p w:rsidR="00522A27" w:rsidRPr="004D72FD" w:rsidRDefault="00522A27" w:rsidP="00651DFA">
            <w:pPr>
              <w:pStyle w:val="Body"/>
              <w:jc w:val="center"/>
              <w:rPr>
                <w:sz w:val="20"/>
                <w:szCs w:val="20"/>
              </w:rPr>
            </w:pPr>
            <w:r w:rsidRPr="004D72FD">
              <w:rPr>
                <w:sz w:val="20"/>
                <w:szCs w:val="20"/>
              </w:rPr>
              <w:t>Hecho</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rsidR="00522A27" w:rsidRPr="004D72FD" w:rsidRDefault="00522A27" w:rsidP="00651DFA">
            <w:pPr>
              <w:pStyle w:val="Body"/>
              <w:jc w:val="center"/>
              <w:rPr>
                <w:sz w:val="20"/>
                <w:szCs w:val="20"/>
              </w:rPr>
            </w:pPr>
            <w:r w:rsidRPr="004D72FD">
              <w:rPr>
                <w:sz w:val="20"/>
                <w:szCs w:val="20"/>
              </w:rPr>
              <w:t>Actor particular</w:t>
            </w:r>
          </w:p>
        </w:tc>
      </w:tr>
    </w:tbl>
    <w:p w:rsidR="00314E1F" w:rsidRDefault="00314E1F" w:rsidP="00314E1F">
      <w:pPr>
        <w:pStyle w:val="Body"/>
        <w:jc w:val="both"/>
        <w:rPr>
          <w:rFonts w:eastAsia="Arial"/>
          <w:noProof/>
        </w:rPr>
      </w:pPr>
    </w:p>
    <w:p w:rsidR="00314E1F" w:rsidRPr="004D72FD" w:rsidRDefault="002973BD" w:rsidP="004D72FD">
      <w:pPr>
        <w:pStyle w:val="BodyA"/>
        <w:spacing w:after="0" w:line="360" w:lineRule="auto"/>
        <w:jc w:val="center"/>
        <w:rPr>
          <w:rFonts w:ascii="Times New Roman" w:eastAsia="Times New Roman" w:hAnsi="Times New Roman" w:cs="Times New Roman"/>
          <w:sz w:val="20"/>
          <w:szCs w:val="20"/>
        </w:rPr>
        <w:sectPr w:rsidR="00314E1F" w:rsidRPr="004D72FD">
          <w:pgSz w:w="11900" w:h="16840"/>
          <w:pgMar w:top="1417" w:right="1701" w:bottom="1417" w:left="1701" w:header="708" w:footer="708" w:gutter="0"/>
          <w:cols w:space="720"/>
        </w:sectPr>
      </w:pPr>
      <w:r w:rsidRPr="004D72FD">
        <w:rPr>
          <w:rFonts w:ascii="Times New Roman" w:hAnsi="Times New Roman"/>
          <w:sz w:val="20"/>
          <w:szCs w:val="20"/>
        </w:rPr>
        <w:t xml:space="preserve">Fuente: </w:t>
      </w:r>
      <w:r w:rsidR="004D72FD" w:rsidRPr="004D72FD">
        <w:rPr>
          <w:rFonts w:ascii="Times New Roman" w:hAnsi="Times New Roman"/>
          <w:sz w:val="20"/>
          <w:szCs w:val="20"/>
        </w:rPr>
        <w:t>Elaboración propia</w:t>
      </w:r>
    </w:p>
    <w:p w:rsidR="00CF3F38" w:rsidRPr="00A5089D" w:rsidRDefault="004B6C81" w:rsidP="005F25A0">
      <w:pPr>
        <w:pStyle w:val="BodyB"/>
        <w:spacing w:after="0"/>
        <w:jc w:val="both"/>
        <w:rPr>
          <w:rFonts w:ascii="Times New Roman" w:hAnsi="Times New Roman" w:cs="Times New Roman"/>
          <w:color w:val="000000" w:themeColor="text1"/>
          <w:sz w:val="24"/>
          <w:szCs w:val="24"/>
        </w:rPr>
      </w:pPr>
      <w:r w:rsidRPr="00A5089D">
        <w:rPr>
          <w:rFonts w:ascii="Times New Roman" w:hAnsi="Times New Roman" w:cs="Times New Roman"/>
          <w:color w:val="000000" w:themeColor="text1"/>
          <w:sz w:val="24"/>
          <w:szCs w:val="24"/>
        </w:rPr>
        <w:lastRenderedPageBreak/>
        <w:t xml:space="preserve">La tercera etapa evidencia cómo desaparecen las redes de política que se consolidaron antes de la intervención directa del presidente y cómo se reconfigura la política nacional dando paso a una política sectorial. También muestra cómo la SENAGUA se esfuerza por </w:t>
      </w:r>
      <w:r w:rsidR="00374A11" w:rsidRPr="00A5089D">
        <w:rPr>
          <w:rFonts w:ascii="Times New Roman" w:hAnsi="Times New Roman" w:cs="Times New Roman"/>
          <w:color w:val="000000" w:themeColor="text1"/>
          <w:sz w:val="24"/>
          <w:szCs w:val="24"/>
        </w:rPr>
        <w:t>diseñar un nuevo instrumento de política</w:t>
      </w:r>
      <w:r w:rsidRPr="00A5089D">
        <w:rPr>
          <w:rFonts w:ascii="Times New Roman" w:hAnsi="Times New Roman" w:cs="Times New Roman"/>
          <w:color w:val="000000" w:themeColor="text1"/>
          <w:sz w:val="24"/>
          <w:szCs w:val="24"/>
        </w:rPr>
        <w:t xml:space="preserve"> </w:t>
      </w:r>
      <w:r w:rsidR="00374A11" w:rsidRPr="00A5089D">
        <w:rPr>
          <w:rFonts w:ascii="Times New Roman" w:hAnsi="Times New Roman" w:cs="Times New Roman"/>
          <w:color w:val="000000" w:themeColor="text1"/>
          <w:sz w:val="24"/>
          <w:szCs w:val="24"/>
        </w:rPr>
        <w:t xml:space="preserve">cuando </w:t>
      </w:r>
      <w:r w:rsidR="00475A6C" w:rsidRPr="00A5089D">
        <w:rPr>
          <w:rFonts w:ascii="Times New Roman" w:hAnsi="Times New Roman" w:cs="Times New Roman"/>
          <w:color w:val="000000" w:themeColor="text1"/>
          <w:sz w:val="24"/>
          <w:szCs w:val="24"/>
        </w:rPr>
        <w:t xml:space="preserve">la </w:t>
      </w:r>
      <w:r w:rsidRPr="00A5089D">
        <w:rPr>
          <w:rFonts w:ascii="Times New Roman" w:hAnsi="Times New Roman" w:cs="Times New Roman"/>
          <w:color w:val="000000" w:themeColor="text1"/>
          <w:sz w:val="24"/>
          <w:szCs w:val="24"/>
        </w:rPr>
        <w:t>política</w:t>
      </w:r>
      <w:r w:rsidR="00374A11" w:rsidRPr="00A5089D">
        <w:rPr>
          <w:rFonts w:ascii="Times New Roman" w:hAnsi="Times New Roman" w:cs="Times New Roman"/>
          <w:color w:val="000000" w:themeColor="text1"/>
          <w:sz w:val="24"/>
          <w:szCs w:val="24"/>
        </w:rPr>
        <w:t xml:space="preserve"> pública</w:t>
      </w:r>
      <w:r w:rsidRPr="00A5089D">
        <w:rPr>
          <w:rFonts w:ascii="Times New Roman" w:hAnsi="Times New Roman" w:cs="Times New Roman"/>
          <w:color w:val="000000" w:themeColor="text1"/>
          <w:sz w:val="24"/>
          <w:szCs w:val="24"/>
        </w:rPr>
        <w:t xml:space="preserve"> </w:t>
      </w:r>
      <w:r w:rsidR="00374A11" w:rsidRPr="00A5089D">
        <w:rPr>
          <w:rFonts w:ascii="Times New Roman" w:hAnsi="Times New Roman" w:cs="Times New Roman"/>
          <w:color w:val="000000" w:themeColor="text1"/>
          <w:sz w:val="24"/>
          <w:szCs w:val="24"/>
        </w:rPr>
        <w:t>queda huérfana de orientaciones que guíen las inversiones e intervenciones que requiere el sector. Esta es la razón por la cual se construye el ENAS (Estrategia Nacional de Agua y Saneamiento) con el objeto de establecer criterios para alcanzar la universalización del agua y saneamiento en el Ecuador.</w:t>
      </w:r>
    </w:p>
    <w:p w:rsidR="00915D72" w:rsidRPr="004B6C81" w:rsidRDefault="00915D72" w:rsidP="005F25A0">
      <w:pPr>
        <w:pStyle w:val="BodyB"/>
        <w:spacing w:line="240" w:lineRule="auto"/>
        <w:jc w:val="both"/>
        <w:rPr>
          <w:rFonts w:ascii="Times New Roman" w:hAnsi="Times New Roman" w:cs="Times New Roman"/>
          <w:color w:val="FF0000"/>
          <w:sz w:val="24"/>
          <w:szCs w:val="24"/>
        </w:rPr>
      </w:pPr>
    </w:p>
    <w:p w:rsidR="00C04568" w:rsidRPr="00CF3F38" w:rsidRDefault="00343082" w:rsidP="00CF3F38">
      <w:pPr>
        <w:pStyle w:val="Ttulo1"/>
        <w:spacing w:before="0" w:afterLines="200" w:after="480" w:line="240" w:lineRule="auto"/>
        <w:rPr>
          <w:rFonts w:ascii="Times New Roman" w:eastAsia="Times New Roman" w:hAnsi="Times New Roman" w:cs="Times New Roman"/>
          <w:b w:val="0"/>
          <w:bCs w:val="0"/>
          <w:i/>
          <w:iCs/>
          <w:color w:val="000000"/>
          <w:sz w:val="24"/>
          <w:szCs w:val="22"/>
          <w:u w:color="FF0000"/>
        </w:rPr>
      </w:pPr>
      <w:r w:rsidRPr="00537D1E">
        <w:rPr>
          <w:rFonts w:ascii="Times New Roman" w:hAnsi="Times New Roman"/>
          <w:b w:val="0"/>
          <w:bCs w:val="0"/>
          <w:i/>
          <w:iCs/>
          <w:color w:val="000000"/>
          <w:sz w:val="24"/>
          <w:szCs w:val="22"/>
          <w:u w:color="FF0000"/>
        </w:rPr>
        <w:t>Estructura y agencia de las redes de política</w:t>
      </w:r>
    </w:p>
    <w:p w:rsidR="00C04568" w:rsidRPr="00CF3F38" w:rsidRDefault="00343082" w:rsidP="00CF3F38">
      <w:pPr>
        <w:pStyle w:val="BodyB"/>
        <w:spacing w:line="240" w:lineRule="auto"/>
        <w:jc w:val="both"/>
        <w:rPr>
          <w:rFonts w:ascii="Times New Roman" w:eastAsia="Times New Roman" w:hAnsi="Times New Roman" w:cs="Times New Roman"/>
          <w:color w:val="0432FF"/>
          <w:sz w:val="24"/>
          <w:u w:color="0432FF"/>
        </w:rPr>
      </w:pPr>
      <w:r w:rsidRPr="00537D1E">
        <w:rPr>
          <w:rFonts w:ascii="Times New Roman" w:hAnsi="Times New Roman"/>
          <w:sz w:val="24"/>
        </w:rPr>
        <w:t xml:space="preserve">Las redes de política institucionalizan los sistemas de creencia de los actores, y a partir de su estructura, pueden incluso configurar comportamientos y actitudes. “Las redes no son neutras, por el contrario, inscriben la distribución del poder y de los conflictos del pasado que han incidido sobre los resultados presentes de la política” (Albornoz, 2015: 175).  En este sentido, analizamos la estructura y la agencia de las redes de política dentro de una relación simétrica. Por una parte, nos ocupamos de la visión del mundo que mantienen los actores a modo de limitación estructural y, por otro lado, de las preferencias de los actores, sus construcciones ideacionales y las negociaciones que realizan dentro de un contexto estructurado. </w:t>
      </w:r>
    </w:p>
    <w:p w:rsidR="00C04568" w:rsidRPr="00537D1E" w:rsidRDefault="00343082" w:rsidP="00CF3F38">
      <w:pPr>
        <w:pStyle w:val="BodyB"/>
        <w:spacing w:line="240" w:lineRule="auto"/>
        <w:jc w:val="both"/>
        <w:rPr>
          <w:rFonts w:ascii="Times New Roman" w:eastAsia="Times New Roman" w:hAnsi="Times New Roman" w:cs="Times New Roman"/>
          <w:color w:val="000000" w:themeColor="text1"/>
          <w:sz w:val="24"/>
          <w:u w:color="0432FF"/>
        </w:rPr>
      </w:pPr>
      <w:r w:rsidRPr="00537D1E">
        <w:rPr>
          <w:rFonts w:ascii="Times New Roman" w:hAnsi="Times New Roman"/>
          <w:sz w:val="24"/>
        </w:rPr>
        <w:t xml:space="preserve">Para explicar la incidencia de las preferencias y comportamientos individuales de los actores y de sus comportamientos colectivos, usamos las ideas programáticas como elemento estructurador de las redes de política. </w:t>
      </w:r>
      <w:r w:rsidRPr="00537D1E">
        <w:rPr>
          <w:rFonts w:ascii="Times New Roman" w:hAnsi="Times New Roman"/>
          <w:color w:val="000000" w:themeColor="text1"/>
          <w:sz w:val="24"/>
        </w:rPr>
        <w:t xml:space="preserve">Aplicamos el análisis de grafos para mostrar cómo los actores interactúan entre sí, cómo ocurren las negociaciones entre las redes el momento del cambio de la política y de qué modo </w:t>
      </w:r>
      <w:r w:rsidRPr="00537D1E">
        <w:rPr>
          <w:rFonts w:ascii="Times New Roman" w:hAnsi="Times New Roman"/>
          <w:color w:val="000000" w:themeColor="text1"/>
          <w:sz w:val="24"/>
          <w:u w:color="0432FF"/>
        </w:rPr>
        <w:t>actúa la autoridad política para reorganizar las relaciones de poder entre las redes</w:t>
      </w:r>
      <w:r w:rsidRPr="00537D1E">
        <w:rPr>
          <w:rFonts w:ascii="Times New Roman" w:hAnsi="Times New Roman"/>
          <w:color w:val="000000" w:themeColor="text1"/>
          <w:sz w:val="24"/>
        </w:rPr>
        <w:t xml:space="preserve">. Las medidas estadísticas utilizadas en este análisis de redes son: densidad, centralidad, cercanía y autoridad. </w:t>
      </w:r>
    </w:p>
    <w:p w:rsidR="00C04568" w:rsidRPr="00537D1E" w:rsidRDefault="000029AD" w:rsidP="00CF3F38">
      <w:pPr>
        <w:pStyle w:val="BodyA"/>
        <w:spacing w:line="240" w:lineRule="auto"/>
        <w:jc w:val="center"/>
        <w:rPr>
          <w:rFonts w:ascii="Times New Roman" w:eastAsia="Times New Roman" w:hAnsi="Times New Roman" w:cs="Times New Roman"/>
          <w:sz w:val="24"/>
          <w:szCs w:val="24"/>
        </w:rPr>
      </w:pPr>
      <w:r w:rsidRPr="00537D1E">
        <w:rPr>
          <w:rFonts w:ascii="Times New Roman" w:hAnsi="Times New Roman"/>
          <w:b/>
          <w:bCs/>
          <w:sz w:val="24"/>
          <w:szCs w:val="24"/>
        </w:rPr>
        <w:t>Tabla</w:t>
      </w:r>
      <w:r w:rsidR="006B657B" w:rsidRPr="00537D1E">
        <w:rPr>
          <w:rFonts w:ascii="Times New Roman" w:hAnsi="Times New Roman"/>
          <w:b/>
          <w:bCs/>
          <w:sz w:val="24"/>
          <w:szCs w:val="24"/>
        </w:rPr>
        <w:t xml:space="preserve"> 4</w:t>
      </w:r>
      <w:r w:rsidR="00343082" w:rsidRPr="00537D1E">
        <w:rPr>
          <w:rFonts w:ascii="Times New Roman" w:hAnsi="Times New Roman"/>
          <w:b/>
          <w:bCs/>
          <w:sz w:val="24"/>
          <w:szCs w:val="24"/>
        </w:rPr>
        <w:t xml:space="preserve">. Medidas de las redes </w:t>
      </w:r>
      <w:r w:rsidR="00F62838">
        <w:rPr>
          <w:rFonts w:ascii="Times New Roman" w:hAnsi="Times New Roman"/>
          <w:b/>
          <w:bCs/>
          <w:sz w:val="24"/>
          <w:szCs w:val="24"/>
        </w:rPr>
        <w:t>por</w:t>
      </w:r>
      <w:r w:rsidR="00601550">
        <w:rPr>
          <w:rFonts w:ascii="Times New Roman" w:hAnsi="Times New Roman"/>
          <w:b/>
          <w:bCs/>
          <w:sz w:val="24"/>
          <w:szCs w:val="24"/>
        </w:rPr>
        <w:t xml:space="preserve"> </w:t>
      </w:r>
      <w:r w:rsidR="00343082" w:rsidRPr="00537D1E">
        <w:rPr>
          <w:rFonts w:ascii="Times New Roman" w:hAnsi="Times New Roman"/>
          <w:b/>
          <w:bCs/>
          <w:sz w:val="24"/>
          <w:szCs w:val="24"/>
        </w:rPr>
        <w:t>etapa</w:t>
      </w:r>
    </w:p>
    <w:tbl>
      <w:tblPr>
        <w:tblStyle w:val="TableNormal1"/>
        <w:tblW w:w="8379" w:type="dxa"/>
        <w:jc w:val="center"/>
        <w:shd w:val="clear" w:color="auto" w:fill="CED7E7"/>
        <w:tblLayout w:type="fixed"/>
        <w:tblLook w:val="04A0" w:firstRow="1" w:lastRow="0" w:firstColumn="1" w:lastColumn="0" w:noHBand="0" w:noVBand="1"/>
      </w:tblPr>
      <w:tblGrid>
        <w:gridCol w:w="1172"/>
        <w:gridCol w:w="2062"/>
        <w:gridCol w:w="1794"/>
        <w:gridCol w:w="1651"/>
        <w:gridCol w:w="1700"/>
      </w:tblGrid>
      <w:tr w:rsidR="00C04568" w:rsidTr="00852773">
        <w:trPr>
          <w:trHeight w:val="272"/>
          <w:tblHeader/>
          <w:jc w:val="center"/>
        </w:trPr>
        <w:tc>
          <w:tcPr>
            <w:tcW w:w="3234" w:type="dxa"/>
            <w:gridSpan w:val="2"/>
            <w:tcBorders>
              <w:top w:val="single" w:sz="4" w:space="0" w:color="auto"/>
              <w:bottom w:val="single" w:sz="4" w:space="0" w:color="auto"/>
            </w:tcBorders>
            <w:shd w:val="clear" w:color="auto" w:fill="auto"/>
            <w:tcMar>
              <w:top w:w="80" w:type="dxa"/>
              <w:left w:w="80" w:type="dxa"/>
              <w:bottom w:w="80" w:type="dxa"/>
              <w:right w:w="80" w:type="dxa"/>
            </w:tcMar>
            <w:vAlign w:val="bottom"/>
          </w:tcPr>
          <w:p w:rsidR="00C04568" w:rsidRDefault="00343082">
            <w:pPr>
              <w:pStyle w:val="BodyA"/>
              <w:spacing w:after="0" w:line="240" w:lineRule="auto"/>
              <w:jc w:val="center"/>
            </w:pPr>
            <w:r>
              <w:rPr>
                <w:rFonts w:ascii="Times New Roman" w:hAnsi="Times New Roman"/>
                <w:sz w:val="20"/>
                <w:szCs w:val="20"/>
              </w:rPr>
              <w:t>Medida</w:t>
            </w:r>
          </w:p>
        </w:tc>
        <w:tc>
          <w:tcPr>
            <w:tcW w:w="1794" w:type="dxa"/>
            <w:tcBorders>
              <w:top w:val="single" w:sz="4" w:space="0" w:color="auto"/>
              <w:bottom w:val="single" w:sz="4" w:space="0" w:color="auto"/>
            </w:tcBorders>
            <w:shd w:val="clear" w:color="auto" w:fill="auto"/>
            <w:tcMar>
              <w:top w:w="80" w:type="dxa"/>
              <w:left w:w="80" w:type="dxa"/>
              <w:bottom w:w="80" w:type="dxa"/>
              <w:right w:w="80" w:type="dxa"/>
            </w:tcMar>
            <w:vAlign w:val="bottom"/>
          </w:tcPr>
          <w:p w:rsidR="00C04568" w:rsidRDefault="00343082">
            <w:pPr>
              <w:pStyle w:val="BodyA"/>
              <w:spacing w:after="0" w:line="240" w:lineRule="auto"/>
              <w:jc w:val="center"/>
            </w:pPr>
            <w:r>
              <w:rPr>
                <w:rFonts w:ascii="Times New Roman" w:hAnsi="Times New Roman"/>
                <w:sz w:val="20"/>
                <w:szCs w:val="20"/>
              </w:rPr>
              <w:t>2008-2013</w:t>
            </w:r>
          </w:p>
        </w:tc>
        <w:tc>
          <w:tcPr>
            <w:tcW w:w="1651" w:type="dxa"/>
            <w:tcBorders>
              <w:top w:val="single" w:sz="4" w:space="0" w:color="auto"/>
              <w:bottom w:val="single" w:sz="4" w:space="0" w:color="auto"/>
            </w:tcBorders>
            <w:shd w:val="clear" w:color="auto" w:fill="auto"/>
            <w:tcMar>
              <w:top w:w="80" w:type="dxa"/>
              <w:left w:w="80" w:type="dxa"/>
              <w:bottom w:w="80" w:type="dxa"/>
              <w:right w:w="80" w:type="dxa"/>
            </w:tcMar>
            <w:vAlign w:val="bottom"/>
          </w:tcPr>
          <w:p w:rsidR="00C04568" w:rsidRDefault="00343082">
            <w:pPr>
              <w:pStyle w:val="BodyA"/>
              <w:spacing w:after="0" w:line="240" w:lineRule="auto"/>
              <w:jc w:val="center"/>
            </w:pPr>
            <w:r>
              <w:rPr>
                <w:rFonts w:ascii="Times New Roman" w:hAnsi="Times New Roman"/>
                <w:sz w:val="20"/>
                <w:szCs w:val="20"/>
              </w:rPr>
              <w:t>2014</w:t>
            </w:r>
          </w:p>
        </w:tc>
        <w:tc>
          <w:tcPr>
            <w:tcW w:w="1700" w:type="dxa"/>
            <w:tcBorders>
              <w:top w:val="single" w:sz="4" w:space="0" w:color="auto"/>
              <w:bottom w:val="single" w:sz="4" w:space="0" w:color="auto"/>
            </w:tcBorders>
            <w:shd w:val="clear" w:color="auto" w:fill="auto"/>
            <w:tcMar>
              <w:top w:w="80" w:type="dxa"/>
              <w:left w:w="80" w:type="dxa"/>
              <w:bottom w:w="80" w:type="dxa"/>
              <w:right w:w="80" w:type="dxa"/>
            </w:tcMar>
            <w:vAlign w:val="bottom"/>
          </w:tcPr>
          <w:p w:rsidR="00C04568" w:rsidRDefault="00343082">
            <w:pPr>
              <w:pStyle w:val="BodyA"/>
              <w:spacing w:after="0" w:line="240" w:lineRule="auto"/>
              <w:jc w:val="center"/>
            </w:pPr>
            <w:r>
              <w:rPr>
                <w:rFonts w:ascii="Times New Roman" w:hAnsi="Times New Roman"/>
                <w:sz w:val="20"/>
                <w:szCs w:val="20"/>
              </w:rPr>
              <w:t>2015</w:t>
            </w:r>
          </w:p>
        </w:tc>
      </w:tr>
      <w:tr w:rsidR="00C04568" w:rsidTr="00852773">
        <w:trPr>
          <w:trHeight w:val="212"/>
          <w:tblHeader/>
          <w:jc w:val="center"/>
        </w:trPr>
        <w:tc>
          <w:tcPr>
            <w:tcW w:w="1172" w:type="dxa"/>
            <w:vMerge w:val="restart"/>
            <w:tcBorders>
              <w:top w:val="single" w:sz="4" w:space="0" w:color="auto"/>
            </w:tcBorders>
            <w:shd w:val="clear" w:color="auto" w:fill="auto"/>
            <w:tcMar>
              <w:top w:w="80" w:type="dxa"/>
              <w:left w:w="80" w:type="dxa"/>
              <w:bottom w:w="80" w:type="dxa"/>
              <w:right w:w="80" w:type="dxa"/>
            </w:tcMar>
            <w:vAlign w:val="center"/>
          </w:tcPr>
          <w:p w:rsidR="00C04568" w:rsidRDefault="00343082">
            <w:pPr>
              <w:pStyle w:val="BodyA"/>
              <w:spacing w:after="0" w:line="240" w:lineRule="auto"/>
              <w:jc w:val="center"/>
            </w:pPr>
            <w:r>
              <w:rPr>
                <w:rFonts w:ascii="Times New Roman" w:hAnsi="Times New Roman"/>
                <w:sz w:val="18"/>
                <w:szCs w:val="18"/>
              </w:rPr>
              <w:t>Densidad</w:t>
            </w:r>
          </w:p>
        </w:tc>
        <w:tc>
          <w:tcPr>
            <w:tcW w:w="2062" w:type="dxa"/>
            <w:tcBorders>
              <w:top w:val="single" w:sz="4" w:space="0" w:color="auto"/>
            </w:tcBorders>
            <w:shd w:val="clear" w:color="auto" w:fill="auto"/>
            <w:tcMar>
              <w:top w:w="80" w:type="dxa"/>
              <w:left w:w="80" w:type="dxa"/>
              <w:bottom w:w="80" w:type="dxa"/>
              <w:right w:w="80" w:type="dxa"/>
            </w:tcMar>
            <w:vAlign w:val="bottom"/>
          </w:tcPr>
          <w:p w:rsidR="00C04568" w:rsidRDefault="00343082">
            <w:pPr>
              <w:pStyle w:val="BodyA"/>
              <w:spacing w:after="0" w:line="240" w:lineRule="auto"/>
            </w:pPr>
            <w:r>
              <w:rPr>
                <w:rFonts w:ascii="Times New Roman" w:hAnsi="Times New Roman"/>
                <w:sz w:val="18"/>
                <w:szCs w:val="18"/>
              </w:rPr>
              <w:t>Número de nodos</w:t>
            </w:r>
          </w:p>
        </w:tc>
        <w:tc>
          <w:tcPr>
            <w:tcW w:w="1794" w:type="dxa"/>
            <w:tcBorders>
              <w:top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23</w:t>
            </w:r>
          </w:p>
        </w:tc>
        <w:tc>
          <w:tcPr>
            <w:tcW w:w="1651" w:type="dxa"/>
            <w:tcBorders>
              <w:top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23</w:t>
            </w:r>
          </w:p>
        </w:tc>
        <w:tc>
          <w:tcPr>
            <w:tcW w:w="1700" w:type="dxa"/>
            <w:tcBorders>
              <w:top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26</w:t>
            </w:r>
          </w:p>
        </w:tc>
      </w:tr>
      <w:tr w:rsidR="00C04568" w:rsidTr="00852773">
        <w:trPr>
          <w:trHeight w:val="212"/>
          <w:tblHeader/>
          <w:jc w:val="center"/>
        </w:trPr>
        <w:tc>
          <w:tcPr>
            <w:tcW w:w="1172" w:type="dxa"/>
            <w:vMerge/>
            <w:shd w:val="clear" w:color="auto" w:fill="auto"/>
          </w:tcPr>
          <w:p w:rsidR="00C04568" w:rsidRDefault="00C04568"/>
        </w:tc>
        <w:tc>
          <w:tcPr>
            <w:tcW w:w="2062" w:type="dxa"/>
            <w:shd w:val="clear" w:color="auto" w:fill="auto"/>
            <w:tcMar>
              <w:top w:w="80" w:type="dxa"/>
              <w:left w:w="80" w:type="dxa"/>
              <w:bottom w:w="80" w:type="dxa"/>
              <w:right w:w="80" w:type="dxa"/>
            </w:tcMar>
            <w:vAlign w:val="bottom"/>
          </w:tcPr>
          <w:p w:rsidR="00C04568" w:rsidRDefault="00343082">
            <w:pPr>
              <w:pStyle w:val="BodyA"/>
              <w:spacing w:after="0" w:line="240" w:lineRule="auto"/>
            </w:pPr>
            <w:r>
              <w:rPr>
                <w:rFonts w:ascii="Times New Roman" w:hAnsi="Times New Roman"/>
                <w:sz w:val="18"/>
                <w:szCs w:val="18"/>
              </w:rPr>
              <w:t>Número de aristas</w:t>
            </w:r>
          </w:p>
        </w:tc>
        <w:tc>
          <w:tcPr>
            <w:tcW w:w="1794" w:type="dxa"/>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53</w:t>
            </w:r>
          </w:p>
        </w:tc>
        <w:tc>
          <w:tcPr>
            <w:tcW w:w="1651" w:type="dxa"/>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51</w:t>
            </w:r>
          </w:p>
        </w:tc>
        <w:tc>
          <w:tcPr>
            <w:tcW w:w="1700" w:type="dxa"/>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72</w:t>
            </w:r>
          </w:p>
        </w:tc>
      </w:tr>
      <w:tr w:rsidR="00C04568" w:rsidTr="00852773">
        <w:trPr>
          <w:trHeight w:val="812"/>
          <w:tblHeader/>
          <w:jc w:val="center"/>
        </w:trPr>
        <w:tc>
          <w:tcPr>
            <w:tcW w:w="1172" w:type="dxa"/>
            <w:vMerge/>
            <w:tcBorders>
              <w:bottom w:val="single" w:sz="4" w:space="0" w:color="auto"/>
            </w:tcBorders>
            <w:shd w:val="clear" w:color="auto" w:fill="auto"/>
          </w:tcPr>
          <w:p w:rsidR="00C04568" w:rsidRDefault="00C04568"/>
        </w:tc>
        <w:tc>
          <w:tcPr>
            <w:tcW w:w="2062" w:type="dxa"/>
            <w:tcBorders>
              <w:bottom w:val="single" w:sz="4" w:space="0" w:color="auto"/>
            </w:tcBorders>
            <w:shd w:val="clear" w:color="auto" w:fill="auto"/>
            <w:tcMar>
              <w:top w:w="80" w:type="dxa"/>
              <w:left w:w="80" w:type="dxa"/>
              <w:bottom w:w="80" w:type="dxa"/>
              <w:right w:w="80" w:type="dxa"/>
            </w:tcMar>
            <w:vAlign w:val="bottom"/>
          </w:tcPr>
          <w:p w:rsidR="00C04568" w:rsidRDefault="00343082">
            <w:pPr>
              <w:pStyle w:val="BodyA"/>
              <w:spacing w:after="0" w:line="240" w:lineRule="auto"/>
              <w:rPr>
                <w:rFonts w:ascii="Times New Roman" w:eastAsia="Times New Roman" w:hAnsi="Times New Roman" w:cs="Times New Roman"/>
                <w:sz w:val="18"/>
                <w:szCs w:val="18"/>
              </w:rPr>
            </w:pPr>
            <w:r>
              <w:rPr>
                <w:rFonts w:ascii="Times New Roman" w:hAnsi="Times New Roman"/>
                <w:sz w:val="18"/>
                <w:szCs w:val="18"/>
              </w:rPr>
              <w:t xml:space="preserve">Densidad de la red (%): cociente entre el número </w:t>
            </w:r>
          </w:p>
          <w:p w:rsidR="00C04568" w:rsidRDefault="00343082">
            <w:pPr>
              <w:pStyle w:val="BodyA"/>
              <w:spacing w:after="0" w:line="240" w:lineRule="auto"/>
            </w:pPr>
            <w:r>
              <w:rPr>
                <w:rFonts w:ascii="Times New Roman" w:hAnsi="Times New Roman"/>
                <w:sz w:val="18"/>
                <w:szCs w:val="18"/>
              </w:rPr>
              <w:t>de relaciones existentes sobre las posibles</w:t>
            </w:r>
          </w:p>
        </w:tc>
        <w:tc>
          <w:tcPr>
            <w:tcW w:w="1794" w:type="dxa"/>
            <w:tcBorders>
              <w:bottom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10,5%</w:t>
            </w:r>
          </w:p>
        </w:tc>
        <w:tc>
          <w:tcPr>
            <w:tcW w:w="1651" w:type="dxa"/>
            <w:tcBorders>
              <w:bottom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10,1%</w:t>
            </w:r>
          </w:p>
        </w:tc>
        <w:tc>
          <w:tcPr>
            <w:tcW w:w="1700" w:type="dxa"/>
            <w:tcBorders>
              <w:bottom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11,1%</w:t>
            </w:r>
          </w:p>
        </w:tc>
      </w:tr>
      <w:tr w:rsidR="00C04568" w:rsidTr="00852773">
        <w:trPr>
          <w:trHeight w:val="612"/>
          <w:tblHeader/>
          <w:jc w:val="center"/>
        </w:trPr>
        <w:tc>
          <w:tcPr>
            <w:tcW w:w="1172" w:type="dxa"/>
            <w:vMerge w:val="restart"/>
            <w:tcBorders>
              <w:top w:val="single" w:sz="4" w:space="0" w:color="auto"/>
            </w:tcBorders>
            <w:shd w:val="clear" w:color="auto" w:fill="auto"/>
            <w:tcMar>
              <w:top w:w="80" w:type="dxa"/>
              <w:left w:w="80" w:type="dxa"/>
              <w:bottom w:w="80" w:type="dxa"/>
              <w:right w:w="80" w:type="dxa"/>
            </w:tcMar>
            <w:vAlign w:val="center"/>
          </w:tcPr>
          <w:p w:rsidR="00C04568" w:rsidRDefault="00343082">
            <w:pPr>
              <w:pStyle w:val="BodyA"/>
              <w:spacing w:after="0" w:line="240" w:lineRule="auto"/>
              <w:jc w:val="center"/>
            </w:pPr>
            <w:r>
              <w:rPr>
                <w:rFonts w:ascii="Times New Roman" w:hAnsi="Times New Roman"/>
                <w:sz w:val="18"/>
                <w:szCs w:val="18"/>
              </w:rPr>
              <w:t>Centralidad</w:t>
            </w:r>
          </w:p>
        </w:tc>
        <w:tc>
          <w:tcPr>
            <w:tcW w:w="2062" w:type="dxa"/>
            <w:tcBorders>
              <w:top w:val="single" w:sz="4" w:space="0" w:color="auto"/>
            </w:tcBorders>
            <w:shd w:val="clear" w:color="auto" w:fill="auto"/>
            <w:tcMar>
              <w:top w:w="80" w:type="dxa"/>
              <w:left w:w="80" w:type="dxa"/>
              <w:bottom w:w="80" w:type="dxa"/>
              <w:right w:w="80" w:type="dxa"/>
            </w:tcMar>
            <w:vAlign w:val="bottom"/>
          </w:tcPr>
          <w:p w:rsidR="00C04568" w:rsidRDefault="00343082">
            <w:pPr>
              <w:pStyle w:val="BodyA"/>
              <w:spacing w:after="0" w:line="240" w:lineRule="auto"/>
            </w:pPr>
            <w:r>
              <w:rPr>
                <w:rFonts w:ascii="Times New Roman" w:hAnsi="Times New Roman"/>
                <w:sz w:val="18"/>
                <w:szCs w:val="18"/>
              </w:rPr>
              <w:t>Promedio de relaciones de entrada y salida de la red (relaciones)</w:t>
            </w:r>
          </w:p>
        </w:tc>
        <w:tc>
          <w:tcPr>
            <w:tcW w:w="1794" w:type="dxa"/>
            <w:tcBorders>
              <w:top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 xml:space="preserve">2,3 </w:t>
            </w:r>
          </w:p>
        </w:tc>
        <w:tc>
          <w:tcPr>
            <w:tcW w:w="1651" w:type="dxa"/>
            <w:tcBorders>
              <w:top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 xml:space="preserve">2,2 </w:t>
            </w:r>
          </w:p>
        </w:tc>
        <w:tc>
          <w:tcPr>
            <w:tcW w:w="1700" w:type="dxa"/>
            <w:tcBorders>
              <w:top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 xml:space="preserve">2,8 </w:t>
            </w:r>
          </w:p>
        </w:tc>
      </w:tr>
      <w:tr w:rsidR="00C04568" w:rsidTr="00852773">
        <w:trPr>
          <w:trHeight w:val="945"/>
          <w:tblHeader/>
          <w:jc w:val="center"/>
        </w:trPr>
        <w:tc>
          <w:tcPr>
            <w:tcW w:w="1172" w:type="dxa"/>
            <w:vMerge/>
            <w:tcBorders>
              <w:bottom w:val="single" w:sz="4" w:space="0" w:color="auto"/>
            </w:tcBorders>
            <w:shd w:val="clear" w:color="auto" w:fill="auto"/>
          </w:tcPr>
          <w:p w:rsidR="00C04568" w:rsidRDefault="00C04568"/>
        </w:tc>
        <w:tc>
          <w:tcPr>
            <w:tcW w:w="2062" w:type="dxa"/>
            <w:tcBorders>
              <w:bottom w:val="single" w:sz="4" w:space="0" w:color="auto"/>
            </w:tcBorders>
            <w:shd w:val="clear" w:color="auto" w:fill="auto"/>
            <w:tcMar>
              <w:top w:w="80" w:type="dxa"/>
              <w:left w:w="80" w:type="dxa"/>
              <w:bottom w:w="80" w:type="dxa"/>
              <w:right w:w="80" w:type="dxa"/>
            </w:tcMar>
            <w:vAlign w:val="center"/>
          </w:tcPr>
          <w:p w:rsidR="00C04568" w:rsidRDefault="00343082">
            <w:pPr>
              <w:pStyle w:val="BodyA"/>
              <w:spacing w:after="0" w:line="240" w:lineRule="auto"/>
            </w:pPr>
            <w:r>
              <w:rPr>
                <w:rFonts w:ascii="Times New Roman" w:hAnsi="Times New Roman"/>
                <w:sz w:val="18"/>
                <w:szCs w:val="18"/>
              </w:rPr>
              <w:t>Nodos con el mayor número de relaciones de entrada y salida (relaciones)</w:t>
            </w:r>
          </w:p>
        </w:tc>
        <w:tc>
          <w:tcPr>
            <w:tcW w:w="1794" w:type="dxa"/>
            <w:tcBorders>
              <w:bottom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 xml:space="preserve">BdE - 15 </w:t>
            </w:r>
            <w:r>
              <w:rPr>
                <w:rFonts w:ascii="Arial Unicode MS" w:eastAsia="Arial Unicode MS" w:hAnsi="Arial Unicode MS" w:cs="Arial Unicode MS"/>
                <w:sz w:val="18"/>
                <w:szCs w:val="18"/>
              </w:rPr>
              <w:br/>
            </w:r>
            <w:r>
              <w:rPr>
                <w:rFonts w:ascii="Times New Roman" w:hAnsi="Times New Roman"/>
                <w:sz w:val="18"/>
                <w:szCs w:val="18"/>
              </w:rPr>
              <w:t xml:space="preserve">Prosaneamiento - 14 </w:t>
            </w:r>
            <w:r>
              <w:rPr>
                <w:rFonts w:ascii="Arial Unicode MS" w:eastAsia="Arial Unicode MS" w:hAnsi="Arial Unicode MS" w:cs="Arial Unicode MS"/>
                <w:sz w:val="18"/>
                <w:szCs w:val="18"/>
              </w:rPr>
              <w:br/>
            </w:r>
            <w:r>
              <w:rPr>
                <w:rFonts w:ascii="Times New Roman" w:hAnsi="Times New Roman"/>
                <w:sz w:val="18"/>
                <w:szCs w:val="18"/>
              </w:rPr>
              <w:t xml:space="preserve">AME - 11 </w:t>
            </w:r>
            <w:r>
              <w:rPr>
                <w:rFonts w:ascii="Arial Unicode MS" w:eastAsia="Arial Unicode MS" w:hAnsi="Arial Unicode MS" w:cs="Arial Unicode MS"/>
                <w:sz w:val="18"/>
                <w:szCs w:val="18"/>
              </w:rPr>
              <w:br/>
            </w:r>
            <w:r>
              <w:rPr>
                <w:rFonts w:ascii="Times New Roman" w:hAnsi="Times New Roman"/>
                <w:sz w:val="18"/>
                <w:szCs w:val="18"/>
              </w:rPr>
              <w:t xml:space="preserve">AEMA - 8 </w:t>
            </w:r>
          </w:p>
        </w:tc>
        <w:tc>
          <w:tcPr>
            <w:tcW w:w="1651" w:type="dxa"/>
            <w:tcBorders>
              <w:bottom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 xml:space="preserve">BdE - 14 </w:t>
            </w:r>
            <w:r>
              <w:rPr>
                <w:rFonts w:ascii="Arial Unicode MS" w:eastAsia="Arial Unicode MS" w:hAnsi="Arial Unicode MS" w:cs="Arial Unicode MS"/>
                <w:sz w:val="18"/>
                <w:szCs w:val="18"/>
              </w:rPr>
              <w:br/>
            </w:r>
            <w:r>
              <w:rPr>
                <w:rFonts w:ascii="Times New Roman" w:hAnsi="Times New Roman"/>
                <w:sz w:val="18"/>
                <w:szCs w:val="18"/>
              </w:rPr>
              <w:t xml:space="preserve">Prosaneamiento - 12 </w:t>
            </w:r>
            <w:r>
              <w:rPr>
                <w:rFonts w:ascii="Arial Unicode MS" w:eastAsia="Arial Unicode MS" w:hAnsi="Arial Unicode MS" w:cs="Arial Unicode MS"/>
                <w:sz w:val="18"/>
                <w:szCs w:val="18"/>
              </w:rPr>
              <w:br/>
            </w:r>
            <w:r>
              <w:rPr>
                <w:rFonts w:ascii="Times New Roman" w:hAnsi="Times New Roman"/>
                <w:sz w:val="18"/>
                <w:szCs w:val="18"/>
              </w:rPr>
              <w:t xml:space="preserve">SETEP -  9 </w:t>
            </w:r>
            <w:r>
              <w:rPr>
                <w:rFonts w:ascii="Arial Unicode MS" w:eastAsia="Arial Unicode MS" w:hAnsi="Arial Unicode MS" w:cs="Arial Unicode MS"/>
                <w:sz w:val="18"/>
                <w:szCs w:val="18"/>
              </w:rPr>
              <w:br/>
            </w:r>
            <w:r>
              <w:rPr>
                <w:rFonts w:ascii="Times New Roman" w:hAnsi="Times New Roman"/>
                <w:sz w:val="18"/>
                <w:szCs w:val="18"/>
              </w:rPr>
              <w:t xml:space="preserve">SENPLADES - 8 </w:t>
            </w:r>
          </w:p>
        </w:tc>
        <w:tc>
          <w:tcPr>
            <w:tcW w:w="1700" w:type="dxa"/>
            <w:tcBorders>
              <w:bottom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 xml:space="preserve">SENAGUA - 24 </w:t>
            </w:r>
            <w:r>
              <w:rPr>
                <w:rFonts w:ascii="Arial Unicode MS" w:eastAsia="Arial Unicode MS" w:hAnsi="Arial Unicode MS" w:cs="Arial Unicode MS"/>
                <w:sz w:val="18"/>
                <w:szCs w:val="18"/>
              </w:rPr>
              <w:br/>
            </w:r>
            <w:r>
              <w:rPr>
                <w:rFonts w:ascii="Times New Roman" w:hAnsi="Times New Roman"/>
                <w:sz w:val="18"/>
                <w:szCs w:val="18"/>
              </w:rPr>
              <w:t xml:space="preserve">ENAS - 18 </w:t>
            </w:r>
            <w:r>
              <w:rPr>
                <w:rFonts w:ascii="Arial Unicode MS" w:eastAsia="Arial Unicode MS" w:hAnsi="Arial Unicode MS" w:cs="Arial Unicode MS"/>
                <w:sz w:val="18"/>
                <w:szCs w:val="18"/>
              </w:rPr>
              <w:br/>
            </w:r>
            <w:r>
              <w:rPr>
                <w:rFonts w:ascii="Times New Roman" w:hAnsi="Times New Roman"/>
                <w:sz w:val="18"/>
                <w:szCs w:val="18"/>
              </w:rPr>
              <w:t xml:space="preserve">BdE - 12 </w:t>
            </w:r>
            <w:r>
              <w:rPr>
                <w:rFonts w:ascii="Arial Unicode MS" w:eastAsia="Arial Unicode MS" w:hAnsi="Arial Unicode MS" w:cs="Arial Unicode MS"/>
                <w:sz w:val="18"/>
                <w:szCs w:val="18"/>
              </w:rPr>
              <w:br/>
            </w:r>
            <w:r>
              <w:rPr>
                <w:rFonts w:ascii="Times New Roman" w:hAnsi="Times New Roman"/>
                <w:sz w:val="18"/>
                <w:szCs w:val="18"/>
              </w:rPr>
              <w:t xml:space="preserve">Prosaneamiento - 10 </w:t>
            </w:r>
          </w:p>
        </w:tc>
      </w:tr>
      <w:tr w:rsidR="00C04568" w:rsidTr="00852773">
        <w:trPr>
          <w:trHeight w:val="1345"/>
          <w:tblHeader/>
          <w:jc w:val="center"/>
        </w:trPr>
        <w:tc>
          <w:tcPr>
            <w:tcW w:w="1172" w:type="dxa"/>
            <w:vMerge w:val="restart"/>
            <w:tcBorders>
              <w:top w:val="single" w:sz="4" w:space="0" w:color="auto"/>
            </w:tcBorders>
            <w:shd w:val="clear" w:color="auto" w:fill="auto"/>
            <w:tcMar>
              <w:top w:w="80" w:type="dxa"/>
              <w:left w:w="80" w:type="dxa"/>
              <w:bottom w:w="80" w:type="dxa"/>
              <w:right w:w="80" w:type="dxa"/>
            </w:tcMar>
            <w:vAlign w:val="center"/>
          </w:tcPr>
          <w:p w:rsidR="00C04568" w:rsidRDefault="00343082">
            <w:pPr>
              <w:pStyle w:val="BodyA"/>
              <w:spacing w:after="0" w:line="240" w:lineRule="auto"/>
              <w:jc w:val="center"/>
            </w:pPr>
            <w:r>
              <w:rPr>
                <w:rFonts w:ascii="Times New Roman" w:hAnsi="Times New Roman"/>
                <w:sz w:val="18"/>
                <w:szCs w:val="18"/>
              </w:rPr>
              <w:lastRenderedPageBreak/>
              <w:t>Distancia</w:t>
            </w:r>
          </w:p>
        </w:tc>
        <w:tc>
          <w:tcPr>
            <w:tcW w:w="2062" w:type="dxa"/>
            <w:tcBorders>
              <w:top w:val="single" w:sz="4" w:space="0" w:color="auto"/>
            </w:tcBorders>
            <w:shd w:val="clear" w:color="auto" w:fill="auto"/>
            <w:tcMar>
              <w:top w:w="80" w:type="dxa"/>
              <w:left w:w="80" w:type="dxa"/>
              <w:bottom w:w="80" w:type="dxa"/>
              <w:right w:w="80" w:type="dxa"/>
            </w:tcMar>
            <w:vAlign w:val="center"/>
          </w:tcPr>
          <w:p w:rsidR="00C04568" w:rsidRDefault="00343082">
            <w:pPr>
              <w:pStyle w:val="BodyA"/>
              <w:spacing w:after="0" w:line="240" w:lineRule="auto"/>
            </w:pPr>
            <w:r>
              <w:rPr>
                <w:rFonts w:ascii="Times New Roman" w:hAnsi="Times New Roman"/>
                <w:sz w:val="18"/>
                <w:szCs w:val="18"/>
              </w:rPr>
              <w:t>Intermediación (%): posibilidad que tiene un nodo para intermediar las comunicaciones entre pares de nodos.</w:t>
            </w:r>
          </w:p>
        </w:tc>
        <w:tc>
          <w:tcPr>
            <w:tcW w:w="1794" w:type="dxa"/>
            <w:tcBorders>
              <w:top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AME  - 48,4%</w:t>
            </w:r>
            <w:r>
              <w:rPr>
                <w:rFonts w:ascii="Arial Unicode MS" w:eastAsia="Arial Unicode MS" w:hAnsi="Arial Unicode MS" w:cs="Arial Unicode MS"/>
                <w:sz w:val="18"/>
                <w:szCs w:val="18"/>
              </w:rPr>
              <w:br/>
            </w:r>
            <w:r>
              <w:rPr>
                <w:rFonts w:ascii="Times New Roman" w:hAnsi="Times New Roman"/>
                <w:sz w:val="18"/>
                <w:szCs w:val="18"/>
              </w:rPr>
              <w:t xml:space="preserve">BdE - 44,4% </w:t>
            </w:r>
            <w:r>
              <w:rPr>
                <w:rFonts w:ascii="Arial Unicode MS" w:eastAsia="Arial Unicode MS" w:hAnsi="Arial Unicode MS" w:cs="Arial Unicode MS"/>
                <w:sz w:val="18"/>
                <w:szCs w:val="18"/>
              </w:rPr>
              <w:br/>
            </w:r>
            <w:r>
              <w:rPr>
                <w:rFonts w:ascii="Times New Roman" w:hAnsi="Times New Roman"/>
                <w:sz w:val="18"/>
                <w:szCs w:val="18"/>
              </w:rPr>
              <w:t xml:space="preserve">Prosaneamiento - 21% </w:t>
            </w:r>
            <w:r>
              <w:rPr>
                <w:rFonts w:ascii="Arial Unicode MS" w:eastAsia="Arial Unicode MS" w:hAnsi="Arial Unicode MS" w:cs="Arial Unicode MS"/>
                <w:sz w:val="18"/>
                <w:szCs w:val="18"/>
              </w:rPr>
              <w:br/>
            </w:r>
            <w:r w:rsidR="00A8200D">
              <w:rPr>
                <w:rFonts w:ascii="Times New Roman" w:hAnsi="Times New Roman"/>
                <w:sz w:val="18"/>
                <w:szCs w:val="18"/>
              </w:rPr>
              <w:t>Presidente</w:t>
            </w:r>
            <w:r>
              <w:rPr>
                <w:rFonts w:ascii="Times New Roman" w:hAnsi="Times New Roman"/>
                <w:sz w:val="18"/>
                <w:szCs w:val="18"/>
              </w:rPr>
              <w:t xml:space="preserve"> - 14,8%</w:t>
            </w:r>
          </w:p>
        </w:tc>
        <w:tc>
          <w:tcPr>
            <w:tcW w:w="1651" w:type="dxa"/>
            <w:tcBorders>
              <w:top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BdE - 40,7%</w:t>
            </w:r>
            <w:r>
              <w:rPr>
                <w:rFonts w:ascii="Arial Unicode MS" w:eastAsia="Arial Unicode MS" w:hAnsi="Arial Unicode MS" w:cs="Arial Unicode MS"/>
                <w:sz w:val="18"/>
                <w:szCs w:val="18"/>
              </w:rPr>
              <w:br/>
            </w:r>
            <w:r>
              <w:rPr>
                <w:rFonts w:ascii="Times New Roman" w:hAnsi="Times New Roman"/>
                <w:sz w:val="18"/>
                <w:szCs w:val="18"/>
              </w:rPr>
              <w:t>Prosaneamiento - 21%</w:t>
            </w:r>
            <w:r>
              <w:rPr>
                <w:rFonts w:ascii="Arial Unicode MS" w:eastAsia="Arial Unicode MS" w:hAnsi="Arial Unicode MS" w:cs="Arial Unicode MS"/>
                <w:sz w:val="18"/>
                <w:szCs w:val="18"/>
              </w:rPr>
              <w:br/>
            </w:r>
            <w:r>
              <w:rPr>
                <w:rFonts w:ascii="Times New Roman" w:hAnsi="Times New Roman"/>
                <w:sz w:val="18"/>
                <w:szCs w:val="18"/>
              </w:rPr>
              <w:t xml:space="preserve">Cambio de metas - 14,7%  </w:t>
            </w:r>
            <w:r>
              <w:rPr>
                <w:rFonts w:ascii="Arial Unicode MS" w:eastAsia="Arial Unicode MS" w:hAnsi="Arial Unicode MS" w:cs="Arial Unicode MS"/>
                <w:sz w:val="18"/>
                <w:szCs w:val="18"/>
              </w:rPr>
              <w:br/>
            </w:r>
            <w:r>
              <w:rPr>
                <w:rFonts w:ascii="Times New Roman" w:hAnsi="Times New Roman"/>
                <w:sz w:val="18"/>
                <w:szCs w:val="18"/>
              </w:rPr>
              <w:t>SETEP - 13,9%</w:t>
            </w:r>
          </w:p>
        </w:tc>
        <w:tc>
          <w:tcPr>
            <w:tcW w:w="1700" w:type="dxa"/>
            <w:tcBorders>
              <w:top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SENAGUA - 55,8%</w:t>
            </w:r>
            <w:r>
              <w:rPr>
                <w:rFonts w:ascii="Arial Unicode MS" w:eastAsia="Arial Unicode MS" w:hAnsi="Arial Unicode MS" w:cs="Arial Unicode MS"/>
                <w:sz w:val="18"/>
                <w:szCs w:val="18"/>
              </w:rPr>
              <w:br/>
            </w:r>
            <w:r>
              <w:rPr>
                <w:rFonts w:ascii="Times New Roman" w:hAnsi="Times New Roman"/>
                <w:sz w:val="18"/>
                <w:szCs w:val="18"/>
              </w:rPr>
              <w:t xml:space="preserve">SETEP - 46,8% </w:t>
            </w:r>
            <w:r>
              <w:rPr>
                <w:rFonts w:ascii="Arial Unicode MS" w:eastAsia="Arial Unicode MS" w:hAnsi="Arial Unicode MS" w:cs="Arial Unicode MS"/>
                <w:sz w:val="18"/>
                <w:szCs w:val="18"/>
              </w:rPr>
              <w:br/>
            </w:r>
            <w:r>
              <w:rPr>
                <w:rFonts w:ascii="Times New Roman" w:hAnsi="Times New Roman"/>
                <w:sz w:val="18"/>
                <w:szCs w:val="18"/>
              </w:rPr>
              <w:t>INEC - 46,4%</w:t>
            </w:r>
            <w:r>
              <w:rPr>
                <w:rFonts w:ascii="Arial Unicode MS" w:eastAsia="Arial Unicode MS" w:hAnsi="Arial Unicode MS" w:cs="Arial Unicode MS"/>
                <w:sz w:val="18"/>
                <w:szCs w:val="18"/>
              </w:rPr>
              <w:br/>
            </w:r>
            <w:r>
              <w:rPr>
                <w:rFonts w:ascii="Times New Roman" w:hAnsi="Times New Roman"/>
                <w:sz w:val="18"/>
                <w:szCs w:val="18"/>
              </w:rPr>
              <w:t>ENAS - 45,5%</w:t>
            </w:r>
          </w:p>
        </w:tc>
      </w:tr>
      <w:tr w:rsidR="00C04568" w:rsidTr="00852773">
        <w:trPr>
          <w:trHeight w:val="1193"/>
          <w:tblHeader/>
          <w:jc w:val="center"/>
        </w:trPr>
        <w:tc>
          <w:tcPr>
            <w:tcW w:w="1172" w:type="dxa"/>
            <w:vMerge/>
            <w:tcBorders>
              <w:bottom w:val="single" w:sz="4" w:space="0" w:color="auto"/>
            </w:tcBorders>
            <w:shd w:val="clear" w:color="auto" w:fill="auto"/>
          </w:tcPr>
          <w:p w:rsidR="00C04568" w:rsidRDefault="00C04568"/>
        </w:tc>
        <w:tc>
          <w:tcPr>
            <w:tcW w:w="2062" w:type="dxa"/>
            <w:tcBorders>
              <w:bottom w:val="single" w:sz="4" w:space="0" w:color="auto"/>
            </w:tcBorders>
            <w:shd w:val="clear" w:color="auto" w:fill="auto"/>
            <w:tcMar>
              <w:top w:w="80" w:type="dxa"/>
              <w:left w:w="80" w:type="dxa"/>
              <w:bottom w:w="80" w:type="dxa"/>
              <w:right w:w="80" w:type="dxa"/>
            </w:tcMar>
            <w:vAlign w:val="center"/>
          </w:tcPr>
          <w:p w:rsidR="00C04568" w:rsidRDefault="00343082">
            <w:pPr>
              <w:pStyle w:val="BodyA"/>
              <w:spacing w:after="0" w:line="240" w:lineRule="auto"/>
            </w:pPr>
            <w:r>
              <w:rPr>
                <w:rFonts w:ascii="Times New Roman" w:hAnsi="Times New Roman"/>
                <w:sz w:val="18"/>
                <w:szCs w:val="18"/>
              </w:rPr>
              <w:t>Cercanía (%): distancia media desde un nodo inicial a todos los demás nodos de la red.</w:t>
            </w:r>
          </w:p>
        </w:tc>
        <w:tc>
          <w:tcPr>
            <w:tcW w:w="1794" w:type="dxa"/>
            <w:tcBorders>
              <w:bottom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BdE 69,6%</w:t>
            </w:r>
            <w:r>
              <w:rPr>
                <w:rFonts w:ascii="Arial Unicode MS" w:eastAsia="Arial Unicode MS" w:hAnsi="Arial Unicode MS" w:cs="Arial Unicode MS"/>
                <w:sz w:val="18"/>
                <w:szCs w:val="18"/>
              </w:rPr>
              <w:br/>
            </w:r>
            <w:r w:rsidR="00A8200D">
              <w:rPr>
                <w:rFonts w:ascii="Times New Roman" w:hAnsi="Times New Roman"/>
                <w:sz w:val="18"/>
                <w:szCs w:val="18"/>
              </w:rPr>
              <w:t>Presidente</w:t>
            </w:r>
            <w:r>
              <w:rPr>
                <w:rFonts w:ascii="Times New Roman" w:hAnsi="Times New Roman"/>
                <w:sz w:val="18"/>
                <w:szCs w:val="18"/>
              </w:rPr>
              <w:t xml:space="preserve"> 57,1%</w:t>
            </w:r>
            <w:r>
              <w:rPr>
                <w:rFonts w:ascii="Arial Unicode MS" w:eastAsia="Arial Unicode MS" w:hAnsi="Arial Unicode MS" w:cs="Arial Unicode MS"/>
                <w:sz w:val="18"/>
                <w:szCs w:val="18"/>
              </w:rPr>
              <w:br/>
            </w:r>
            <w:r>
              <w:rPr>
                <w:rFonts w:ascii="Times New Roman" w:hAnsi="Times New Roman"/>
                <w:sz w:val="18"/>
                <w:szCs w:val="18"/>
              </w:rPr>
              <w:t xml:space="preserve">AME 51,6% </w:t>
            </w:r>
            <w:r>
              <w:rPr>
                <w:rFonts w:ascii="Arial Unicode MS" w:eastAsia="Arial Unicode MS" w:hAnsi="Arial Unicode MS" w:cs="Arial Unicode MS"/>
                <w:sz w:val="18"/>
                <w:szCs w:val="18"/>
              </w:rPr>
              <w:br/>
            </w:r>
            <w:r>
              <w:rPr>
                <w:rFonts w:ascii="Times New Roman" w:hAnsi="Times New Roman"/>
                <w:sz w:val="18"/>
                <w:szCs w:val="18"/>
              </w:rPr>
              <w:t>ANBV 11,9%</w:t>
            </w:r>
          </w:p>
        </w:tc>
        <w:tc>
          <w:tcPr>
            <w:tcW w:w="1651" w:type="dxa"/>
            <w:tcBorders>
              <w:bottom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BdE 62,5%</w:t>
            </w:r>
            <w:r>
              <w:rPr>
                <w:rFonts w:ascii="Arial Unicode MS" w:eastAsia="Arial Unicode MS" w:hAnsi="Arial Unicode MS" w:cs="Arial Unicode MS"/>
                <w:sz w:val="18"/>
                <w:szCs w:val="18"/>
              </w:rPr>
              <w:br/>
            </w:r>
            <w:r>
              <w:rPr>
                <w:rFonts w:ascii="Times New Roman" w:hAnsi="Times New Roman"/>
                <w:sz w:val="18"/>
                <w:szCs w:val="18"/>
              </w:rPr>
              <w:t xml:space="preserve">SETEP 51,7% </w:t>
            </w:r>
            <w:r>
              <w:rPr>
                <w:rFonts w:ascii="Arial Unicode MS" w:eastAsia="Arial Unicode MS" w:hAnsi="Arial Unicode MS" w:cs="Arial Unicode MS"/>
                <w:sz w:val="18"/>
                <w:szCs w:val="18"/>
              </w:rPr>
              <w:br/>
            </w:r>
            <w:r>
              <w:rPr>
                <w:rFonts w:ascii="Times New Roman" w:hAnsi="Times New Roman"/>
                <w:sz w:val="18"/>
                <w:szCs w:val="18"/>
              </w:rPr>
              <w:t>MAE 44,1%</w:t>
            </w:r>
            <w:r>
              <w:rPr>
                <w:rFonts w:ascii="Arial Unicode MS" w:eastAsia="Arial Unicode MS" w:hAnsi="Arial Unicode MS" w:cs="Arial Unicode MS"/>
                <w:sz w:val="18"/>
                <w:szCs w:val="18"/>
              </w:rPr>
              <w:br/>
            </w:r>
            <w:r>
              <w:rPr>
                <w:rFonts w:ascii="Times New Roman" w:hAnsi="Times New Roman"/>
                <w:sz w:val="18"/>
                <w:szCs w:val="18"/>
              </w:rPr>
              <w:t xml:space="preserve">SENAGUA 42,9% </w:t>
            </w:r>
            <w:r>
              <w:rPr>
                <w:rFonts w:ascii="Arial Unicode MS" w:eastAsia="Arial Unicode MS" w:hAnsi="Arial Unicode MS" w:cs="Arial Unicode MS"/>
                <w:sz w:val="18"/>
                <w:szCs w:val="18"/>
              </w:rPr>
              <w:br/>
            </w:r>
            <w:r w:rsidR="00A8200D">
              <w:rPr>
                <w:rFonts w:ascii="Times New Roman" w:hAnsi="Times New Roman"/>
                <w:sz w:val="18"/>
                <w:szCs w:val="18"/>
              </w:rPr>
              <w:t>Presidente</w:t>
            </w:r>
            <w:r>
              <w:rPr>
                <w:rFonts w:ascii="Times New Roman" w:hAnsi="Times New Roman"/>
                <w:sz w:val="18"/>
                <w:szCs w:val="18"/>
              </w:rPr>
              <w:t xml:space="preserve"> 42,1%</w:t>
            </w:r>
          </w:p>
        </w:tc>
        <w:tc>
          <w:tcPr>
            <w:tcW w:w="1700" w:type="dxa"/>
            <w:tcBorders>
              <w:bottom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SENAGUA - 92,0%</w:t>
            </w:r>
            <w:r>
              <w:rPr>
                <w:rFonts w:ascii="Arial Unicode MS" w:eastAsia="Arial Unicode MS" w:hAnsi="Arial Unicode MS" w:cs="Arial Unicode MS"/>
                <w:sz w:val="18"/>
                <w:szCs w:val="18"/>
              </w:rPr>
              <w:br/>
            </w:r>
            <w:r>
              <w:rPr>
                <w:rFonts w:ascii="Times New Roman" w:hAnsi="Times New Roman"/>
                <w:sz w:val="18"/>
                <w:szCs w:val="18"/>
              </w:rPr>
              <w:t xml:space="preserve">BdE – 62,2% </w:t>
            </w:r>
            <w:r>
              <w:rPr>
                <w:rFonts w:ascii="Arial Unicode MS" w:eastAsia="Arial Unicode MS" w:hAnsi="Arial Unicode MS" w:cs="Arial Unicode MS"/>
                <w:sz w:val="18"/>
                <w:szCs w:val="18"/>
              </w:rPr>
              <w:br/>
            </w:r>
            <w:r>
              <w:rPr>
                <w:rFonts w:ascii="Times New Roman" w:hAnsi="Times New Roman"/>
                <w:sz w:val="18"/>
                <w:szCs w:val="18"/>
              </w:rPr>
              <w:t>SENPLADES -53,5%</w:t>
            </w:r>
            <w:r>
              <w:rPr>
                <w:rFonts w:ascii="Arial Unicode MS" w:eastAsia="Arial Unicode MS" w:hAnsi="Arial Unicode MS" w:cs="Arial Unicode MS"/>
                <w:sz w:val="18"/>
                <w:szCs w:val="18"/>
              </w:rPr>
              <w:br/>
            </w:r>
            <w:r>
              <w:rPr>
                <w:rFonts w:ascii="Times New Roman" w:hAnsi="Times New Roman"/>
                <w:sz w:val="18"/>
                <w:szCs w:val="18"/>
              </w:rPr>
              <w:t>SETEP – 52,3%</w:t>
            </w:r>
          </w:p>
        </w:tc>
      </w:tr>
      <w:tr w:rsidR="00C04568" w:rsidTr="00852773">
        <w:trPr>
          <w:trHeight w:val="1545"/>
          <w:tblHeader/>
          <w:jc w:val="center"/>
        </w:trPr>
        <w:tc>
          <w:tcPr>
            <w:tcW w:w="3234" w:type="dxa"/>
            <w:gridSpan w:val="2"/>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Default="00343082">
            <w:pPr>
              <w:pStyle w:val="BodyA"/>
              <w:spacing w:after="0" w:line="240" w:lineRule="auto"/>
            </w:pPr>
            <w:r>
              <w:rPr>
                <w:rFonts w:ascii="Times New Roman" w:hAnsi="Times New Roman"/>
                <w:sz w:val="18"/>
                <w:szCs w:val="18"/>
              </w:rPr>
              <w:t>Autoridad (%): mide cuán valiosa es la información almacenada en ese nodo.</w:t>
            </w:r>
          </w:p>
        </w:tc>
        <w:tc>
          <w:tcPr>
            <w:tcW w:w="1794"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Prosaneamiento - 20%</w:t>
            </w:r>
            <w:r>
              <w:rPr>
                <w:rFonts w:ascii="Arial Unicode MS" w:eastAsia="Arial Unicode MS" w:hAnsi="Arial Unicode MS" w:cs="Arial Unicode MS"/>
                <w:sz w:val="18"/>
                <w:szCs w:val="18"/>
              </w:rPr>
              <w:br/>
            </w:r>
            <w:r>
              <w:rPr>
                <w:rFonts w:ascii="Times New Roman" w:hAnsi="Times New Roman"/>
                <w:sz w:val="18"/>
                <w:szCs w:val="18"/>
              </w:rPr>
              <w:t xml:space="preserve">AEMA - 10% </w:t>
            </w:r>
            <w:r>
              <w:rPr>
                <w:rFonts w:ascii="Arial Unicode MS" w:eastAsia="Arial Unicode MS" w:hAnsi="Arial Unicode MS" w:cs="Arial Unicode MS"/>
                <w:sz w:val="18"/>
                <w:szCs w:val="18"/>
              </w:rPr>
              <w:br/>
            </w:r>
            <w:r>
              <w:rPr>
                <w:rFonts w:ascii="Times New Roman" w:hAnsi="Times New Roman"/>
                <w:sz w:val="18"/>
                <w:szCs w:val="18"/>
              </w:rPr>
              <w:t xml:space="preserve">AME - 8,6%. </w:t>
            </w:r>
          </w:p>
        </w:tc>
        <w:tc>
          <w:tcPr>
            <w:tcW w:w="1651"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Prosaneamiento - 17,3%</w:t>
            </w:r>
            <w:r>
              <w:rPr>
                <w:rFonts w:ascii="Arial Unicode MS" w:eastAsia="Arial Unicode MS" w:hAnsi="Arial Unicode MS" w:cs="Arial Unicode MS"/>
                <w:sz w:val="18"/>
                <w:szCs w:val="18"/>
              </w:rPr>
              <w:br/>
            </w:r>
            <w:r>
              <w:rPr>
                <w:rFonts w:ascii="Times New Roman" w:hAnsi="Times New Roman"/>
                <w:sz w:val="18"/>
                <w:szCs w:val="18"/>
              </w:rPr>
              <w:t>Propuesta interinstitucional - 11,6%</w:t>
            </w:r>
            <w:r>
              <w:rPr>
                <w:rFonts w:ascii="Arial Unicode MS" w:eastAsia="Arial Unicode MS" w:hAnsi="Arial Unicode MS" w:cs="Arial Unicode MS"/>
                <w:sz w:val="18"/>
                <w:szCs w:val="18"/>
              </w:rPr>
              <w:br/>
            </w:r>
            <w:r>
              <w:rPr>
                <w:rFonts w:ascii="Times New Roman" w:hAnsi="Times New Roman"/>
                <w:sz w:val="18"/>
                <w:szCs w:val="18"/>
              </w:rPr>
              <w:t>BdE - 8,7%</w:t>
            </w:r>
            <w:r>
              <w:rPr>
                <w:rFonts w:ascii="Arial Unicode MS" w:eastAsia="Arial Unicode MS" w:hAnsi="Arial Unicode MS" w:cs="Arial Unicode MS"/>
                <w:sz w:val="18"/>
                <w:szCs w:val="18"/>
              </w:rPr>
              <w:br/>
            </w:r>
            <w:r>
              <w:rPr>
                <w:rFonts w:ascii="Times New Roman" w:hAnsi="Times New Roman"/>
                <w:sz w:val="18"/>
                <w:szCs w:val="18"/>
              </w:rPr>
              <w:t>SETEP - 5,8%</w:t>
            </w:r>
          </w:p>
        </w:tc>
        <w:tc>
          <w:tcPr>
            <w:tcW w:w="1700" w:type="dxa"/>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Default="00343082" w:rsidP="00852773">
            <w:pPr>
              <w:pStyle w:val="BodyA"/>
              <w:spacing w:after="0" w:line="240" w:lineRule="auto"/>
            </w:pPr>
            <w:r>
              <w:rPr>
                <w:rFonts w:ascii="Times New Roman" w:hAnsi="Times New Roman"/>
                <w:sz w:val="18"/>
                <w:szCs w:val="18"/>
              </w:rPr>
              <w:t>ENAS - 17,7%</w:t>
            </w:r>
            <w:r>
              <w:rPr>
                <w:rFonts w:ascii="Arial Unicode MS" w:eastAsia="Arial Unicode MS" w:hAnsi="Arial Unicode MS" w:cs="Arial Unicode MS"/>
                <w:sz w:val="18"/>
                <w:szCs w:val="18"/>
              </w:rPr>
              <w:br/>
            </w:r>
            <w:r>
              <w:rPr>
                <w:rFonts w:ascii="Times New Roman" w:hAnsi="Times New Roman"/>
                <w:sz w:val="18"/>
                <w:szCs w:val="18"/>
              </w:rPr>
              <w:t>Prosaneamiento - 11,5%</w:t>
            </w:r>
            <w:r>
              <w:rPr>
                <w:rFonts w:ascii="Arial Unicode MS" w:eastAsia="Arial Unicode MS" w:hAnsi="Arial Unicode MS" w:cs="Arial Unicode MS"/>
                <w:sz w:val="18"/>
                <w:szCs w:val="18"/>
              </w:rPr>
              <w:br/>
            </w:r>
            <w:r>
              <w:rPr>
                <w:rFonts w:ascii="Times New Roman" w:hAnsi="Times New Roman"/>
                <w:sz w:val="18"/>
                <w:szCs w:val="18"/>
              </w:rPr>
              <w:t>ENIEP - 5,2%</w:t>
            </w:r>
          </w:p>
        </w:tc>
      </w:tr>
    </w:tbl>
    <w:p w:rsidR="00C5014A" w:rsidRPr="00B166E3" w:rsidRDefault="00343082" w:rsidP="00B166E3">
      <w:pPr>
        <w:pStyle w:val="BodyA"/>
        <w:spacing w:after="0" w:line="360" w:lineRule="auto"/>
        <w:jc w:val="center"/>
        <w:rPr>
          <w:rFonts w:ascii="Times New Roman" w:eastAsia="Times New Roman" w:hAnsi="Times New Roman" w:cs="Times New Roman"/>
          <w:sz w:val="20"/>
          <w:szCs w:val="20"/>
        </w:rPr>
      </w:pPr>
      <w:r w:rsidRPr="00B166E3">
        <w:rPr>
          <w:rFonts w:ascii="Times New Roman" w:eastAsia="Times New Roman" w:hAnsi="Times New Roman" w:cs="Times New Roman"/>
          <w:sz w:val="20"/>
          <w:szCs w:val="20"/>
        </w:rPr>
        <w:t xml:space="preserve">Fuente: </w:t>
      </w:r>
      <w:r w:rsidR="00B166E3" w:rsidRPr="00B166E3">
        <w:rPr>
          <w:rFonts w:ascii="Times New Roman" w:hAnsi="Times New Roman"/>
          <w:sz w:val="20"/>
          <w:szCs w:val="20"/>
        </w:rPr>
        <w:t>Elaboración propia</w:t>
      </w:r>
    </w:p>
    <w:p w:rsidR="002C79BF" w:rsidRPr="00537D1E" w:rsidRDefault="002C79BF" w:rsidP="002C79BF">
      <w:pPr>
        <w:pStyle w:val="BodyA"/>
        <w:spacing w:after="0" w:line="360" w:lineRule="auto"/>
        <w:jc w:val="both"/>
        <w:rPr>
          <w:rFonts w:ascii="Times New Roman" w:eastAsia="Times New Roman" w:hAnsi="Times New Roman" w:cs="Times New Roman"/>
          <w:sz w:val="24"/>
          <w:szCs w:val="24"/>
        </w:rPr>
      </w:pPr>
    </w:p>
    <w:p w:rsidR="00C04568" w:rsidRPr="00537D1E" w:rsidRDefault="00343082" w:rsidP="00537D1E">
      <w:pPr>
        <w:pStyle w:val="BodyB"/>
        <w:spacing w:after="0" w:line="240" w:lineRule="auto"/>
        <w:jc w:val="both"/>
        <w:rPr>
          <w:rFonts w:ascii="Times New Roman" w:eastAsia="Times New Roman" w:hAnsi="Times New Roman" w:cs="Times New Roman"/>
          <w:sz w:val="24"/>
        </w:rPr>
      </w:pPr>
      <w:r w:rsidRPr="00537D1E">
        <w:rPr>
          <w:rFonts w:ascii="Times New Roman" w:hAnsi="Times New Roman"/>
          <w:sz w:val="24"/>
        </w:rPr>
        <w:t xml:space="preserve">Utilizamos la medida de </w:t>
      </w:r>
      <w:r w:rsidRPr="00537D1E">
        <w:rPr>
          <w:rFonts w:ascii="Times New Roman" w:hAnsi="Times New Roman"/>
          <w:i/>
          <w:iCs/>
          <w:sz w:val="24"/>
        </w:rPr>
        <w:t>densidad</w:t>
      </w:r>
      <w:r w:rsidRPr="00537D1E">
        <w:rPr>
          <w:rFonts w:ascii="Times New Roman" w:hAnsi="Times New Roman"/>
          <w:sz w:val="24"/>
        </w:rPr>
        <w:t xml:space="preserve"> para conocer si la red ha sido construida de manera intencional. La densidad de la red es baja, apenas alcanza un 10%, lo que nos permite confirmar que la red es construida de manera intencional desde los actores estatales.</w:t>
      </w:r>
    </w:p>
    <w:p w:rsidR="00C04568" w:rsidRPr="00537D1E" w:rsidRDefault="00C04568" w:rsidP="00537D1E">
      <w:pPr>
        <w:pStyle w:val="BodyB"/>
        <w:spacing w:after="0" w:line="240" w:lineRule="auto"/>
        <w:jc w:val="both"/>
        <w:rPr>
          <w:rFonts w:ascii="Times New Roman" w:eastAsia="Times New Roman" w:hAnsi="Times New Roman" w:cs="Times New Roman"/>
          <w:color w:val="0432FF"/>
          <w:sz w:val="24"/>
          <w:u w:color="0432FF"/>
        </w:rPr>
      </w:pPr>
    </w:p>
    <w:p w:rsidR="00C04568" w:rsidRPr="00537D1E" w:rsidRDefault="00343082" w:rsidP="00537D1E">
      <w:pPr>
        <w:pStyle w:val="BodyB"/>
        <w:spacing w:after="0" w:line="240" w:lineRule="auto"/>
        <w:jc w:val="both"/>
        <w:rPr>
          <w:rFonts w:ascii="Times New Roman" w:eastAsia="Times New Roman" w:hAnsi="Times New Roman" w:cs="Times New Roman"/>
          <w:sz w:val="24"/>
        </w:rPr>
      </w:pPr>
      <w:r w:rsidRPr="00537D1E">
        <w:rPr>
          <w:rFonts w:ascii="Times New Roman" w:hAnsi="Times New Roman"/>
          <w:sz w:val="24"/>
        </w:rPr>
        <w:t>La centralidad de la red mide los nodos con el mayor número de relaciones tanto de entrada como de salida. Encontramos que desde el 2008 hasta el 2014, sobresalen el B</w:t>
      </w:r>
      <w:r w:rsidR="00930DC3">
        <w:rPr>
          <w:rFonts w:ascii="Times New Roman" w:hAnsi="Times New Roman"/>
          <w:sz w:val="24"/>
        </w:rPr>
        <w:t xml:space="preserve">dE </w:t>
      </w:r>
      <w:r w:rsidRPr="00537D1E">
        <w:rPr>
          <w:rFonts w:ascii="Times New Roman" w:hAnsi="Times New Roman"/>
          <w:sz w:val="24"/>
        </w:rPr>
        <w:t xml:space="preserve">(15) con su instrumento de financiamiento Prosaneamiento (14), mientras que en el 2015 tiene mayor centralidad </w:t>
      </w:r>
      <w:r w:rsidRPr="00537D1E">
        <w:rPr>
          <w:rFonts w:ascii="Times New Roman" w:hAnsi="Times New Roman"/>
          <w:sz w:val="24"/>
          <w:lang w:val="pt-PT"/>
        </w:rPr>
        <w:t>SENAGUA</w:t>
      </w:r>
      <w:r w:rsidRPr="00537D1E">
        <w:rPr>
          <w:rFonts w:ascii="Times New Roman" w:hAnsi="Times New Roman"/>
          <w:sz w:val="24"/>
        </w:rPr>
        <w:t xml:space="preserve"> (24) con el instrumento de planificación ENAS (18). </w:t>
      </w:r>
      <w:r w:rsidRPr="00537D1E">
        <w:rPr>
          <w:rFonts w:ascii="Times New Roman" w:hAnsi="Times New Roman"/>
          <w:sz w:val="24"/>
          <w:u w:color="0432FF"/>
          <w:lang w:val="pt-PT"/>
        </w:rPr>
        <w:t xml:space="preserve">Esta medida </w:t>
      </w:r>
      <w:r w:rsidRPr="00537D1E">
        <w:rPr>
          <w:rFonts w:ascii="Times New Roman" w:hAnsi="Times New Roman"/>
          <w:sz w:val="24"/>
          <w:u w:color="0432FF"/>
        </w:rPr>
        <w:t>muestra cuáles son los actores con mayor influencia en la implementación de la política: el B</w:t>
      </w:r>
      <w:r w:rsidR="00930DC3">
        <w:rPr>
          <w:rFonts w:ascii="Times New Roman" w:hAnsi="Times New Roman"/>
          <w:sz w:val="24"/>
          <w:u w:color="0432FF"/>
        </w:rPr>
        <w:t>dE</w:t>
      </w:r>
      <w:r w:rsidRPr="00537D1E">
        <w:rPr>
          <w:rFonts w:ascii="Times New Roman" w:hAnsi="Times New Roman"/>
          <w:sz w:val="24"/>
          <w:u w:color="0432FF"/>
        </w:rPr>
        <w:t xml:space="preserve"> y SENAGUA con sus respectivos instrumentos.</w:t>
      </w:r>
    </w:p>
    <w:p w:rsidR="00C04568" w:rsidRPr="00537D1E" w:rsidRDefault="00C04568" w:rsidP="00537D1E">
      <w:pPr>
        <w:pStyle w:val="BodyB"/>
        <w:spacing w:after="0" w:line="240" w:lineRule="auto"/>
        <w:jc w:val="both"/>
        <w:rPr>
          <w:rFonts w:ascii="Times New Roman" w:eastAsia="Times New Roman" w:hAnsi="Times New Roman" w:cs="Times New Roman"/>
          <w:color w:val="0432FF"/>
          <w:sz w:val="24"/>
          <w:u w:color="0432FF"/>
        </w:rPr>
      </w:pPr>
    </w:p>
    <w:p w:rsidR="00C04568" w:rsidRPr="00537D1E" w:rsidRDefault="00343082" w:rsidP="00537D1E">
      <w:pPr>
        <w:pStyle w:val="BodyA"/>
        <w:spacing w:line="240" w:lineRule="auto"/>
        <w:jc w:val="both"/>
        <w:rPr>
          <w:rFonts w:ascii="Times New Roman" w:eastAsia="Times New Roman" w:hAnsi="Times New Roman" w:cs="Times New Roman"/>
          <w:color w:val="0432FF"/>
          <w:sz w:val="24"/>
          <w:u w:color="0432FF"/>
        </w:rPr>
      </w:pPr>
      <w:r w:rsidRPr="00537D1E">
        <w:rPr>
          <w:rFonts w:ascii="Times New Roman" w:hAnsi="Times New Roman"/>
          <w:sz w:val="24"/>
        </w:rPr>
        <w:t>La intermediación es una medida que permite identificar a los actores que se convierten en los puntos de paso obligado de otros actores dentro de la red.  Por ejemplo, entre 2008 y 2013 es la AME  (como representante de los GAD) el actor que más intermediaciones realiza (48,4%), seguida por el B</w:t>
      </w:r>
      <w:r w:rsidR="00930DC3">
        <w:rPr>
          <w:rFonts w:ascii="Times New Roman" w:hAnsi="Times New Roman"/>
          <w:sz w:val="24"/>
        </w:rPr>
        <w:t>dE</w:t>
      </w:r>
      <w:r w:rsidRPr="00537D1E">
        <w:rPr>
          <w:rFonts w:ascii="Times New Roman" w:hAnsi="Times New Roman"/>
          <w:sz w:val="24"/>
        </w:rPr>
        <w:t xml:space="preserve"> (44,4%). En 2014 se mantiene el B</w:t>
      </w:r>
      <w:r w:rsidR="00930DC3">
        <w:rPr>
          <w:rFonts w:ascii="Times New Roman" w:hAnsi="Times New Roman"/>
          <w:sz w:val="24"/>
        </w:rPr>
        <w:t>dE</w:t>
      </w:r>
      <w:r w:rsidRPr="00537D1E">
        <w:rPr>
          <w:rFonts w:ascii="Times New Roman" w:hAnsi="Times New Roman"/>
          <w:sz w:val="24"/>
        </w:rPr>
        <w:t xml:space="preserve">  con mayor porcentaje de intermediación (40,7%) seguido de Prosaneamiento (21%). En el 2015, una vez que se da el cambio de la política pública, los nuevos intermediarios son SENAGUA (55,8%) y SETEP (46,8%) que actúan como articuladores de la construcción de la Estrategia Nacional de Agua y Saneamiento. Sin embargo, </w:t>
      </w:r>
      <w:r w:rsidRPr="00537D1E">
        <w:rPr>
          <w:rFonts w:ascii="Times New Roman" w:hAnsi="Times New Roman"/>
          <w:sz w:val="24"/>
          <w:u w:color="0432FF"/>
        </w:rPr>
        <w:t>el B</w:t>
      </w:r>
      <w:r w:rsidR="00A47B67" w:rsidRPr="00537D1E">
        <w:rPr>
          <w:rFonts w:ascii="Times New Roman" w:hAnsi="Times New Roman"/>
          <w:sz w:val="24"/>
          <w:u w:color="0432FF"/>
        </w:rPr>
        <w:t xml:space="preserve">dE </w:t>
      </w:r>
      <w:r w:rsidRPr="00537D1E">
        <w:rPr>
          <w:rFonts w:ascii="Times New Roman" w:hAnsi="Times New Roman"/>
          <w:sz w:val="24"/>
          <w:u w:color="0432FF"/>
        </w:rPr>
        <w:t>y Prosaneamiento son los nodos con mayor habilidad para</w:t>
      </w:r>
      <w:r w:rsidRPr="00537D1E">
        <w:rPr>
          <w:rFonts w:ascii="Times New Roman" w:hAnsi="Times New Roman"/>
          <w:sz w:val="24"/>
          <w:u w:color="0432FF"/>
          <w:lang w:val="pt-PT"/>
        </w:rPr>
        <w:t xml:space="preserve"> agrupar </w:t>
      </w:r>
      <w:r w:rsidRPr="00537D1E">
        <w:rPr>
          <w:rFonts w:ascii="Times New Roman" w:hAnsi="Times New Roman"/>
          <w:sz w:val="24"/>
          <w:u w:color="0432FF"/>
        </w:rPr>
        <w:t>otros actores y para mantener la mayor cantidad de relaciones dentro de la red a lo largo del cambio de la política pú</w:t>
      </w:r>
      <w:r w:rsidR="000A3793" w:rsidRPr="00537D1E">
        <w:rPr>
          <w:rFonts w:ascii="Times New Roman" w:hAnsi="Times New Roman"/>
          <w:sz w:val="24"/>
          <w:u w:color="0432FF"/>
        </w:rPr>
        <w:t xml:space="preserve">blica. En particular, el banco </w:t>
      </w:r>
      <w:r w:rsidRPr="00537D1E">
        <w:rPr>
          <w:rFonts w:ascii="Times New Roman" w:hAnsi="Times New Roman"/>
          <w:sz w:val="24"/>
          <w:u w:color="0432FF"/>
        </w:rPr>
        <w:t>es uno de los actores más fuertes intermediando relaciones con entidades del gobierno central, gobiernos</w:t>
      </w:r>
      <w:r w:rsidRPr="00537D1E">
        <w:rPr>
          <w:rFonts w:ascii="Times New Roman" w:hAnsi="Times New Roman"/>
          <w:sz w:val="24"/>
        </w:rPr>
        <w:t xml:space="preserve"> </w:t>
      </w:r>
      <w:r w:rsidRPr="00537D1E">
        <w:rPr>
          <w:rFonts w:ascii="Times New Roman" w:hAnsi="Times New Roman"/>
          <w:sz w:val="24"/>
          <w:u w:color="0432FF"/>
        </w:rPr>
        <w:t>locales y organismos internacionales.</w:t>
      </w:r>
    </w:p>
    <w:p w:rsidR="00C04568" w:rsidRPr="00537D1E" w:rsidRDefault="00343082" w:rsidP="00537D1E">
      <w:pPr>
        <w:pStyle w:val="BodyA"/>
        <w:spacing w:line="240" w:lineRule="auto"/>
        <w:jc w:val="both"/>
        <w:rPr>
          <w:rFonts w:ascii="Times New Roman" w:eastAsia="Times New Roman" w:hAnsi="Times New Roman" w:cs="Times New Roman"/>
          <w:color w:val="0432FF"/>
          <w:sz w:val="24"/>
          <w:u w:color="0432FF"/>
        </w:rPr>
      </w:pPr>
      <w:r w:rsidRPr="00537D1E">
        <w:rPr>
          <w:rFonts w:ascii="Times New Roman" w:hAnsi="Times New Roman"/>
          <w:sz w:val="24"/>
        </w:rPr>
        <w:t>La cercanía es una medida que permite conocer cuáles son los nodos de mayor influencia a lo largo de la transformación de la política pública, pues mide la menor distancia media hacia el resto de nodos de la red. Encontramos que el B</w:t>
      </w:r>
      <w:r w:rsidR="00347ADA">
        <w:rPr>
          <w:rFonts w:ascii="Times New Roman" w:hAnsi="Times New Roman"/>
          <w:sz w:val="24"/>
        </w:rPr>
        <w:t>dE</w:t>
      </w:r>
      <w:r w:rsidRPr="00537D1E">
        <w:rPr>
          <w:rFonts w:ascii="Times New Roman" w:hAnsi="Times New Roman"/>
          <w:sz w:val="24"/>
        </w:rPr>
        <w:t xml:space="preserve"> mantiene un alto valor de cercanía (sobre el 62%) en todos los momentos del contexto de la política pública. El </w:t>
      </w:r>
      <w:r w:rsidR="00A47B67" w:rsidRPr="00537D1E">
        <w:rPr>
          <w:rFonts w:ascii="Times New Roman" w:hAnsi="Times New Roman"/>
          <w:sz w:val="24"/>
        </w:rPr>
        <w:t>p</w:t>
      </w:r>
      <w:r w:rsidR="00A8200D" w:rsidRPr="00537D1E">
        <w:rPr>
          <w:rFonts w:ascii="Times New Roman" w:hAnsi="Times New Roman"/>
          <w:sz w:val="24"/>
        </w:rPr>
        <w:t>residente</w:t>
      </w:r>
      <w:r w:rsidRPr="00537D1E">
        <w:rPr>
          <w:rFonts w:ascii="Times New Roman" w:hAnsi="Times New Roman"/>
          <w:sz w:val="24"/>
        </w:rPr>
        <w:t xml:space="preserve"> le sigue con un 57,1% y un 42,1% respectivamente entre 2008 y 2014; y la AME con un 51,6% entre 2008 y 2013. En el 2014 los nodos con alta </w:t>
      </w:r>
      <w:r w:rsidRPr="00537D1E">
        <w:rPr>
          <w:rFonts w:ascii="Times New Roman" w:hAnsi="Times New Roman"/>
          <w:sz w:val="24"/>
        </w:rPr>
        <w:lastRenderedPageBreak/>
        <w:t xml:space="preserve">cercanía son la SETEP (51,7%) y el </w:t>
      </w:r>
      <w:r w:rsidRPr="00537D1E">
        <w:rPr>
          <w:rFonts w:ascii="Times New Roman" w:hAnsi="Times New Roman"/>
          <w:sz w:val="24"/>
          <w:u w:color="FF0000"/>
        </w:rPr>
        <w:t>Ministerio del Ambiente del Ecuador (</w:t>
      </w:r>
      <w:r w:rsidRPr="00537D1E">
        <w:rPr>
          <w:rFonts w:ascii="Times New Roman" w:hAnsi="Times New Roman"/>
          <w:sz w:val="24"/>
          <w:u w:color="FF0000"/>
          <w:lang w:val="de-DE"/>
        </w:rPr>
        <w:t>MAE) (41,1%)</w:t>
      </w:r>
      <w:r w:rsidRPr="00537D1E">
        <w:rPr>
          <w:rFonts w:ascii="Times New Roman" w:hAnsi="Times New Roman"/>
          <w:sz w:val="24"/>
          <w:u w:color="FF0000"/>
        </w:rPr>
        <w:t xml:space="preserve">, hasta que en 2015, con el cambio de la política pública, </w:t>
      </w:r>
      <w:r w:rsidRPr="00537D1E">
        <w:rPr>
          <w:rFonts w:ascii="Times New Roman" w:hAnsi="Times New Roman"/>
          <w:sz w:val="24"/>
          <w:lang w:val="pt-PT"/>
        </w:rPr>
        <w:t>SENAGUA se convierte en el actor con la mayor influencia con un 92% de cercanía  y</w:t>
      </w:r>
      <w:r w:rsidRPr="00537D1E">
        <w:rPr>
          <w:rFonts w:ascii="Times New Roman" w:hAnsi="Times New Roman"/>
          <w:sz w:val="24"/>
        </w:rPr>
        <w:t xml:space="preserve"> SENPLADES adquiere relevancia con el 53,5%. </w:t>
      </w:r>
    </w:p>
    <w:p w:rsidR="00C04568" w:rsidRPr="00537D1E" w:rsidRDefault="00343082" w:rsidP="00537D1E">
      <w:pPr>
        <w:pStyle w:val="BodyAA"/>
        <w:spacing w:after="0" w:line="240" w:lineRule="auto"/>
        <w:jc w:val="both"/>
        <w:rPr>
          <w:rFonts w:ascii="Times New Roman" w:eastAsia="Times New Roman" w:hAnsi="Times New Roman" w:cs="Times New Roman"/>
          <w:sz w:val="24"/>
        </w:rPr>
      </w:pPr>
      <w:r w:rsidRPr="00537D1E">
        <w:rPr>
          <w:rFonts w:ascii="Times New Roman" w:hAnsi="Times New Roman"/>
          <w:sz w:val="24"/>
        </w:rPr>
        <w:t xml:space="preserve">Finalmente, la medida de autoridad mide cuán valiosa es la información almacenada en </w:t>
      </w:r>
      <w:r w:rsidRPr="00537D1E">
        <w:rPr>
          <w:rFonts w:ascii="Times New Roman" w:hAnsi="Times New Roman"/>
          <w:sz w:val="24"/>
          <w:u w:color="0432FF"/>
        </w:rPr>
        <w:t>un</w:t>
      </w:r>
      <w:r w:rsidRPr="00537D1E">
        <w:rPr>
          <w:rFonts w:ascii="Times New Roman" w:hAnsi="Times New Roman"/>
          <w:sz w:val="24"/>
        </w:rPr>
        <w:t xml:space="preserve"> nodo, donde </w:t>
      </w:r>
      <w:r w:rsidRPr="00537D1E">
        <w:rPr>
          <w:rFonts w:ascii="Times New Roman" w:hAnsi="Times New Roman"/>
          <w:sz w:val="24"/>
          <w:u w:color="0432FF"/>
        </w:rPr>
        <w:t xml:space="preserve">Prosaneamiento es el nodo que mayor autoridad alcanza con el 20%, seguido de </w:t>
      </w:r>
      <w:r w:rsidRPr="00537D1E">
        <w:rPr>
          <w:rFonts w:ascii="Times New Roman" w:hAnsi="Times New Roman"/>
          <w:sz w:val="24"/>
          <w:u w:color="FF0000"/>
        </w:rPr>
        <w:t xml:space="preserve">la </w:t>
      </w:r>
      <w:r w:rsidRPr="00537D1E">
        <w:rPr>
          <w:rFonts w:ascii="Times New Roman" w:hAnsi="Times New Roman"/>
          <w:sz w:val="24"/>
          <w:u w:color="0432FF"/>
        </w:rPr>
        <w:t xml:space="preserve">“Alianza Estratégica Municipal por el Agua” con un 10%. Prosaneamiento mantiene su medida de autoridad (17,3%) </w:t>
      </w:r>
      <w:r w:rsidRPr="00537D1E">
        <w:rPr>
          <w:rFonts w:ascii="Times New Roman" w:hAnsi="Times New Roman"/>
          <w:sz w:val="24"/>
          <w:u w:color="FF0000"/>
        </w:rPr>
        <w:t xml:space="preserve">en el 2014 junto con la </w:t>
      </w:r>
      <w:r w:rsidRPr="00537D1E">
        <w:rPr>
          <w:rFonts w:ascii="Times New Roman" w:hAnsi="Times New Roman"/>
          <w:sz w:val="24"/>
          <w:u w:color="0432FF"/>
        </w:rPr>
        <w:t>“Propuesta Interinstitucional”</w:t>
      </w:r>
      <w:r w:rsidRPr="00537D1E">
        <w:rPr>
          <w:rFonts w:ascii="Times New Roman" w:hAnsi="Times New Roman"/>
          <w:sz w:val="24"/>
        </w:rPr>
        <w:t xml:space="preserve"> (11,6%) </w:t>
      </w:r>
      <w:r w:rsidRPr="00537D1E">
        <w:rPr>
          <w:rFonts w:ascii="Times New Roman" w:hAnsi="Times New Roman"/>
          <w:sz w:val="24"/>
          <w:u w:color="0432FF"/>
        </w:rPr>
        <w:t>promovida por SENPLADES y SETEP.  Prosaneamiento no pierde autoridad (11,5%) en el 2015 como el principal programa de financiamiento de los GAD para la construcción de obras. Sin embargo, también adquieren autoridad en este año</w:t>
      </w:r>
      <w:r w:rsidRPr="00537D1E">
        <w:rPr>
          <w:rFonts w:ascii="Times New Roman" w:hAnsi="Times New Roman"/>
          <w:sz w:val="24"/>
        </w:rPr>
        <w:t xml:space="preserve"> la ENAS (17,7%) encargada de proporcionar directrices para el sector de agua y saneamiento y la ENIEP (5,2%), como el principal instrumento de política pública para el combate a la pobreza y la desigualdad. </w:t>
      </w:r>
    </w:p>
    <w:p w:rsidR="00C04568" w:rsidRPr="00537D1E" w:rsidRDefault="00C04568" w:rsidP="00537D1E">
      <w:pPr>
        <w:pStyle w:val="SubtitleAA"/>
        <w:rPr>
          <w:color w:val="000000"/>
          <w:sz w:val="26"/>
          <w:u w:color="000000"/>
          <w:lang w:val="es-ES_tradnl"/>
        </w:rPr>
      </w:pPr>
    </w:p>
    <w:p w:rsidR="00C04568" w:rsidRPr="00537D1E" w:rsidRDefault="00343082" w:rsidP="00537D1E">
      <w:pPr>
        <w:pStyle w:val="BodyAA"/>
        <w:spacing w:after="0" w:line="240" w:lineRule="auto"/>
        <w:jc w:val="both"/>
        <w:rPr>
          <w:rFonts w:ascii="Times New Roman" w:eastAsia="Times New Roman" w:hAnsi="Times New Roman" w:cs="Times New Roman"/>
          <w:color w:val="000000" w:themeColor="text1"/>
          <w:sz w:val="24"/>
          <w:u w:color="0432FF"/>
        </w:rPr>
      </w:pPr>
      <w:r w:rsidRPr="00537D1E">
        <w:rPr>
          <w:rFonts w:ascii="Times New Roman" w:hAnsi="Times New Roman"/>
          <w:color w:val="000000" w:themeColor="text1"/>
          <w:sz w:val="24"/>
        </w:rPr>
        <w:t>Dentro</w:t>
      </w:r>
      <w:r w:rsidR="0063604B" w:rsidRPr="00537D1E">
        <w:rPr>
          <w:rFonts w:ascii="Times New Roman" w:hAnsi="Times New Roman"/>
          <w:color w:val="000000" w:themeColor="text1"/>
          <w:sz w:val="24"/>
        </w:rPr>
        <w:t xml:space="preserve"> del análisis cuantitativo, el </w:t>
      </w:r>
      <w:r w:rsidR="00346947">
        <w:rPr>
          <w:rFonts w:ascii="Times New Roman" w:hAnsi="Times New Roman"/>
          <w:color w:val="000000" w:themeColor="text1"/>
          <w:sz w:val="24"/>
        </w:rPr>
        <w:t>p</w:t>
      </w:r>
      <w:r w:rsidR="00A8200D" w:rsidRPr="00537D1E">
        <w:rPr>
          <w:rFonts w:ascii="Times New Roman" w:hAnsi="Times New Roman"/>
          <w:color w:val="000000" w:themeColor="text1"/>
          <w:sz w:val="24"/>
        </w:rPr>
        <w:t>residente</w:t>
      </w:r>
      <w:r w:rsidRPr="00537D1E">
        <w:rPr>
          <w:rFonts w:ascii="Times New Roman" w:hAnsi="Times New Roman"/>
          <w:color w:val="000000" w:themeColor="text1"/>
          <w:sz w:val="24"/>
        </w:rPr>
        <w:t xml:space="preserve"> </w:t>
      </w:r>
      <w:r w:rsidRPr="00537D1E">
        <w:rPr>
          <w:rFonts w:ascii="Times New Roman" w:hAnsi="Times New Roman"/>
          <w:color w:val="000000" w:themeColor="text1"/>
          <w:sz w:val="24"/>
          <w:u w:color="0432FF"/>
        </w:rPr>
        <w:t>no logra en ningún momento un rol central, lo que lo coloca como un elemento exógeno dentro del contexto de la red. Esto lo muestran las</w:t>
      </w:r>
      <w:r w:rsidRPr="00537D1E">
        <w:rPr>
          <w:rFonts w:ascii="Times New Roman" w:hAnsi="Times New Roman"/>
          <w:color w:val="000000" w:themeColor="text1"/>
          <w:sz w:val="24"/>
        </w:rPr>
        <w:t xml:space="preserve"> pocas relaciones de entrada y salida que tiene con otros nodos. Sin embargo, ejerce </w:t>
      </w:r>
      <w:r w:rsidRPr="00537D1E">
        <w:rPr>
          <w:rFonts w:ascii="Times New Roman" w:hAnsi="Times New Roman"/>
          <w:color w:val="000000" w:themeColor="text1"/>
          <w:sz w:val="24"/>
          <w:u w:color="FF0000"/>
        </w:rPr>
        <w:t xml:space="preserve">autoridad política </w:t>
      </w:r>
      <w:r w:rsidRPr="00537D1E">
        <w:rPr>
          <w:rFonts w:ascii="Times New Roman" w:hAnsi="Times New Roman"/>
          <w:color w:val="000000" w:themeColor="text1"/>
          <w:sz w:val="24"/>
        </w:rPr>
        <w:t>y transforma la política pública a través de relaciones de influencia y dominación, ejerciendo el poder político necesario para favorecer el cambio de primer orden de la política. El análisis de grafos ilumina el fenómeno del mecanismo de impacto exógeno, como un fenómeno externo a las relaciones que se establecen entre los actores de las redes de política</w:t>
      </w:r>
      <w:r w:rsidRPr="00537D1E">
        <w:rPr>
          <w:rFonts w:ascii="Times New Roman" w:hAnsi="Times New Roman"/>
          <w:color w:val="000000" w:themeColor="text1"/>
          <w:sz w:val="24"/>
          <w:u w:color="0432FF"/>
        </w:rPr>
        <w:t>.</w:t>
      </w:r>
    </w:p>
    <w:p w:rsidR="00C04568" w:rsidRPr="00537D1E" w:rsidRDefault="00C04568" w:rsidP="00537D1E">
      <w:pPr>
        <w:pStyle w:val="BodyA"/>
        <w:spacing w:after="0" w:line="240" w:lineRule="auto"/>
        <w:jc w:val="both"/>
        <w:rPr>
          <w:rFonts w:ascii="Times New Roman" w:eastAsia="Times New Roman" w:hAnsi="Times New Roman" w:cs="Times New Roman"/>
          <w:szCs w:val="20"/>
        </w:rPr>
      </w:pPr>
    </w:p>
    <w:p w:rsidR="00C04568" w:rsidRPr="00537D1E" w:rsidRDefault="00343082" w:rsidP="00537D1E">
      <w:pPr>
        <w:pStyle w:val="BodyA"/>
        <w:spacing w:line="240" w:lineRule="auto"/>
        <w:jc w:val="both"/>
        <w:rPr>
          <w:rFonts w:ascii="Times New Roman" w:eastAsia="Times New Roman" w:hAnsi="Times New Roman" w:cs="Times New Roman"/>
          <w:color w:val="000000" w:themeColor="text1"/>
          <w:sz w:val="24"/>
          <w:u w:color="0432FF"/>
        </w:rPr>
      </w:pPr>
      <w:r w:rsidRPr="00537D1E">
        <w:rPr>
          <w:rFonts w:ascii="Times New Roman" w:hAnsi="Times New Roman"/>
          <w:sz w:val="24"/>
          <w:u w:color="0432FF"/>
        </w:rPr>
        <w:t xml:space="preserve">Para </w:t>
      </w:r>
      <w:r w:rsidR="0063604B" w:rsidRPr="00537D1E">
        <w:rPr>
          <w:rFonts w:ascii="Times New Roman" w:hAnsi="Times New Roman"/>
          <w:sz w:val="24"/>
          <w:u w:color="0432FF"/>
        </w:rPr>
        <w:t xml:space="preserve">explicar cómo la autoridad del </w:t>
      </w:r>
      <w:r w:rsidR="00821CE7" w:rsidRPr="00537D1E">
        <w:rPr>
          <w:rFonts w:ascii="Times New Roman" w:hAnsi="Times New Roman"/>
          <w:color w:val="000000" w:themeColor="text1"/>
          <w:sz w:val="24"/>
          <w:u w:color="0432FF"/>
        </w:rPr>
        <w:t xml:space="preserve">presidente </w:t>
      </w:r>
      <w:r w:rsidRPr="00537D1E">
        <w:rPr>
          <w:rFonts w:ascii="Times New Roman" w:hAnsi="Times New Roman"/>
          <w:sz w:val="24"/>
          <w:u w:color="0432FF"/>
        </w:rPr>
        <w:t xml:space="preserve">es capaz de transformar la red y de generar el cambio de la política pública, recurrimos a la propuesta de Knoke sobre cómo funciona el poder político </w:t>
      </w:r>
      <w:r w:rsidRPr="00537D1E">
        <w:rPr>
          <w:rFonts w:ascii="Times New Roman" w:hAnsi="Times New Roman"/>
          <w:color w:val="000000" w:themeColor="text1"/>
          <w:sz w:val="24"/>
          <w:u w:color="0432FF"/>
        </w:rPr>
        <w:t>dentro de las interacciones entre los actores de una red de polí</w:t>
      </w:r>
      <w:r w:rsidRPr="00537D1E">
        <w:rPr>
          <w:rFonts w:ascii="Times New Roman" w:hAnsi="Times New Roman"/>
          <w:color w:val="000000" w:themeColor="text1"/>
          <w:sz w:val="24"/>
          <w:u w:color="0432FF"/>
          <w:lang w:val="it-IT"/>
        </w:rPr>
        <w:t>tica (1993)</w:t>
      </w:r>
      <w:r w:rsidRPr="00537D1E">
        <w:rPr>
          <w:rFonts w:ascii="Times New Roman" w:hAnsi="Times New Roman"/>
          <w:color w:val="000000" w:themeColor="text1"/>
          <w:sz w:val="24"/>
          <w:u w:color="0432FF"/>
        </w:rPr>
        <w:t xml:space="preserve">. Puesto que dentro de nuestro análisis cuantitativo son otros los actores, y no el </w:t>
      </w:r>
      <w:r w:rsidR="009C1B7F">
        <w:rPr>
          <w:rFonts w:ascii="Times New Roman" w:hAnsi="Times New Roman"/>
          <w:color w:val="000000" w:themeColor="text1"/>
          <w:sz w:val="24"/>
          <w:u w:color="0432FF"/>
        </w:rPr>
        <w:t>p</w:t>
      </w:r>
      <w:r w:rsidR="00821CE7" w:rsidRPr="00537D1E">
        <w:rPr>
          <w:rFonts w:ascii="Times New Roman" w:hAnsi="Times New Roman"/>
          <w:color w:val="000000" w:themeColor="text1"/>
          <w:sz w:val="24"/>
          <w:u w:color="0432FF"/>
        </w:rPr>
        <w:t>residente</w:t>
      </w:r>
      <w:r w:rsidRPr="00537D1E">
        <w:rPr>
          <w:rFonts w:ascii="Times New Roman" w:hAnsi="Times New Roman"/>
          <w:color w:val="000000" w:themeColor="text1"/>
          <w:sz w:val="24"/>
          <w:u w:color="0432FF"/>
        </w:rPr>
        <w:t xml:space="preserve">, los que alcanzan mayores medidas de intermediación, cercanía y autoridad, es fundamental explicar las relaciones de poder que ocurren dentro de la red para mostrar cómo la autoridad política funciona como un factor exógeno de la red capaz de cambiar la política de agua y saneamiento. Vemos cómo el </w:t>
      </w:r>
      <w:r w:rsidR="00821CE7" w:rsidRPr="00537D1E">
        <w:rPr>
          <w:rFonts w:ascii="Times New Roman" w:hAnsi="Times New Roman"/>
          <w:color w:val="000000" w:themeColor="text1"/>
          <w:sz w:val="24"/>
          <w:u w:color="0432FF"/>
        </w:rPr>
        <w:t>p</w:t>
      </w:r>
      <w:r w:rsidR="00A8200D" w:rsidRPr="00537D1E">
        <w:rPr>
          <w:rFonts w:ascii="Times New Roman" w:hAnsi="Times New Roman"/>
          <w:color w:val="000000" w:themeColor="text1"/>
          <w:sz w:val="24"/>
          <w:u w:color="0432FF"/>
        </w:rPr>
        <w:t>residente</w:t>
      </w:r>
      <w:r w:rsidRPr="00537D1E">
        <w:rPr>
          <w:rFonts w:ascii="Times New Roman" w:hAnsi="Times New Roman"/>
          <w:color w:val="000000" w:themeColor="text1"/>
          <w:sz w:val="24"/>
          <w:u w:color="0432FF"/>
        </w:rPr>
        <w:t xml:space="preserve"> tiene la capacidad de tomar decisiones que moldean el núcleo de decisiones del subsistema en el que la política se diseña, y de sacar el proceso de toma de decisiones fuera de la arena de acción en donde está ubicado (Real Dato, 2009). Así, la autoridad política se constituye en la “restricción” más importante del contexto de la política pública (Marsh y Smith, 2000).</w:t>
      </w:r>
    </w:p>
    <w:p w:rsidR="00C04568" w:rsidRPr="00537D1E" w:rsidRDefault="00343082" w:rsidP="00537D1E">
      <w:pPr>
        <w:pStyle w:val="BodyA"/>
        <w:spacing w:line="240" w:lineRule="auto"/>
        <w:jc w:val="both"/>
        <w:rPr>
          <w:rFonts w:ascii="Times New Roman" w:eastAsia="Times New Roman" w:hAnsi="Times New Roman" w:cs="Times New Roman"/>
          <w:sz w:val="24"/>
        </w:rPr>
      </w:pPr>
      <w:r w:rsidRPr="00537D1E">
        <w:rPr>
          <w:rFonts w:ascii="Times New Roman" w:hAnsi="Times New Roman"/>
          <w:sz w:val="24"/>
          <w:u w:color="0432FF"/>
        </w:rPr>
        <w:t xml:space="preserve">Para explicar cómo se realiza el cambio de la política pública se ha procedido a analizar las distintas agendas de las redes de política dentro de la trayectoria de la política pública. Estas agendas nos permiten contrastar con mayor precisión cuáles son las relaciones de influencia y dominación que ejercen los distintos actores para lograr el poder político necesario para el cambio de la política pública. En este sentido, rastreamos las ideas programáticas contenidas en las agendas de las redes de política y mapeamos las negociaciones que logran estabilizar unas ideas sobre otras. Por ejemplo, vemos que el agua se asocia a calidad de vida dentro del “Acuerdo Nacional para el Buen Vivir”, al financiamiento desde “Prosaneamiento”, a la gestión eficiente dentro de la “Alianza Estratégica Municipal por el Agua” a la cobertura, gestión y calidad en la “Propuesta Institucional”, a la dificultad de alcanzar las metas propuestas para el 2017, y finalmente, a la eliminación de subsidios “desde la postura del </w:t>
      </w:r>
      <w:r w:rsidR="009C1B7F">
        <w:rPr>
          <w:rFonts w:ascii="Times New Roman" w:hAnsi="Times New Roman"/>
          <w:sz w:val="24"/>
          <w:u w:color="0432FF"/>
        </w:rPr>
        <w:t>p</w:t>
      </w:r>
      <w:r w:rsidR="00A8200D" w:rsidRPr="00537D1E">
        <w:rPr>
          <w:rFonts w:ascii="Times New Roman" w:hAnsi="Times New Roman"/>
          <w:sz w:val="24"/>
          <w:u w:color="0432FF"/>
        </w:rPr>
        <w:t>residente</w:t>
      </w:r>
      <w:r w:rsidRPr="00537D1E">
        <w:rPr>
          <w:rFonts w:ascii="Times New Roman" w:hAnsi="Times New Roman"/>
          <w:sz w:val="24"/>
          <w:u w:color="0432FF"/>
        </w:rPr>
        <w:t xml:space="preserve">”. Sin </w:t>
      </w:r>
      <w:r w:rsidRPr="00537D1E">
        <w:rPr>
          <w:rFonts w:ascii="Times New Roman" w:hAnsi="Times New Roman"/>
          <w:sz w:val="24"/>
          <w:u w:color="0432FF"/>
        </w:rPr>
        <w:lastRenderedPageBreak/>
        <w:t>embargo, son las relaciones de influencia y dominación las que nos permiten explicar cómo las agendas son negociadas y quiénes imponen sus ideas programáticas.</w:t>
      </w:r>
    </w:p>
    <w:p w:rsidR="00C04568" w:rsidRPr="00537D1E" w:rsidRDefault="00343082" w:rsidP="00537D1E">
      <w:pPr>
        <w:pStyle w:val="Sinespaciado"/>
        <w:tabs>
          <w:tab w:val="left" w:pos="690"/>
        </w:tabs>
        <w:jc w:val="both"/>
        <w:rPr>
          <w:rFonts w:ascii="Times New Roman" w:eastAsia="Times New Roman" w:hAnsi="Times New Roman" w:cs="Times New Roman"/>
          <w:sz w:val="24"/>
        </w:rPr>
      </w:pPr>
      <w:r w:rsidRPr="00537D1E">
        <w:rPr>
          <w:rFonts w:ascii="Times New Roman" w:hAnsi="Times New Roman"/>
          <w:sz w:val="24"/>
        </w:rPr>
        <w:t>Entre 2008 y 2013 los actores mantienen relaciones funcionales sustentadas en las responsabilidades asignadas a partir del cambio Constitucional de 2008. Así el B</w:t>
      </w:r>
      <w:r w:rsidR="00721A59">
        <w:rPr>
          <w:rFonts w:ascii="Times New Roman" w:hAnsi="Times New Roman"/>
          <w:sz w:val="24"/>
        </w:rPr>
        <w:t>dE</w:t>
      </w:r>
      <w:r w:rsidRPr="00537D1E">
        <w:rPr>
          <w:rFonts w:ascii="Times New Roman" w:hAnsi="Times New Roman"/>
          <w:sz w:val="24"/>
        </w:rPr>
        <w:t xml:space="preserve"> ofrece algunas líneas de crédito aisladas y canaliza los recursos negociados con el MEF y con organismos internacionales. El MAE y el MIDUVI se encargan de la revisión de los proyectos a nivel técnico y ambiental, respectivamente y el MIDUVI ejerce un rol débil sin asumir la rectoría de esta política. Por otro lado,  la AME mantiene relaciones de influencia con el </w:t>
      </w:r>
      <w:r w:rsidR="009C1B7F">
        <w:rPr>
          <w:rFonts w:ascii="Times New Roman" w:hAnsi="Times New Roman"/>
          <w:sz w:val="24"/>
        </w:rPr>
        <w:t>p</w:t>
      </w:r>
      <w:r w:rsidR="00A8200D" w:rsidRPr="00537D1E">
        <w:rPr>
          <w:rFonts w:ascii="Times New Roman" w:hAnsi="Times New Roman"/>
          <w:sz w:val="24"/>
        </w:rPr>
        <w:t>residente</w:t>
      </w:r>
      <w:r w:rsidRPr="00537D1E">
        <w:rPr>
          <w:rFonts w:ascii="Times New Roman" w:hAnsi="Times New Roman"/>
          <w:sz w:val="24"/>
        </w:rPr>
        <w:t xml:space="preserve"> para la suscripción del Acuerdo Nacional para el Buen Vivir, con las empresas de saneamiento más importantes del país para la generación de la Alianza Estratégica Municipal por el Agua, y con la SENPLADES para la incorporación de las metas basadas en la ampliación de la cobertura de estos servicios dentro del Plan de Desarrollo. </w:t>
      </w:r>
    </w:p>
    <w:p w:rsidR="00C04568" w:rsidRPr="00537D1E" w:rsidRDefault="00C04568" w:rsidP="00537D1E">
      <w:pPr>
        <w:pStyle w:val="Sinespaciado"/>
        <w:tabs>
          <w:tab w:val="left" w:pos="690"/>
        </w:tabs>
        <w:jc w:val="both"/>
        <w:rPr>
          <w:rFonts w:ascii="Times New Roman" w:eastAsia="Times New Roman" w:hAnsi="Times New Roman" w:cs="Times New Roman"/>
          <w:sz w:val="24"/>
        </w:rPr>
      </w:pPr>
    </w:p>
    <w:p w:rsidR="00C04568" w:rsidRPr="00537D1E" w:rsidRDefault="00343082" w:rsidP="00537D1E">
      <w:pPr>
        <w:pStyle w:val="Sinespaciado"/>
        <w:tabs>
          <w:tab w:val="left" w:pos="690"/>
        </w:tabs>
        <w:jc w:val="both"/>
        <w:rPr>
          <w:rFonts w:ascii="Times New Roman" w:eastAsia="Times New Roman" w:hAnsi="Times New Roman" w:cs="Times New Roman"/>
          <w:sz w:val="24"/>
        </w:rPr>
      </w:pPr>
      <w:r w:rsidRPr="00537D1E">
        <w:rPr>
          <w:rFonts w:ascii="Times New Roman" w:hAnsi="Times New Roman"/>
          <w:sz w:val="24"/>
        </w:rPr>
        <w:t xml:space="preserve">En el 2014, la SETEP y la SENPLADES generan alianzas con varios actores en torno a la </w:t>
      </w:r>
      <w:r w:rsidR="008C402F" w:rsidRPr="00537D1E">
        <w:rPr>
          <w:rFonts w:ascii="Times New Roman" w:hAnsi="Times New Roman"/>
          <w:sz w:val="24"/>
        </w:rPr>
        <w:t>“</w:t>
      </w:r>
      <w:r w:rsidRPr="00537D1E">
        <w:rPr>
          <w:rFonts w:ascii="Times New Roman" w:hAnsi="Times New Roman"/>
          <w:sz w:val="24"/>
        </w:rPr>
        <w:t>Propuesta interinstitucional</w:t>
      </w:r>
      <w:r w:rsidR="008C402F" w:rsidRPr="00537D1E">
        <w:rPr>
          <w:rFonts w:ascii="Times New Roman" w:hAnsi="Times New Roman"/>
          <w:sz w:val="24"/>
        </w:rPr>
        <w:t>”</w:t>
      </w:r>
      <w:r w:rsidRPr="00537D1E">
        <w:rPr>
          <w:rFonts w:ascii="Times New Roman" w:hAnsi="Times New Roman"/>
          <w:sz w:val="24"/>
        </w:rPr>
        <w:t xml:space="preserve">, basada en la idea programática de cobertura, gestión y calidad. Para ello, utilizan la persuasión logrando agrupar a la AME como representante de los </w:t>
      </w:r>
      <w:r w:rsidR="009E1A1B" w:rsidRPr="00537D1E">
        <w:rPr>
          <w:rFonts w:ascii="Times New Roman" w:hAnsi="Times New Roman"/>
          <w:sz w:val="24"/>
        </w:rPr>
        <w:t>GAD</w:t>
      </w:r>
      <w:r w:rsidRPr="00537D1E">
        <w:rPr>
          <w:rFonts w:ascii="Times New Roman" w:hAnsi="Times New Roman"/>
          <w:sz w:val="24"/>
        </w:rPr>
        <w:t xml:space="preserve">, al </w:t>
      </w:r>
      <w:r w:rsidRPr="00537D1E">
        <w:rPr>
          <w:rFonts w:ascii="Times New Roman" w:hAnsi="Times New Roman"/>
          <w:sz w:val="24"/>
          <w:u w:color="FF0000"/>
        </w:rPr>
        <w:t xml:space="preserve">Ministerio Coordinador de Desarrollo Social (MCDS) y al Ministerio de Salud Pública (MSP) </w:t>
      </w:r>
      <w:r w:rsidRPr="00537D1E">
        <w:rPr>
          <w:rFonts w:ascii="Times New Roman" w:hAnsi="Times New Roman"/>
          <w:sz w:val="24"/>
        </w:rPr>
        <w:t xml:space="preserve">del sector social, y a SENAGUA y al MAE como actores involucrados en la revisión de los proyectos de agua y saneamiento. Incluso incorporan a la Secretaría Nacional de Gestión de la Política con la finalidad de elevar la propuesta interinstitucional. Igualmente, se establecen relaciones entre la SETEP, el Banco del Estado y el MEF, dentro del trabajo técnico desarrollado para el cambio de las metas nacionales en el marco de los limitantes para su cumplimiento. </w:t>
      </w:r>
    </w:p>
    <w:p w:rsidR="00C04568" w:rsidRPr="00537D1E" w:rsidRDefault="00C04568" w:rsidP="00537D1E">
      <w:pPr>
        <w:pStyle w:val="Sinespaciado"/>
        <w:jc w:val="both"/>
        <w:rPr>
          <w:rFonts w:ascii="Times New Roman" w:eastAsia="Times New Roman" w:hAnsi="Times New Roman" w:cs="Times New Roman"/>
          <w:sz w:val="24"/>
        </w:rPr>
      </w:pPr>
    </w:p>
    <w:p w:rsidR="00C04568" w:rsidRPr="00537D1E" w:rsidRDefault="00343082" w:rsidP="00537D1E">
      <w:pPr>
        <w:pStyle w:val="Sinespaciado"/>
        <w:tabs>
          <w:tab w:val="left" w:pos="690"/>
        </w:tabs>
        <w:jc w:val="both"/>
        <w:rPr>
          <w:rFonts w:ascii="Times New Roman" w:eastAsia="Times New Roman" w:hAnsi="Times New Roman" w:cs="Times New Roman"/>
          <w:sz w:val="24"/>
        </w:rPr>
      </w:pPr>
      <w:r w:rsidRPr="00537D1E">
        <w:rPr>
          <w:rFonts w:ascii="Times New Roman" w:hAnsi="Times New Roman"/>
          <w:sz w:val="24"/>
        </w:rPr>
        <w:t xml:space="preserve">En el 2015 se mantienen las relaciones funcionales entre los actores involucrados en la política. No obstante, lo novedoso en este año es la construcción de la ENAS, que genera relaciones de influencia para adherir un mayor número de actores bajo la idea programática de contar con orientaciones desde la perspectiva sectorial. La ENAS permite la articulación de organismos internacionales, gobiernos locales por medio de la AME y JAAPS, y actores del ejecutivo relacionados con la planificación, asignación de recursos,  regulación y control. </w:t>
      </w:r>
    </w:p>
    <w:p w:rsidR="00C04568" w:rsidRPr="00537D1E" w:rsidRDefault="00C04568" w:rsidP="00537D1E">
      <w:pPr>
        <w:pStyle w:val="Sinespaciado"/>
        <w:jc w:val="both"/>
        <w:rPr>
          <w:rFonts w:ascii="Times New Roman" w:eastAsia="Times New Roman" w:hAnsi="Times New Roman" w:cs="Times New Roman"/>
          <w:sz w:val="24"/>
        </w:rPr>
      </w:pPr>
    </w:p>
    <w:p w:rsidR="00C04568" w:rsidRDefault="00343082" w:rsidP="00537D1E">
      <w:pPr>
        <w:pStyle w:val="Sinespaciado"/>
        <w:tabs>
          <w:tab w:val="left" w:pos="690"/>
        </w:tabs>
        <w:jc w:val="both"/>
        <w:rPr>
          <w:rFonts w:ascii="Times New Roman" w:hAnsi="Times New Roman"/>
          <w:sz w:val="24"/>
          <w:u w:color="0432FF"/>
        </w:rPr>
      </w:pPr>
      <w:r w:rsidRPr="00537D1E">
        <w:rPr>
          <w:rFonts w:ascii="Times New Roman" w:hAnsi="Times New Roman"/>
          <w:sz w:val="24"/>
          <w:u w:color="0432FF"/>
        </w:rPr>
        <w:t xml:space="preserve">Las redes de política manejan relaciones de influencia entre sí para estabilizar la implementación de la política. La figura del </w:t>
      </w:r>
      <w:r w:rsidR="009C1B7F">
        <w:rPr>
          <w:rFonts w:ascii="Times New Roman" w:hAnsi="Times New Roman"/>
          <w:sz w:val="24"/>
          <w:u w:color="0432FF"/>
        </w:rPr>
        <w:t>p</w:t>
      </w:r>
      <w:r w:rsidR="00A8200D" w:rsidRPr="00537D1E">
        <w:rPr>
          <w:rFonts w:ascii="Times New Roman" w:hAnsi="Times New Roman"/>
          <w:sz w:val="24"/>
          <w:u w:color="0432FF"/>
        </w:rPr>
        <w:t>residente</w:t>
      </w:r>
      <w:r w:rsidRPr="00537D1E">
        <w:rPr>
          <w:rFonts w:ascii="Times New Roman" w:hAnsi="Times New Roman"/>
          <w:sz w:val="24"/>
          <w:u w:color="0432FF"/>
        </w:rPr>
        <w:t xml:space="preserve"> funciona como un mecanismo de impacto exógeno a la red</w:t>
      </w:r>
      <w:r w:rsidRPr="00537D1E">
        <w:rPr>
          <w:rFonts w:ascii="Times New Roman" w:hAnsi="Times New Roman"/>
          <w:sz w:val="24"/>
        </w:rPr>
        <w:t xml:space="preserve"> </w:t>
      </w:r>
      <w:r w:rsidRPr="00537D1E">
        <w:rPr>
          <w:rFonts w:ascii="Times New Roman" w:hAnsi="Times New Roman"/>
          <w:sz w:val="24"/>
          <w:u w:color="0432FF"/>
        </w:rPr>
        <w:t xml:space="preserve">produciendo el cambio de la política. El poder autoritario (Knoke, 1993: 166) del </w:t>
      </w:r>
      <w:r w:rsidR="009C1B7F">
        <w:rPr>
          <w:rFonts w:ascii="Times New Roman" w:hAnsi="Times New Roman"/>
          <w:sz w:val="24"/>
          <w:u w:color="0432FF"/>
        </w:rPr>
        <w:t>p</w:t>
      </w:r>
      <w:r w:rsidR="00A8200D" w:rsidRPr="00537D1E">
        <w:rPr>
          <w:rFonts w:ascii="Times New Roman" w:hAnsi="Times New Roman"/>
          <w:sz w:val="24"/>
          <w:u w:color="0432FF"/>
        </w:rPr>
        <w:t>residente</w:t>
      </w:r>
      <w:r w:rsidRPr="00537D1E">
        <w:rPr>
          <w:rFonts w:ascii="Times New Roman" w:hAnsi="Times New Roman"/>
          <w:sz w:val="24"/>
          <w:u w:color="0432FF"/>
        </w:rPr>
        <w:t xml:space="preserve"> hace que las redes de política se subordinen jerárquicamente al ámbito de acción de la presidencia al combinar elementos de influencia y de dominación. Primero, promueve el otorgamiento de créditos subsidiados a los GAD a través del Banco del Estado, para luego instaurar la eliminación del componente no reembolsable. Este giro provoca el cambio de la política pública al restringir los recursos que los GAD contaban para ejecutar la política pública.</w:t>
      </w:r>
    </w:p>
    <w:p w:rsidR="00C04568" w:rsidRPr="00537D1E" w:rsidRDefault="00343082" w:rsidP="00537D1E">
      <w:pPr>
        <w:pStyle w:val="SubtitleAA"/>
        <w:rPr>
          <w:color w:val="000000"/>
          <w:sz w:val="26"/>
          <w:u w:color="000000"/>
          <w:lang w:val="es-ES_tradnl"/>
        </w:rPr>
      </w:pPr>
      <w:r w:rsidRPr="00537D1E">
        <w:rPr>
          <w:color w:val="000000"/>
          <w:sz w:val="26"/>
          <w:u w:color="0432FF"/>
          <w:lang w:val="es-ES_tradnl"/>
        </w:rPr>
        <w:t xml:space="preserve"> </w:t>
      </w:r>
    </w:p>
    <w:p w:rsidR="00C04568" w:rsidRPr="00537D1E" w:rsidRDefault="00343082" w:rsidP="00537D1E">
      <w:pPr>
        <w:pStyle w:val="Ttulo1"/>
        <w:spacing w:before="0" w:line="240" w:lineRule="auto"/>
        <w:rPr>
          <w:rFonts w:ascii="Times New Roman" w:eastAsia="Times New Roman" w:hAnsi="Times New Roman" w:cs="Times New Roman"/>
          <w:b w:val="0"/>
          <w:bCs w:val="0"/>
          <w:i/>
          <w:iCs/>
          <w:color w:val="000000"/>
          <w:sz w:val="24"/>
          <w:szCs w:val="22"/>
          <w:u w:color="000000"/>
        </w:rPr>
      </w:pPr>
      <w:r w:rsidRPr="00537D1E">
        <w:rPr>
          <w:rFonts w:ascii="Times New Roman" w:hAnsi="Times New Roman"/>
          <w:b w:val="0"/>
          <w:bCs w:val="0"/>
          <w:i/>
          <w:iCs/>
          <w:color w:val="000000"/>
          <w:sz w:val="24"/>
          <w:szCs w:val="22"/>
          <w:u w:color="000000"/>
        </w:rPr>
        <w:t xml:space="preserve">Red y resultado </w:t>
      </w:r>
    </w:p>
    <w:p w:rsidR="00C04568" w:rsidRPr="00537D1E" w:rsidRDefault="00C04568" w:rsidP="00537D1E">
      <w:pPr>
        <w:pStyle w:val="Sinespaciado"/>
        <w:rPr>
          <w:rFonts w:ascii="Times New Roman" w:eastAsia="Times New Roman" w:hAnsi="Times New Roman" w:cs="Times New Roman"/>
          <w:sz w:val="24"/>
        </w:rPr>
      </w:pPr>
    </w:p>
    <w:p w:rsidR="00C04568" w:rsidRPr="00537D1E" w:rsidRDefault="00343082" w:rsidP="00537D1E">
      <w:pPr>
        <w:pStyle w:val="BodyA"/>
        <w:spacing w:after="0" w:line="240" w:lineRule="auto"/>
        <w:jc w:val="both"/>
        <w:rPr>
          <w:rFonts w:ascii="Times New Roman" w:eastAsia="Times New Roman" w:hAnsi="Times New Roman" w:cs="Times New Roman"/>
          <w:sz w:val="24"/>
        </w:rPr>
      </w:pPr>
      <w:r w:rsidRPr="00537D1E">
        <w:rPr>
          <w:rFonts w:ascii="Times New Roman" w:hAnsi="Times New Roman"/>
          <w:sz w:val="24"/>
        </w:rPr>
        <w:t xml:space="preserve">Los productos de la política reflejan una relación dialéctica entre la estructura de la red y sus interacciones, y no constituye la simple suma de los efectos de las estructuras y sus agentes (Marsh y Smith, 2000). “Considerando que no existe un vínculo causal unidireccional entre redes y resultados, las redes pueden afectar los resultados de las </w:t>
      </w:r>
      <w:r w:rsidRPr="00537D1E">
        <w:rPr>
          <w:rFonts w:ascii="Times New Roman" w:hAnsi="Times New Roman"/>
          <w:sz w:val="24"/>
        </w:rPr>
        <w:lastRenderedPageBreak/>
        <w:t>políticas ya que constituyen la estructuración de los conflictos del pasado y el poder organizacional del presente. En este nivel los aprendizajes estratégicos se convierten en un mecanismo de acción muy efectivo” (Albornoz, 2015: 177).</w:t>
      </w:r>
    </w:p>
    <w:p w:rsidR="00C04568" w:rsidRPr="00537D1E" w:rsidRDefault="00C04568" w:rsidP="00537D1E">
      <w:pPr>
        <w:pStyle w:val="BodyA"/>
        <w:spacing w:after="0" w:line="240" w:lineRule="auto"/>
        <w:jc w:val="both"/>
        <w:rPr>
          <w:rFonts w:ascii="Times New Roman" w:eastAsia="Times New Roman" w:hAnsi="Times New Roman" w:cs="Times New Roman"/>
          <w:sz w:val="24"/>
        </w:rPr>
      </w:pPr>
    </w:p>
    <w:p w:rsidR="00C04568" w:rsidRDefault="00343082" w:rsidP="00537D1E">
      <w:pPr>
        <w:pStyle w:val="BodyA"/>
        <w:spacing w:after="0" w:line="240" w:lineRule="auto"/>
        <w:jc w:val="both"/>
        <w:rPr>
          <w:rFonts w:ascii="Times New Roman" w:hAnsi="Times New Roman"/>
          <w:sz w:val="24"/>
          <w:u w:color="FF0000"/>
          <w:lang w:val="pt-PT"/>
        </w:rPr>
      </w:pPr>
      <w:r w:rsidRPr="00537D1E">
        <w:rPr>
          <w:rFonts w:ascii="Times New Roman" w:hAnsi="Times New Roman"/>
          <w:sz w:val="24"/>
        </w:rPr>
        <w:t>A</w:t>
      </w:r>
      <w:r w:rsidRPr="00537D1E">
        <w:rPr>
          <w:rFonts w:ascii="Times New Roman" w:hAnsi="Times New Roman"/>
          <w:sz w:val="24"/>
          <w:u w:color="FF0000"/>
        </w:rPr>
        <w:t>nalizamos los elementos que influyen para alcanzar el cambio de la política, e</w:t>
      </w:r>
      <w:r w:rsidRPr="00537D1E">
        <w:rPr>
          <w:rFonts w:ascii="Times New Roman" w:hAnsi="Times New Roman"/>
          <w:sz w:val="24"/>
          <w:u w:color="FF0000"/>
          <w:lang w:val="pt-PT"/>
        </w:rPr>
        <w:t>ntendiendo la transformación de la política pública como resultado de un proceso social y político que ocurre en un período de tiempo determinado (Rayner, 2009: 83). A</w:t>
      </w:r>
      <w:r w:rsidRPr="00537D1E">
        <w:rPr>
          <w:rFonts w:ascii="Times New Roman" w:hAnsi="Times New Roman"/>
          <w:sz w:val="24"/>
          <w:u w:color="FF0000"/>
        </w:rPr>
        <w:t>l tiempo que explicamos las afectaciones que este resultado tiene sobre los actores, sus posiciones y procesos de toma de decisión. Igualmente</w:t>
      </w:r>
      <w:r w:rsidRPr="00537D1E">
        <w:rPr>
          <w:rFonts w:ascii="Times New Roman" w:hAnsi="Times New Roman"/>
          <w:sz w:val="24"/>
          <w:u w:color="FF0000"/>
          <w:lang w:val="pt-PT"/>
        </w:rPr>
        <w:t xml:space="preserve"> analizamos la evolución de las aprobaciones crediticias para el sector de agua y saneamiento desde el BdE, con la finalidad de determinar si después del cambio de política existe alguna variación en cuanto a la participación de este sector frente al total de sectores financiados. </w:t>
      </w:r>
    </w:p>
    <w:p w:rsidR="004D72FD" w:rsidRPr="00537D1E" w:rsidRDefault="004D72FD" w:rsidP="00537D1E">
      <w:pPr>
        <w:pStyle w:val="BodyA"/>
        <w:spacing w:after="0" w:line="240" w:lineRule="auto"/>
        <w:jc w:val="both"/>
        <w:rPr>
          <w:rFonts w:ascii="Times New Roman" w:eastAsia="Times New Roman" w:hAnsi="Times New Roman" w:cs="Times New Roman"/>
          <w:sz w:val="24"/>
          <w:u w:color="FF0000"/>
        </w:rPr>
      </w:pPr>
    </w:p>
    <w:p w:rsidR="00C04568" w:rsidRPr="00537D1E" w:rsidRDefault="00343082" w:rsidP="00537D1E">
      <w:pPr>
        <w:pStyle w:val="BodyA"/>
        <w:spacing w:after="0" w:line="240" w:lineRule="auto"/>
        <w:jc w:val="both"/>
        <w:rPr>
          <w:rFonts w:ascii="Times New Roman" w:eastAsia="Times New Roman" w:hAnsi="Times New Roman" w:cs="Times New Roman"/>
          <w:sz w:val="24"/>
          <w:u w:color="0432FF"/>
        </w:rPr>
      </w:pPr>
      <w:r w:rsidRPr="00537D1E">
        <w:rPr>
          <w:rFonts w:ascii="Times New Roman" w:hAnsi="Times New Roman"/>
          <w:sz w:val="24"/>
          <w:u w:color="0432FF"/>
        </w:rPr>
        <w:t xml:space="preserve">Nuestro caso tiene las características de un cambio incremental de primer orden propuesto por Hall (1993), ya que se limita a la calibración del instrumento de la política pública </w:t>
      </w:r>
      <w:r w:rsidRPr="00537D1E">
        <w:rPr>
          <w:rFonts w:ascii="Times New Roman" w:hAnsi="Times New Roman"/>
          <w:sz w:val="24"/>
          <w:u w:color="FF0000"/>
        </w:rPr>
        <w:t>siguiendo un proceso evolucionario</w:t>
      </w:r>
      <w:r w:rsidRPr="00537D1E">
        <w:rPr>
          <w:rFonts w:ascii="Times New Roman" w:hAnsi="Times New Roman"/>
          <w:sz w:val="24"/>
          <w:u w:color="0432FF"/>
        </w:rPr>
        <w:t xml:space="preserve">. Se trata también de un cambio no lineal en el que la política tiene un comportamiento irregular e inesperado, pues no sigue una secuencia preestablecida (Capano, 2009: 12). La intervención del </w:t>
      </w:r>
      <w:r w:rsidR="009C1B7F">
        <w:rPr>
          <w:rFonts w:ascii="Times New Roman" w:hAnsi="Times New Roman"/>
          <w:sz w:val="24"/>
          <w:u w:color="0432FF"/>
        </w:rPr>
        <w:t>p</w:t>
      </w:r>
      <w:r w:rsidR="00A8200D" w:rsidRPr="00537D1E">
        <w:rPr>
          <w:rFonts w:ascii="Times New Roman" w:hAnsi="Times New Roman"/>
          <w:sz w:val="24"/>
          <w:u w:color="0432FF"/>
        </w:rPr>
        <w:t>residente</w:t>
      </w:r>
      <w:r w:rsidRPr="00537D1E">
        <w:rPr>
          <w:rFonts w:ascii="Times New Roman" w:hAnsi="Times New Roman"/>
          <w:sz w:val="24"/>
          <w:u w:color="0432FF"/>
        </w:rPr>
        <w:t xml:space="preserve"> y el uso de sus relaciones de influencia y dominación sobre las redes de política se explica a través del uso del poder autoritario (Knoke, 1993) y de la lógica de lo adecuado (</w:t>
      </w:r>
      <w:r w:rsidRPr="00537D1E">
        <w:rPr>
          <w:rFonts w:ascii="Times New Roman" w:hAnsi="Times New Roman"/>
          <w:sz w:val="24"/>
          <w:u w:color="0432FF"/>
          <w:lang w:val="it-IT"/>
        </w:rPr>
        <w:t>Real Dato, 2009</w:t>
      </w:r>
      <w:r w:rsidRPr="00537D1E">
        <w:rPr>
          <w:rFonts w:ascii="Times New Roman" w:hAnsi="Times New Roman"/>
          <w:sz w:val="24"/>
          <w:u w:color="0432FF"/>
        </w:rPr>
        <w:t>) para eliminar el componente no reembolsable de Prosaneamiento con la finalidad de que los GAD se hagan responsables de sus propias competencias. Debemos aclarar que este mecanismo exógeno hace referencia a un actor en particular y no a una instit</w:t>
      </w:r>
      <w:r w:rsidR="0021240D" w:rsidRPr="00537D1E">
        <w:rPr>
          <w:rFonts w:ascii="Times New Roman" w:hAnsi="Times New Roman"/>
          <w:sz w:val="24"/>
          <w:u w:color="0432FF"/>
        </w:rPr>
        <w:t xml:space="preserve">ución. Cuando nos referimos al </w:t>
      </w:r>
      <w:r w:rsidR="00A8200D" w:rsidRPr="00537D1E">
        <w:rPr>
          <w:rFonts w:ascii="Times New Roman" w:hAnsi="Times New Roman"/>
          <w:sz w:val="24"/>
          <w:u w:color="0432FF"/>
        </w:rPr>
        <w:t>presidente</w:t>
      </w:r>
      <w:r w:rsidRPr="00537D1E">
        <w:rPr>
          <w:rFonts w:ascii="Times New Roman" w:hAnsi="Times New Roman"/>
          <w:sz w:val="24"/>
          <w:u w:color="0432FF"/>
        </w:rPr>
        <w:t xml:space="preserve"> no hablamos de la presidencia como institución, ni como un equipo que promueve el cambio de la política pública. Hacemos alusión a un actor en particular que</w:t>
      </w:r>
      <w:r w:rsidRPr="00537D1E">
        <w:rPr>
          <w:rFonts w:ascii="Times New Roman" w:hAnsi="Times New Roman"/>
          <w:sz w:val="24"/>
        </w:rPr>
        <w:t xml:space="preserve"> </w:t>
      </w:r>
      <w:r w:rsidRPr="00537D1E">
        <w:rPr>
          <w:rFonts w:ascii="Times New Roman" w:hAnsi="Times New Roman"/>
          <w:sz w:val="24"/>
          <w:u w:color="0432FF"/>
        </w:rPr>
        <w:t>es vocero de sí mismo y es capaz de cambiar de opinión e imponerla jerárquicamente a un subsistema de política.</w:t>
      </w:r>
    </w:p>
    <w:p w:rsidR="00C04568" w:rsidRPr="00537D1E" w:rsidRDefault="00C04568" w:rsidP="00537D1E">
      <w:pPr>
        <w:pStyle w:val="BodyA"/>
        <w:spacing w:after="0" w:line="240" w:lineRule="auto"/>
        <w:jc w:val="both"/>
        <w:rPr>
          <w:rFonts w:ascii="Times New Roman" w:eastAsia="Times New Roman" w:hAnsi="Times New Roman" w:cs="Times New Roman"/>
          <w:sz w:val="24"/>
        </w:rPr>
      </w:pPr>
    </w:p>
    <w:p w:rsidR="00C04568" w:rsidRPr="00537D1E" w:rsidRDefault="00343082" w:rsidP="00537D1E">
      <w:pPr>
        <w:pStyle w:val="BodyA"/>
        <w:spacing w:after="358" w:line="240" w:lineRule="auto"/>
        <w:jc w:val="both"/>
        <w:rPr>
          <w:rFonts w:ascii="Times New Roman" w:eastAsia="Times New Roman" w:hAnsi="Times New Roman" w:cs="Times New Roman"/>
          <w:sz w:val="24"/>
        </w:rPr>
      </w:pPr>
      <w:r w:rsidRPr="00537D1E">
        <w:rPr>
          <w:rFonts w:ascii="Times New Roman" w:hAnsi="Times New Roman"/>
          <w:sz w:val="24"/>
        </w:rPr>
        <w:t>Siguiendo</w:t>
      </w:r>
      <w:r w:rsidRPr="00537D1E">
        <w:rPr>
          <w:rFonts w:ascii="Times New Roman" w:hAnsi="Times New Roman"/>
          <w:sz w:val="24"/>
          <w:lang w:val="pt-PT"/>
        </w:rPr>
        <w:t xml:space="preserve"> </w:t>
      </w:r>
      <w:r w:rsidRPr="00537D1E">
        <w:rPr>
          <w:rFonts w:ascii="Times New Roman" w:hAnsi="Times New Roman"/>
          <w:sz w:val="24"/>
        </w:rPr>
        <w:t xml:space="preserve">el modelo ideacional de Kisby (2007) se determina que el resultado de política tiene afectaciones en el contexto estructural, en la estructura y en las interacciones de la red. Por ejemplo, la idea de financiamiento (sin el componente no reembolsable) da cabida al surgimiento del ENAS que cambia la estructura de la red, otorgándole elementos de gobernanza frente a la política centralizada que se impone luego de la eliminación de subsidios desde el </w:t>
      </w:r>
      <w:r w:rsidR="00A8200D" w:rsidRPr="00537D1E">
        <w:rPr>
          <w:rFonts w:ascii="Times New Roman" w:hAnsi="Times New Roman"/>
          <w:sz w:val="24"/>
        </w:rPr>
        <w:t>presidente</w:t>
      </w:r>
      <w:r w:rsidRPr="00537D1E">
        <w:rPr>
          <w:rFonts w:ascii="Times New Roman" w:hAnsi="Times New Roman"/>
          <w:sz w:val="24"/>
        </w:rPr>
        <w:t>. Y al tratarse de un cambio de primer orden, el resultado del cambio podría ser reversible. La estructura de las redes se modifica debido a la intervenció</w:t>
      </w:r>
      <w:r w:rsidRPr="00537D1E">
        <w:rPr>
          <w:rFonts w:ascii="Times New Roman" w:hAnsi="Times New Roman"/>
          <w:sz w:val="24"/>
          <w:lang w:val="it-IT"/>
        </w:rPr>
        <w:t xml:space="preserve">n del </w:t>
      </w:r>
      <w:r w:rsidR="00A8200D" w:rsidRPr="00537D1E">
        <w:rPr>
          <w:rFonts w:ascii="Times New Roman" w:hAnsi="Times New Roman"/>
          <w:sz w:val="24"/>
          <w:lang w:val="it-IT"/>
        </w:rPr>
        <w:t>presidente</w:t>
      </w:r>
      <w:r w:rsidRPr="00537D1E">
        <w:rPr>
          <w:rFonts w:ascii="Times New Roman" w:hAnsi="Times New Roman"/>
          <w:sz w:val="24"/>
          <w:lang w:val="it-IT"/>
        </w:rPr>
        <w:t xml:space="preserve"> </w:t>
      </w:r>
      <w:r w:rsidRPr="00537D1E">
        <w:rPr>
          <w:rFonts w:ascii="Times New Roman" w:hAnsi="Times New Roman"/>
          <w:sz w:val="24"/>
        </w:rPr>
        <w:t xml:space="preserve">que anula los consensos generados y que influye en la conformación de la red de la ENAS, basada en la idea programática de plantear los lineamientos para las intervenciones e inversiones desde una perspectiva sectorial. </w:t>
      </w:r>
    </w:p>
    <w:p w:rsidR="00C04568" w:rsidRPr="00537D1E" w:rsidRDefault="00343082" w:rsidP="00537D1E">
      <w:pPr>
        <w:pStyle w:val="BodyA"/>
        <w:spacing w:line="240" w:lineRule="auto"/>
        <w:jc w:val="both"/>
        <w:rPr>
          <w:rFonts w:ascii="Times New Roman" w:eastAsia="Times New Roman" w:hAnsi="Times New Roman" w:cs="Times New Roman"/>
          <w:sz w:val="24"/>
        </w:rPr>
      </w:pPr>
      <w:r w:rsidRPr="00537D1E">
        <w:rPr>
          <w:rFonts w:ascii="Times New Roman" w:hAnsi="Times New Roman"/>
          <w:sz w:val="24"/>
        </w:rPr>
        <w:t xml:space="preserve">El cambio de política tiene implicaciones en las interacciones de las redes, ya que establece que las decisiones de financiamiento pasen necesariamente por el </w:t>
      </w:r>
      <w:r w:rsidR="00A8200D" w:rsidRPr="00537D1E">
        <w:rPr>
          <w:rFonts w:ascii="Times New Roman" w:hAnsi="Times New Roman"/>
          <w:sz w:val="24"/>
        </w:rPr>
        <w:t>presidente</w:t>
      </w:r>
      <w:r w:rsidRPr="00537D1E">
        <w:rPr>
          <w:rFonts w:ascii="Times New Roman" w:hAnsi="Times New Roman"/>
          <w:sz w:val="24"/>
        </w:rPr>
        <w:t>. Mientras que las decisiones relacionadas con la planificación y gestión recaigan sobre SENAGUA para la emisión de lineamientos de política, y sobre el B</w:t>
      </w:r>
      <w:r w:rsidR="009A53E5">
        <w:rPr>
          <w:rFonts w:ascii="Times New Roman" w:hAnsi="Times New Roman"/>
          <w:sz w:val="24"/>
        </w:rPr>
        <w:t xml:space="preserve">dE </w:t>
      </w:r>
      <w:r w:rsidRPr="00537D1E">
        <w:rPr>
          <w:rFonts w:ascii="Times New Roman" w:hAnsi="Times New Roman"/>
          <w:sz w:val="24"/>
        </w:rPr>
        <w:t xml:space="preserve">para el manejo de Prosaneamiento. </w:t>
      </w:r>
    </w:p>
    <w:p w:rsidR="00C04568" w:rsidRPr="00B166E3" w:rsidRDefault="00343082" w:rsidP="00B166E3">
      <w:pPr>
        <w:pStyle w:val="BodyA"/>
        <w:spacing w:line="240" w:lineRule="auto"/>
        <w:jc w:val="both"/>
        <w:rPr>
          <w:rFonts w:ascii="Times New Roman" w:hAnsi="Times New Roman"/>
          <w:sz w:val="24"/>
        </w:rPr>
      </w:pPr>
      <w:r w:rsidRPr="00537D1E">
        <w:rPr>
          <w:rFonts w:ascii="Times New Roman" w:hAnsi="Times New Roman"/>
          <w:sz w:val="24"/>
        </w:rPr>
        <w:t>En relación a los aprendizajes estratégicos de los actores de la red, la alteración de la política incide para que el B</w:t>
      </w:r>
      <w:r w:rsidR="009C6F83">
        <w:rPr>
          <w:rFonts w:ascii="Times New Roman" w:hAnsi="Times New Roman"/>
          <w:sz w:val="24"/>
        </w:rPr>
        <w:t>dE</w:t>
      </w:r>
      <w:r w:rsidRPr="00537D1E">
        <w:rPr>
          <w:rFonts w:ascii="Times New Roman" w:hAnsi="Times New Roman"/>
          <w:sz w:val="24"/>
        </w:rPr>
        <w:t xml:space="preserve"> incorpore mecanismos de compensación para incentivar el acceso a préstamos por parte de los GAD, tales como el incremento de cupos de </w:t>
      </w:r>
      <w:r w:rsidRPr="00537D1E">
        <w:rPr>
          <w:rFonts w:ascii="Times New Roman" w:hAnsi="Times New Roman"/>
          <w:sz w:val="24"/>
        </w:rPr>
        <w:lastRenderedPageBreak/>
        <w:t>endeudamiento y la ampliación de plazos para el pago de créditos, y para que SENAGUA inicie el proceso de construcción de la ENAS.</w:t>
      </w:r>
    </w:p>
    <w:p w:rsidR="00C04568" w:rsidRPr="00537D1E" w:rsidRDefault="000029AD">
      <w:pPr>
        <w:pStyle w:val="Epgrafe"/>
        <w:jc w:val="center"/>
        <w:rPr>
          <w:rFonts w:ascii="Times New Roman" w:eastAsia="Times New Roman" w:hAnsi="Times New Roman" w:cs="Times New Roman"/>
          <w:color w:val="000000"/>
          <w:sz w:val="24"/>
          <w:szCs w:val="24"/>
          <w:u w:color="000000"/>
        </w:rPr>
      </w:pPr>
      <w:r w:rsidRPr="00537D1E">
        <w:rPr>
          <w:rFonts w:ascii="Times New Roman" w:hAnsi="Times New Roman"/>
          <w:color w:val="000000"/>
          <w:sz w:val="24"/>
          <w:szCs w:val="24"/>
          <w:u w:color="000000"/>
        </w:rPr>
        <w:t>Tabla</w:t>
      </w:r>
      <w:r w:rsidR="00343082" w:rsidRPr="00537D1E">
        <w:rPr>
          <w:rFonts w:ascii="Times New Roman" w:hAnsi="Times New Roman"/>
          <w:color w:val="000000"/>
          <w:sz w:val="24"/>
          <w:szCs w:val="24"/>
          <w:u w:color="000000"/>
        </w:rPr>
        <w:t xml:space="preserve"> </w:t>
      </w:r>
      <w:r w:rsidR="00BE0880" w:rsidRPr="00537D1E">
        <w:rPr>
          <w:rFonts w:ascii="Times New Roman" w:hAnsi="Times New Roman"/>
          <w:color w:val="000000"/>
          <w:sz w:val="24"/>
          <w:szCs w:val="24"/>
          <w:u w:color="000000"/>
        </w:rPr>
        <w:t>5</w:t>
      </w:r>
      <w:r w:rsidR="00343082" w:rsidRPr="00537D1E">
        <w:rPr>
          <w:rFonts w:ascii="Times New Roman" w:hAnsi="Times New Roman"/>
          <w:color w:val="000000"/>
          <w:sz w:val="24"/>
          <w:szCs w:val="24"/>
          <w:u w:color="000000"/>
        </w:rPr>
        <w:t>. Problemas epistemológicos y teóricos del cambio de política de agua y saneamiento.</w:t>
      </w:r>
    </w:p>
    <w:tbl>
      <w:tblPr>
        <w:tblStyle w:val="TableNormal1"/>
        <w:tblW w:w="83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35"/>
        <w:gridCol w:w="2268"/>
        <w:gridCol w:w="4463"/>
      </w:tblGrid>
      <w:tr w:rsidR="00C04568" w:rsidRPr="008A0871" w:rsidTr="00852773">
        <w:trPr>
          <w:trHeight w:val="412"/>
          <w:jc w:val="center"/>
        </w:trPr>
        <w:tc>
          <w:tcPr>
            <w:tcW w:w="1635" w:type="dxa"/>
            <w:vMerge w:val="restart"/>
            <w:tcBorders>
              <w:top w:val="single" w:sz="4" w:space="0" w:color="auto"/>
              <w:left w:val="nil"/>
              <w:bottom w:val="nil"/>
              <w:right w:val="nil"/>
            </w:tcBorders>
            <w:shd w:val="clear" w:color="auto" w:fill="auto"/>
            <w:tcMar>
              <w:top w:w="80" w:type="dxa"/>
              <w:left w:w="80" w:type="dxa"/>
              <w:bottom w:w="80" w:type="dxa"/>
              <w:right w:w="80" w:type="dxa"/>
            </w:tcMar>
            <w:vAlign w:val="center"/>
          </w:tcPr>
          <w:p w:rsidR="00C04568" w:rsidRPr="007B0073" w:rsidRDefault="00343082">
            <w:pPr>
              <w:pStyle w:val="BodyA"/>
              <w:spacing w:after="0" w:line="240" w:lineRule="auto"/>
              <w:rPr>
                <w:color w:val="000000" w:themeColor="text1"/>
              </w:rPr>
            </w:pPr>
            <w:r w:rsidRPr="007B0073">
              <w:rPr>
                <w:rFonts w:ascii="Times New Roman" w:hAnsi="Times New Roman"/>
                <w:color w:val="000000" w:themeColor="text1"/>
              </w:rPr>
              <w:t>Problemas epistemológicos</w:t>
            </w:r>
          </w:p>
        </w:tc>
        <w:tc>
          <w:tcPr>
            <w:tcW w:w="2268"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C04568" w:rsidRPr="007B0073" w:rsidRDefault="00343082">
            <w:pPr>
              <w:pStyle w:val="BodyA"/>
              <w:spacing w:after="0" w:line="240" w:lineRule="auto"/>
              <w:rPr>
                <w:color w:val="000000" w:themeColor="text1"/>
              </w:rPr>
            </w:pPr>
            <w:r w:rsidRPr="007B0073">
              <w:rPr>
                <w:rFonts w:ascii="Times New Roman" w:hAnsi="Times New Roman"/>
                <w:color w:val="000000" w:themeColor="text1"/>
              </w:rPr>
              <w:t>Motores del cambio</w:t>
            </w:r>
          </w:p>
        </w:tc>
        <w:tc>
          <w:tcPr>
            <w:tcW w:w="4463"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C04568" w:rsidRPr="007B0073" w:rsidRDefault="00343082">
            <w:pPr>
              <w:pStyle w:val="BodyA"/>
              <w:spacing w:after="0" w:line="240" w:lineRule="auto"/>
              <w:rPr>
                <w:color w:val="000000" w:themeColor="text1"/>
              </w:rPr>
            </w:pPr>
            <w:r w:rsidRPr="007B0073">
              <w:rPr>
                <w:rFonts w:ascii="Times New Roman" w:hAnsi="Times New Roman"/>
                <w:color w:val="000000" w:themeColor="text1"/>
              </w:rPr>
              <w:t xml:space="preserve">Factores exógenos sobre el subsistema de política: intervención de la autoridad </w:t>
            </w:r>
            <w:r w:rsidRPr="007B0073">
              <w:rPr>
                <w:rFonts w:ascii="Times New Roman" w:hAnsi="Times New Roman"/>
                <w:color w:val="000000" w:themeColor="text1"/>
                <w:u w:color="FF0000"/>
              </w:rPr>
              <w:t>política</w:t>
            </w:r>
          </w:p>
        </w:tc>
      </w:tr>
      <w:tr w:rsidR="00C04568" w:rsidRPr="007B0073" w:rsidTr="00852773">
        <w:trPr>
          <w:trHeight w:val="412"/>
          <w:jc w:val="center"/>
        </w:trPr>
        <w:tc>
          <w:tcPr>
            <w:tcW w:w="1635" w:type="dxa"/>
            <w:vMerge/>
            <w:tcBorders>
              <w:top w:val="nil"/>
              <w:left w:val="nil"/>
              <w:bottom w:val="nil"/>
              <w:right w:val="nil"/>
            </w:tcBorders>
            <w:shd w:val="clear" w:color="auto" w:fill="auto"/>
          </w:tcPr>
          <w:p w:rsidR="00C04568" w:rsidRPr="007B0073" w:rsidRDefault="00C04568">
            <w:pPr>
              <w:rPr>
                <w:color w:val="000000" w:themeColor="text1"/>
                <w:sz w:val="22"/>
                <w:szCs w:val="22"/>
                <w:lang w:val="es-EC"/>
              </w:rPr>
            </w:pPr>
          </w:p>
        </w:tc>
        <w:tc>
          <w:tcPr>
            <w:tcW w:w="2268" w:type="dxa"/>
            <w:tcBorders>
              <w:top w:val="nil"/>
              <w:left w:val="nil"/>
              <w:bottom w:val="nil"/>
              <w:right w:val="nil"/>
            </w:tcBorders>
            <w:shd w:val="clear" w:color="auto" w:fill="auto"/>
            <w:tcMar>
              <w:top w:w="80" w:type="dxa"/>
              <w:left w:w="80" w:type="dxa"/>
              <w:bottom w:w="80" w:type="dxa"/>
              <w:right w:w="80" w:type="dxa"/>
            </w:tcMar>
            <w:vAlign w:val="center"/>
          </w:tcPr>
          <w:p w:rsidR="00C04568" w:rsidRPr="007B0073" w:rsidRDefault="00343082">
            <w:pPr>
              <w:pStyle w:val="BodyA"/>
              <w:spacing w:after="0" w:line="240" w:lineRule="auto"/>
              <w:rPr>
                <w:color w:val="000000" w:themeColor="text1"/>
              </w:rPr>
            </w:pPr>
            <w:r w:rsidRPr="007B0073">
              <w:rPr>
                <w:rFonts w:ascii="Times New Roman" w:hAnsi="Times New Roman"/>
                <w:color w:val="000000" w:themeColor="text1"/>
              </w:rPr>
              <w:t xml:space="preserve">Forma de progresión del evento </w:t>
            </w:r>
          </w:p>
        </w:tc>
        <w:tc>
          <w:tcPr>
            <w:tcW w:w="4463" w:type="dxa"/>
            <w:tcBorders>
              <w:top w:val="nil"/>
              <w:left w:val="nil"/>
              <w:bottom w:val="nil"/>
              <w:right w:val="nil"/>
            </w:tcBorders>
            <w:shd w:val="clear" w:color="auto" w:fill="auto"/>
            <w:tcMar>
              <w:top w:w="80" w:type="dxa"/>
              <w:left w:w="80" w:type="dxa"/>
              <w:bottom w:w="80" w:type="dxa"/>
              <w:right w:w="80" w:type="dxa"/>
            </w:tcMar>
            <w:vAlign w:val="center"/>
          </w:tcPr>
          <w:p w:rsidR="00C04568" w:rsidRPr="007B0073" w:rsidRDefault="00343082">
            <w:pPr>
              <w:pStyle w:val="BodyA"/>
              <w:spacing w:after="0" w:line="240" w:lineRule="auto"/>
              <w:rPr>
                <w:color w:val="000000" w:themeColor="text1"/>
              </w:rPr>
            </w:pPr>
            <w:r w:rsidRPr="007B0073">
              <w:rPr>
                <w:rFonts w:ascii="Times New Roman" w:hAnsi="Times New Roman"/>
                <w:color w:val="000000" w:themeColor="text1"/>
              </w:rPr>
              <w:t>No lineal: comportamiento inesperado</w:t>
            </w:r>
          </w:p>
        </w:tc>
      </w:tr>
      <w:tr w:rsidR="00C04568" w:rsidRPr="007B0073" w:rsidTr="00852773">
        <w:trPr>
          <w:trHeight w:val="212"/>
          <w:jc w:val="center"/>
        </w:trPr>
        <w:tc>
          <w:tcPr>
            <w:tcW w:w="1635" w:type="dxa"/>
            <w:vMerge/>
            <w:tcBorders>
              <w:top w:val="nil"/>
              <w:left w:val="nil"/>
              <w:bottom w:val="single" w:sz="4" w:space="0" w:color="auto"/>
              <w:right w:val="nil"/>
            </w:tcBorders>
            <w:shd w:val="clear" w:color="auto" w:fill="auto"/>
          </w:tcPr>
          <w:p w:rsidR="00C04568" w:rsidRPr="007B0073" w:rsidRDefault="00C04568">
            <w:pPr>
              <w:rPr>
                <w:color w:val="000000" w:themeColor="text1"/>
                <w:sz w:val="22"/>
                <w:szCs w:val="22"/>
              </w:rPr>
            </w:pPr>
          </w:p>
        </w:tc>
        <w:tc>
          <w:tcPr>
            <w:tcW w:w="2268" w:type="dxa"/>
            <w:tcBorders>
              <w:top w:val="nil"/>
              <w:left w:val="nil"/>
              <w:bottom w:val="single" w:sz="4" w:space="0" w:color="auto"/>
              <w:right w:val="nil"/>
            </w:tcBorders>
            <w:shd w:val="clear" w:color="auto" w:fill="auto"/>
            <w:tcMar>
              <w:top w:w="80" w:type="dxa"/>
              <w:left w:w="80" w:type="dxa"/>
              <w:bottom w:w="80" w:type="dxa"/>
              <w:right w:w="80" w:type="dxa"/>
            </w:tcMar>
            <w:vAlign w:val="center"/>
          </w:tcPr>
          <w:p w:rsidR="00C04568" w:rsidRPr="007B0073" w:rsidRDefault="00343082">
            <w:pPr>
              <w:pStyle w:val="BodyA"/>
              <w:spacing w:after="0" w:line="240" w:lineRule="auto"/>
              <w:rPr>
                <w:color w:val="000000" w:themeColor="text1"/>
              </w:rPr>
            </w:pPr>
            <w:r w:rsidRPr="007B0073">
              <w:rPr>
                <w:rFonts w:ascii="Times New Roman" w:hAnsi="Times New Roman"/>
                <w:color w:val="000000" w:themeColor="text1"/>
              </w:rPr>
              <w:t>Dinámica de desarrollo</w:t>
            </w:r>
          </w:p>
        </w:tc>
        <w:tc>
          <w:tcPr>
            <w:tcW w:w="4463" w:type="dxa"/>
            <w:tcBorders>
              <w:top w:val="nil"/>
              <w:left w:val="nil"/>
              <w:bottom w:val="single" w:sz="4" w:space="0" w:color="auto"/>
              <w:right w:val="nil"/>
            </w:tcBorders>
            <w:shd w:val="clear" w:color="auto" w:fill="auto"/>
            <w:tcMar>
              <w:top w:w="80" w:type="dxa"/>
              <w:left w:w="80" w:type="dxa"/>
              <w:bottom w:w="80" w:type="dxa"/>
              <w:right w:w="80" w:type="dxa"/>
            </w:tcMar>
            <w:vAlign w:val="center"/>
          </w:tcPr>
          <w:p w:rsidR="00C04568" w:rsidRPr="007B0073" w:rsidRDefault="00343082">
            <w:pPr>
              <w:pStyle w:val="BodyA"/>
              <w:spacing w:after="0" w:line="240" w:lineRule="auto"/>
              <w:rPr>
                <w:color w:val="000000" w:themeColor="text1"/>
              </w:rPr>
            </w:pPr>
            <w:r w:rsidRPr="007B0073">
              <w:rPr>
                <w:rFonts w:ascii="Times New Roman" w:hAnsi="Times New Roman"/>
                <w:color w:val="000000" w:themeColor="text1"/>
              </w:rPr>
              <w:t>Evolucionaria</w:t>
            </w:r>
          </w:p>
        </w:tc>
      </w:tr>
      <w:tr w:rsidR="00C04568" w:rsidRPr="007B0073" w:rsidTr="00852773">
        <w:trPr>
          <w:trHeight w:val="454"/>
          <w:jc w:val="center"/>
        </w:trPr>
        <w:tc>
          <w:tcPr>
            <w:tcW w:w="1635" w:type="dxa"/>
            <w:vMerge w:val="restart"/>
            <w:tcBorders>
              <w:top w:val="single" w:sz="4" w:space="0" w:color="auto"/>
              <w:left w:val="nil"/>
              <w:bottom w:val="nil"/>
              <w:right w:val="nil"/>
            </w:tcBorders>
            <w:shd w:val="clear" w:color="auto" w:fill="auto"/>
            <w:tcMar>
              <w:top w:w="80" w:type="dxa"/>
              <w:left w:w="80" w:type="dxa"/>
              <w:bottom w:w="80" w:type="dxa"/>
              <w:right w:w="80" w:type="dxa"/>
            </w:tcMar>
            <w:vAlign w:val="center"/>
          </w:tcPr>
          <w:p w:rsidR="00C04568" w:rsidRPr="007B0073" w:rsidRDefault="00343082">
            <w:pPr>
              <w:pStyle w:val="BodyA"/>
              <w:spacing w:after="0" w:line="240" w:lineRule="auto"/>
              <w:rPr>
                <w:color w:val="000000" w:themeColor="text1"/>
              </w:rPr>
            </w:pPr>
            <w:r w:rsidRPr="007B0073">
              <w:rPr>
                <w:rFonts w:ascii="Times New Roman" w:hAnsi="Times New Roman"/>
                <w:color w:val="000000" w:themeColor="text1"/>
              </w:rPr>
              <w:t>Problemas teóricos</w:t>
            </w:r>
          </w:p>
        </w:tc>
        <w:tc>
          <w:tcPr>
            <w:tcW w:w="2268"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C04568" w:rsidRPr="007B0073" w:rsidRDefault="00343082">
            <w:pPr>
              <w:pStyle w:val="BodyA"/>
              <w:spacing w:after="0" w:line="240" w:lineRule="auto"/>
              <w:rPr>
                <w:color w:val="000000" w:themeColor="text1"/>
              </w:rPr>
            </w:pPr>
            <w:r w:rsidRPr="007B0073">
              <w:rPr>
                <w:rFonts w:ascii="Times New Roman" w:hAnsi="Times New Roman"/>
                <w:color w:val="000000" w:themeColor="text1"/>
              </w:rPr>
              <w:t>Definición del objeto del cambio</w:t>
            </w:r>
          </w:p>
        </w:tc>
        <w:tc>
          <w:tcPr>
            <w:tcW w:w="4463" w:type="dxa"/>
            <w:tcBorders>
              <w:top w:val="single" w:sz="4" w:space="0" w:color="auto"/>
              <w:left w:val="nil"/>
              <w:bottom w:val="nil"/>
              <w:right w:val="nil"/>
            </w:tcBorders>
            <w:shd w:val="clear" w:color="auto" w:fill="auto"/>
            <w:tcMar>
              <w:top w:w="80" w:type="dxa"/>
              <w:left w:w="80" w:type="dxa"/>
              <w:bottom w:w="80" w:type="dxa"/>
              <w:right w:w="80" w:type="dxa"/>
            </w:tcMar>
            <w:vAlign w:val="center"/>
          </w:tcPr>
          <w:p w:rsidR="00C04568" w:rsidRPr="007B0073" w:rsidRDefault="00343082">
            <w:pPr>
              <w:pStyle w:val="BodyA"/>
              <w:spacing w:after="0" w:line="240" w:lineRule="auto"/>
              <w:rPr>
                <w:color w:val="000000" w:themeColor="text1"/>
              </w:rPr>
            </w:pPr>
            <w:r w:rsidRPr="007B0073">
              <w:rPr>
                <w:rFonts w:ascii="Times New Roman" w:hAnsi="Times New Roman"/>
                <w:color w:val="000000" w:themeColor="text1"/>
              </w:rPr>
              <w:t xml:space="preserve">Alteración del instrumento Prosaneamiento </w:t>
            </w:r>
          </w:p>
        </w:tc>
      </w:tr>
      <w:tr w:rsidR="00C04568" w:rsidRPr="007B0073" w:rsidTr="00852773">
        <w:trPr>
          <w:trHeight w:val="212"/>
          <w:jc w:val="center"/>
        </w:trPr>
        <w:tc>
          <w:tcPr>
            <w:tcW w:w="1635" w:type="dxa"/>
            <w:vMerge/>
            <w:tcBorders>
              <w:top w:val="nil"/>
              <w:left w:val="nil"/>
              <w:bottom w:val="nil"/>
              <w:right w:val="nil"/>
            </w:tcBorders>
            <w:shd w:val="clear" w:color="auto" w:fill="auto"/>
          </w:tcPr>
          <w:p w:rsidR="00C04568" w:rsidRPr="007B0073" w:rsidRDefault="00C04568">
            <w:pPr>
              <w:rPr>
                <w:color w:val="000000" w:themeColor="text1"/>
                <w:sz w:val="22"/>
                <w:szCs w:val="22"/>
              </w:rPr>
            </w:pPr>
          </w:p>
        </w:tc>
        <w:tc>
          <w:tcPr>
            <w:tcW w:w="2268" w:type="dxa"/>
            <w:tcBorders>
              <w:top w:val="nil"/>
              <w:left w:val="nil"/>
              <w:bottom w:val="nil"/>
              <w:right w:val="nil"/>
            </w:tcBorders>
            <w:shd w:val="clear" w:color="auto" w:fill="auto"/>
            <w:tcMar>
              <w:top w:w="80" w:type="dxa"/>
              <w:left w:w="80" w:type="dxa"/>
              <w:bottom w:w="80" w:type="dxa"/>
              <w:right w:w="80" w:type="dxa"/>
            </w:tcMar>
            <w:vAlign w:val="center"/>
          </w:tcPr>
          <w:p w:rsidR="00C04568" w:rsidRPr="007B0073" w:rsidRDefault="00343082">
            <w:pPr>
              <w:pStyle w:val="BodyA"/>
              <w:spacing w:after="0" w:line="240" w:lineRule="auto"/>
              <w:rPr>
                <w:color w:val="000000" w:themeColor="text1"/>
              </w:rPr>
            </w:pPr>
            <w:r w:rsidRPr="007B0073">
              <w:rPr>
                <w:rFonts w:ascii="Times New Roman" w:hAnsi="Times New Roman"/>
                <w:color w:val="000000" w:themeColor="text1"/>
              </w:rPr>
              <w:t>Tipo de cambio</w:t>
            </w:r>
          </w:p>
        </w:tc>
        <w:tc>
          <w:tcPr>
            <w:tcW w:w="4463" w:type="dxa"/>
            <w:tcBorders>
              <w:top w:val="nil"/>
              <w:left w:val="nil"/>
              <w:bottom w:val="nil"/>
              <w:right w:val="nil"/>
            </w:tcBorders>
            <w:shd w:val="clear" w:color="auto" w:fill="auto"/>
            <w:tcMar>
              <w:top w:w="80" w:type="dxa"/>
              <w:left w:w="80" w:type="dxa"/>
              <w:bottom w:w="80" w:type="dxa"/>
              <w:right w:w="80" w:type="dxa"/>
            </w:tcMar>
            <w:vAlign w:val="center"/>
          </w:tcPr>
          <w:p w:rsidR="00C04568" w:rsidRPr="007B0073" w:rsidRDefault="00343082">
            <w:pPr>
              <w:pStyle w:val="BodyA"/>
              <w:spacing w:after="0" w:line="240" w:lineRule="auto"/>
              <w:rPr>
                <w:color w:val="000000" w:themeColor="text1"/>
              </w:rPr>
            </w:pPr>
            <w:r w:rsidRPr="007B0073">
              <w:rPr>
                <w:rFonts w:ascii="Times New Roman" w:hAnsi="Times New Roman"/>
                <w:color w:val="000000" w:themeColor="text1"/>
              </w:rPr>
              <w:t>Primer orden (incremental)</w:t>
            </w:r>
          </w:p>
        </w:tc>
      </w:tr>
      <w:tr w:rsidR="00C04568" w:rsidRPr="009966FA" w:rsidTr="00852773">
        <w:trPr>
          <w:trHeight w:val="412"/>
          <w:jc w:val="center"/>
        </w:trPr>
        <w:tc>
          <w:tcPr>
            <w:tcW w:w="1635" w:type="dxa"/>
            <w:vMerge/>
            <w:tcBorders>
              <w:top w:val="nil"/>
              <w:left w:val="nil"/>
              <w:bottom w:val="nil"/>
              <w:right w:val="nil"/>
            </w:tcBorders>
            <w:shd w:val="clear" w:color="auto" w:fill="auto"/>
          </w:tcPr>
          <w:p w:rsidR="00C04568" w:rsidRPr="007B0073" w:rsidRDefault="00C04568">
            <w:pPr>
              <w:rPr>
                <w:color w:val="000000" w:themeColor="text1"/>
                <w:sz w:val="22"/>
                <w:szCs w:val="22"/>
              </w:rPr>
            </w:pPr>
          </w:p>
        </w:tc>
        <w:tc>
          <w:tcPr>
            <w:tcW w:w="2268" w:type="dxa"/>
            <w:tcBorders>
              <w:top w:val="nil"/>
              <w:left w:val="nil"/>
              <w:bottom w:val="nil"/>
              <w:right w:val="nil"/>
            </w:tcBorders>
            <w:shd w:val="clear" w:color="auto" w:fill="auto"/>
            <w:tcMar>
              <w:top w:w="80" w:type="dxa"/>
              <w:left w:w="80" w:type="dxa"/>
              <w:bottom w:w="80" w:type="dxa"/>
              <w:right w:w="80" w:type="dxa"/>
            </w:tcMar>
            <w:vAlign w:val="center"/>
          </w:tcPr>
          <w:p w:rsidR="00C04568" w:rsidRPr="007B0073" w:rsidRDefault="00343082">
            <w:pPr>
              <w:pStyle w:val="BodyA"/>
              <w:spacing w:after="0" w:line="240" w:lineRule="auto"/>
              <w:rPr>
                <w:color w:val="000000" w:themeColor="text1"/>
              </w:rPr>
            </w:pPr>
            <w:r w:rsidRPr="007B0073">
              <w:rPr>
                <w:rFonts w:ascii="Times New Roman" w:hAnsi="Times New Roman"/>
                <w:color w:val="000000" w:themeColor="text1"/>
              </w:rPr>
              <w:t>Variables explicativas</w:t>
            </w:r>
          </w:p>
        </w:tc>
        <w:tc>
          <w:tcPr>
            <w:tcW w:w="4463" w:type="dxa"/>
            <w:tcBorders>
              <w:top w:val="nil"/>
              <w:left w:val="nil"/>
              <w:bottom w:val="nil"/>
              <w:right w:val="nil"/>
            </w:tcBorders>
            <w:shd w:val="clear" w:color="auto" w:fill="auto"/>
            <w:tcMar>
              <w:top w:w="80" w:type="dxa"/>
              <w:left w:w="80" w:type="dxa"/>
              <w:bottom w:w="80" w:type="dxa"/>
              <w:right w:w="80" w:type="dxa"/>
            </w:tcMar>
            <w:vAlign w:val="center"/>
          </w:tcPr>
          <w:p w:rsidR="00C04568" w:rsidRPr="007B0073" w:rsidRDefault="00343082">
            <w:pPr>
              <w:pStyle w:val="BodyA"/>
              <w:spacing w:after="0" w:line="240" w:lineRule="auto"/>
              <w:rPr>
                <w:color w:val="000000" w:themeColor="text1"/>
              </w:rPr>
            </w:pPr>
            <w:r w:rsidRPr="007B0073">
              <w:rPr>
                <w:rFonts w:ascii="Times New Roman" w:hAnsi="Times New Roman"/>
                <w:color w:val="000000" w:themeColor="text1"/>
              </w:rPr>
              <w:t xml:space="preserve">Intervención autoridad </w:t>
            </w:r>
            <w:r w:rsidRPr="007B0073">
              <w:rPr>
                <w:rFonts w:ascii="Times New Roman" w:hAnsi="Times New Roman"/>
                <w:color w:val="000000" w:themeColor="text1"/>
                <w:u w:color="FF0000"/>
              </w:rPr>
              <w:t xml:space="preserve">política </w:t>
            </w:r>
            <w:r w:rsidRPr="007B0073">
              <w:rPr>
                <w:rFonts w:ascii="Times New Roman" w:hAnsi="Times New Roman"/>
                <w:color w:val="000000" w:themeColor="text1"/>
              </w:rPr>
              <w:t>(cambio en la primacía de ideas programáticas)</w:t>
            </w:r>
          </w:p>
        </w:tc>
      </w:tr>
      <w:tr w:rsidR="00C04568" w:rsidRPr="009966FA" w:rsidTr="00852773">
        <w:trPr>
          <w:trHeight w:val="355"/>
          <w:jc w:val="center"/>
        </w:trPr>
        <w:tc>
          <w:tcPr>
            <w:tcW w:w="1635" w:type="dxa"/>
            <w:vMerge/>
            <w:tcBorders>
              <w:top w:val="nil"/>
              <w:left w:val="nil"/>
              <w:bottom w:val="nil"/>
              <w:right w:val="nil"/>
            </w:tcBorders>
            <w:shd w:val="clear" w:color="auto" w:fill="auto"/>
          </w:tcPr>
          <w:p w:rsidR="00C04568" w:rsidRPr="007B0073" w:rsidRDefault="00C04568">
            <w:pPr>
              <w:rPr>
                <w:color w:val="000000" w:themeColor="text1"/>
                <w:sz w:val="22"/>
                <w:szCs w:val="22"/>
                <w:lang w:val="es-EC"/>
              </w:rPr>
            </w:pPr>
          </w:p>
        </w:tc>
        <w:tc>
          <w:tcPr>
            <w:tcW w:w="2268" w:type="dxa"/>
            <w:tcBorders>
              <w:top w:val="nil"/>
              <w:left w:val="nil"/>
              <w:bottom w:val="nil"/>
              <w:right w:val="nil"/>
            </w:tcBorders>
            <w:shd w:val="clear" w:color="auto" w:fill="auto"/>
            <w:tcMar>
              <w:top w:w="80" w:type="dxa"/>
              <w:left w:w="80" w:type="dxa"/>
              <w:bottom w:w="80" w:type="dxa"/>
              <w:right w:w="80" w:type="dxa"/>
            </w:tcMar>
            <w:vAlign w:val="center"/>
          </w:tcPr>
          <w:p w:rsidR="00C04568" w:rsidRPr="007B0073" w:rsidRDefault="00343082">
            <w:pPr>
              <w:pStyle w:val="BodyA"/>
              <w:spacing w:after="0" w:line="240" w:lineRule="auto"/>
              <w:rPr>
                <w:color w:val="000000" w:themeColor="text1"/>
              </w:rPr>
            </w:pPr>
            <w:r w:rsidRPr="007B0073">
              <w:rPr>
                <w:rFonts w:ascii="Times New Roman" w:hAnsi="Times New Roman"/>
                <w:color w:val="000000" w:themeColor="text1"/>
              </w:rPr>
              <w:t>Dilema estructura/agencia</w:t>
            </w:r>
          </w:p>
        </w:tc>
        <w:tc>
          <w:tcPr>
            <w:tcW w:w="4463" w:type="dxa"/>
            <w:tcBorders>
              <w:top w:val="nil"/>
              <w:left w:val="nil"/>
              <w:bottom w:val="nil"/>
              <w:right w:val="nil"/>
            </w:tcBorders>
            <w:shd w:val="clear" w:color="auto" w:fill="auto"/>
            <w:tcMar>
              <w:top w:w="80" w:type="dxa"/>
              <w:left w:w="80" w:type="dxa"/>
              <w:bottom w:w="80" w:type="dxa"/>
              <w:right w:w="80" w:type="dxa"/>
            </w:tcMar>
            <w:vAlign w:val="center"/>
          </w:tcPr>
          <w:p w:rsidR="00C04568" w:rsidRPr="007B0073" w:rsidRDefault="00343082">
            <w:pPr>
              <w:pStyle w:val="BodyA"/>
              <w:spacing w:after="0" w:line="240" w:lineRule="auto"/>
              <w:rPr>
                <w:color w:val="000000" w:themeColor="text1"/>
              </w:rPr>
            </w:pPr>
            <w:r w:rsidRPr="007B0073">
              <w:rPr>
                <w:rFonts w:ascii="Times New Roman" w:hAnsi="Times New Roman"/>
                <w:color w:val="000000" w:themeColor="text1"/>
              </w:rPr>
              <w:t xml:space="preserve">Agencia del </w:t>
            </w:r>
            <w:r w:rsidR="009C1B7F">
              <w:rPr>
                <w:rFonts w:ascii="Times New Roman" w:hAnsi="Times New Roman"/>
                <w:color w:val="000000" w:themeColor="text1"/>
              </w:rPr>
              <w:t>p</w:t>
            </w:r>
            <w:r w:rsidR="00A8200D" w:rsidRPr="007B0073">
              <w:rPr>
                <w:rFonts w:ascii="Times New Roman" w:hAnsi="Times New Roman"/>
                <w:color w:val="000000" w:themeColor="text1"/>
              </w:rPr>
              <w:t>residente</w:t>
            </w:r>
            <w:r w:rsidRPr="007B0073">
              <w:rPr>
                <w:rFonts w:ascii="Times New Roman" w:hAnsi="Times New Roman"/>
                <w:color w:val="000000" w:themeColor="text1"/>
              </w:rPr>
              <w:t xml:space="preserve"> (comportamiento individual)</w:t>
            </w:r>
          </w:p>
        </w:tc>
      </w:tr>
      <w:tr w:rsidR="00C04568" w:rsidRPr="007B0073" w:rsidTr="00852773">
        <w:trPr>
          <w:trHeight w:val="212"/>
          <w:jc w:val="center"/>
        </w:trPr>
        <w:tc>
          <w:tcPr>
            <w:tcW w:w="1635" w:type="dxa"/>
            <w:vMerge/>
            <w:tcBorders>
              <w:top w:val="nil"/>
              <w:left w:val="nil"/>
              <w:bottom w:val="single" w:sz="4" w:space="0" w:color="auto"/>
              <w:right w:val="nil"/>
            </w:tcBorders>
            <w:shd w:val="clear" w:color="auto" w:fill="auto"/>
          </w:tcPr>
          <w:p w:rsidR="00C04568" w:rsidRPr="007B0073" w:rsidRDefault="00C04568">
            <w:pPr>
              <w:rPr>
                <w:color w:val="000000" w:themeColor="text1"/>
                <w:sz w:val="22"/>
                <w:szCs w:val="22"/>
                <w:lang w:val="es-EC"/>
              </w:rPr>
            </w:pPr>
          </w:p>
        </w:tc>
        <w:tc>
          <w:tcPr>
            <w:tcW w:w="2268" w:type="dxa"/>
            <w:tcBorders>
              <w:top w:val="nil"/>
              <w:left w:val="nil"/>
              <w:bottom w:val="single" w:sz="4" w:space="0" w:color="auto"/>
              <w:right w:val="nil"/>
            </w:tcBorders>
            <w:shd w:val="clear" w:color="auto" w:fill="auto"/>
            <w:tcMar>
              <w:top w:w="80" w:type="dxa"/>
              <w:left w:w="80" w:type="dxa"/>
              <w:bottom w:w="80" w:type="dxa"/>
              <w:right w:w="80" w:type="dxa"/>
            </w:tcMar>
            <w:vAlign w:val="center"/>
          </w:tcPr>
          <w:p w:rsidR="00C04568" w:rsidRPr="007B0073" w:rsidRDefault="00343082">
            <w:pPr>
              <w:pStyle w:val="BodyA"/>
              <w:spacing w:after="0" w:line="240" w:lineRule="auto"/>
              <w:rPr>
                <w:color w:val="000000" w:themeColor="text1"/>
              </w:rPr>
            </w:pPr>
            <w:r w:rsidRPr="007B0073">
              <w:rPr>
                <w:rFonts w:ascii="Times New Roman" w:hAnsi="Times New Roman"/>
                <w:color w:val="000000" w:themeColor="text1"/>
              </w:rPr>
              <w:t>Resultado</w:t>
            </w:r>
          </w:p>
        </w:tc>
        <w:tc>
          <w:tcPr>
            <w:tcW w:w="4463" w:type="dxa"/>
            <w:tcBorders>
              <w:top w:val="nil"/>
              <w:left w:val="nil"/>
              <w:bottom w:val="single" w:sz="4" w:space="0" w:color="auto"/>
              <w:right w:val="nil"/>
            </w:tcBorders>
            <w:shd w:val="clear" w:color="auto" w:fill="auto"/>
            <w:tcMar>
              <w:top w:w="80" w:type="dxa"/>
              <w:left w:w="80" w:type="dxa"/>
              <w:bottom w:w="80" w:type="dxa"/>
              <w:right w:w="80" w:type="dxa"/>
            </w:tcMar>
            <w:vAlign w:val="center"/>
          </w:tcPr>
          <w:p w:rsidR="00C04568" w:rsidRPr="007B0073" w:rsidRDefault="00343082">
            <w:pPr>
              <w:pStyle w:val="BodyA"/>
              <w:spacing w:after="0" w:line="240" w:lineRule="auto"/>
              <w:rPr>
                <w:color w:val="000000" w:themeColor="text1"/>
              </w:rPr>
            </w:pPr>
            <w:r w:rsidRPr="007B0073">
              <w:rPr>
                <w:rFonts w:ascii="Times New Roman" w:hAnsi="Times New Roman"/>
                <w:color w:val="000000" w:themeColor="text1"/>
              </w:rPr>
              <w:t>Reversible</w:t>
            </w:r>
          </w:p>
        </w:tc>
      </w:tr>
    </w:tbl>
    <w:p w:rsidR="00C5014A" w:rsidRPr="00B166E3" w:rsidRDefault="00343082" w:rsidP="00B166E3">
      <w:pPr>
        <w:pStyle w:val="BodyA"/>
        <w:spacing w:after="0" w:line="360" w:lineRule="auto"/>
        <w:jc w:val="center"/>
        <w:rPr>
          <w:rFonts w:ascii="Times New Roman" w:eastAsia="Times New Roman" w:hAnsi="Times New Roman" w:cs="Times New Roman"/>
          <w:sz w:val="20"/>
          <w:szCs w:val="20"/>
        </w:rPr>
      </w:pPr>
      <w:r w:rsidRPr="00B166E3">
        <w:rPr>
          <w:rFonts w:ascii="Times New Roman" w:hAnsi="Times New Roman"/>
          <w:sz w:val="20"/>
          <w:szCs w:val="20"/>
        </w:rPr>
        <w:t xml:space="preserve">Fuente: </w:t>
      </w:r>
      <w:r w:rsidR="00B166E3">
        <w:rPr>
          <w:rFonts w:ascii="Times New Roman" w:hAnsi="Times New Roman"/>
          <w:sz w:val="20"/>
          <w:szCs w:val="20"/>
        </w:rPr>
        <w:t>Elaboración propia</w:t>
      </w:r>
    </w:p>
    <w:p w:rsidR="002C79BF" w:rsidRPr="00537D1E" w:rsidRDefault="002C79BF" w:rsidP="002C79BF">
      <w:pPr>
        <w:pStyle w:val="BodyA"/>
        <w:spacing w:after="0" w:line="360" w:lineRule="auto"/>
        <w:jc w:val="both"/>
        <w:rPr>
          <w:rFonts w:ascii="Times New Roman" w:eastAsia="Times New Roman" w:hAnsi="Times New Roman" w:cs="Times New Roman"/>
          <w:sz w:val="24"/>
          <w:szCs w:val="24"/>
        </w:rPr>
      </w:pPr>
    </w:p>
    <w:p w:rsidR="00C04568" w:rsidRPr="00537D1E" w:rsidRDefault="00343082" w:rsidP="007B0073">
      <w:pPr>
        <w:pStyle w:val="BodyA"/>
        <w:spacing w:after="0" w:line="240" w:lineRule="auto"/>
        <w:jc w:val="both"/>
        <w:rPr>
          <w:rFonts w:ascii="Times New Roman" w:eastAsia="Times New Roman" w:hAnsi="Times New Roman" w:cs="Times New Roman"/>
          <w:sz w:val="24"/>
        </w:rPr>
      </w:pPr>
      <w:r w:rsidRPr="00537D1E">
        <w:rPr>
          <w:rFonts w:ascii="Times New Roman" w:hAnsi="Times New Roman"/>
          <w:sz w:val="24"/>
        </w:rPr>
        <w:t>Con la finalidad de complementar el análisis del cambio de polí</w:t>
      </w:r>
      <w:r w:rsidRPr="00537D1E">
        <w:rPr>
          <w:rFonts w:ascii="Times New Roman" w:hAnsi="Times New Roman"/>
          <w:sz w:val="24"/>
          <w:lang w:val="it-IT"/>
        </w:rPr>
        <w:t>tica p</w:t>
      </w:r>
      <w:r w:rsidRPr="00537D1E">
        <w:rPr>
          <w:rFonts w:ascii="Times New Roman" w:hAnsi="Times New Roman"/>
          <w:sz w:val="24"/>
        </w:rPr>
        <w:t>ú</w:t>
      </w:r>
      <w:r w:rsidRPr="00537D1E">
        <w:rPr>
          <w:rFonts w:ascii="Times New Roman" w:hAnsi="Times New Roman"/>
          <w:sz w:val="24"/>
          <w:lang w:val="pt-PT"/>
        </w:rPr>
        <w:t>blica, se explora</w:t>
      </w:r>
      <w:r w:rsidRPr="00537D1E">
        <w:rPr>
          <w:rFonts w:ascii="Times New Roman" w:hAnsi="Times New Roman"/>
          <w:sz w:val="24"/>
        </w:rPr>
        <w:t xml:space="preserve"> la evolución de las aprobaciones del B</w:t>
      </w:r>
      <w:r w:rsidR="00076295" w:rsidRPr="00537D1E">
        <w:rPr>
          <w:rFonts w:ascii="Times New Roman" w:hAnsi="Times New Roman"/>
          <w:sz w:val="24"/>
        </w:rPr>
        <w:t xml:space="preserve">dE </w:t>
      </w:r>
      <w:r w:rsidRPr="00537D1E">
        <w:rPr>
          <w:rFonts w:ascii="Times New Roman" w:hAnsi="Times New Roman"/>
          <w:sz w:val="24"/>
        </w:rPr>
        <w:t xml:space="preserve">relacionadas con el sector de agua y saneamiento. Al respecto es importante explicar que las aprobaciones se refieren a la aceptación  de financiamiento de obras del </w:t>
      </w:r>
      <w:r w:rsidR="00A026BF" w:rsidRPr="00537D1E">
        <w:rPr>
          <w:rFonts w:ascii="Times New Roman" w:hAnsi="Times New Roman"/>
          <w:sz w:val="24"/>
        </w:rPr>
        <w:t>banco</w:t>
      </w:r>
      <w:r w:rsidRPr="00537D1E">
        <w:rPr>
          <w:rFonts w:ascii="Times New Roman" w:hAnsi="Times New Roman"/>
          <w:sz w:val="24"/>
        </w:rPr>
        <w:t xml:space="preserve">, para lo cual es necesario que los GAD cuenten con las viabilidades técnicas y ambientales emitidas por SENAGUA y </w:t>
      </w:r>
      <w:r w:rsidRPr="00537D1E">
        <w:rPr>
          <w:rFonts w:ascii="Times New Roman" w:hAnsi="Times New Roman"/>
          <w:sz w:val="24"/>
          <w:lang w:val="pt-PT"/>
        </w:rPr>
        <w:t>MAE, respectivamente. As</w:t>
      </w:r>
      <w:r w:rsidRPr="00537D1E">
        <w:rPr>
          <w:rFonts w:ascii="Times New Roman" w:hAnsi="Times New Roman"/>
          <w:sz w:val="24"/>
        </w:rPr>
        <w:t>í como también con las viabilidades económica y financiera emitidas por el banco, la misma que consiste en un análisis de riesgo y en el establecimiento de condiciones conforme a la capacidad de endeudamiento. En este sentido, las aprobaciones realizadas durante un año determinado son el reflejo de un trabajo previo cuyo proceso abarca la solicitud del préstamo, la elaboración del proyecto de inversión, el otorgamiento de viabilidades y finalmente la aceptación del crédito a la tasa de interés y tiempo establecido entre las partes interesadas. Una vez aprobados los créditos, el Banco del Estado</w:t>
      </w:r>
      <w:r w:rsidRPr="00537D1E">
        <w:rPr>
          <w:rFonts w:ascii="Times New Roman" w:hAnsi="Times New Roman"/>
          <w:sz w:val="24"/>
          <w:lang w:val="it-IT"/>
        </w:rPr>
        <w:t xml:space="preserve"> peri</w:t>
      </w:r>
      <w:r w:rsidRPr="00537D1E">
        <w:rPr>
          <w:rFonts w:ascii="Times New Roman" w:hAnsi="Times New Roman"/>
          <w:sz w:val="24"/>
        </w:rPr>
        <w:t xml:space="preserve">ódicamente realiza el desembolso de recursos durante el tiempo acordado. </w:t>
      </w:r>
    </w:p>
    <w:p w:rsidR="00C04568" w:rsidRPr="00537D1E" w:rsidRDefault="00C04568" w:rsidP="007B0073">
      <w:pPr>
        <w:pStyle w:val="BodyA"/>
        <w:spacing w:after="0" w:line="240" w:lineRule="auto"/>
        <w:jc w:val="both"/>
        <w:rPr>
          <w:rFonts w:ascii="Times New Roman" w:eastAsia="Times New Roman" w:hAnsi="Times New Roman" w:cs="Times New Roman"/>
          <w:sz w:val="24"/>
        </w:rPr>
      </w:pPr>
    </w:p>
    <w:p w:rsidR="00C04568" w:rsidRPr="00537D1E" w:rsidRDefault="00343082" w:rsidP="007B0073">
      <w:pPr>
        <w:pStyle w:val="BodyA"/>
        <w:spacing w:line="240" w:lineRule="auto"/>
        <w:jc w:val="both"/>
        <w:rPr>
          <w:rFonts w:ascii="Times New Roman" w:eastAsia="Times New Roman" w:hAnsi="Times New Roman" w:cs="Times New Roman"/>
          <w:sz w:val="24"/>
        </w:rPr>
      </w:pPr>
      <w:r w:rsidRPr="00537D1E">
        <w:rPr>
          <w:rFonts w:ascii="Times New Roman" w:hAnsi="Times New Roman"/>
          <w:sz w:val="24"/>
        </w:rPr>
        <w:t>El monto de las aprobaciones en este subsector se ha incrementado drásticamente a partir del año 2006, en donde alcanza USD 18.8 millones, en el 2007 se ubica en USD 68,8 millones, en  el 2010 está en el orden de los USD 245.5 millones con un comportamiento a la baja hasta el año 2013, en donde se ubica en USD 153.0 millones. En el año 2014 las aprobaciones en agua y saneamiento alcanzan su punto má</w:t>
      </w:r>
      <w:r w:rsidRPr="00537D1E">
        <w:rPr>
          <w:rFonts w:ascii="Times New Roman" w:hAnsi="Times New Roman"/>
          <w:sz w:val="24"/>
          <w:lang w:val="it-IT"/>
        </w:rPr>
        <w:t>s alto, registr</w:t>
      </w:r>
      <w:r w:rsidRPr="00537D1E">
        <w:rPr>
          <w:rFonts w:ascii="Times New Roman" w:hAnsi="Times New Roman"/>
          <w:sz w:val="24"/>
        </w:rPr>
        <w:t>ándose en USD 408,1 millones. Con el cambio de la política en 2015, las aprobaciones son menores y se ubican en USD 238. 4 millones (42% menos frente a 2014).</w:t>
      </w:r>
    </w:p>
    <w:p w:rsidR="00537D1E" w:rsidRDefault="00537D1E" w:rsidP="007B0073">
      <w:pPr>
        <w:pStyle w:val="BodyA"/>
        <w:spacing w:after="0" w:line="360" w:lineRule="auto"/>
        <w:jc w:val="both"/>
        <w:rPr>
          <w:rFonts w:ascii="Times New Roman" w:eastAsia="Times New Roman" w:hAnsi="Times New Roman" w:cs="Times New Roman"/>
        </w:rPr>
      </w:pPr>
    </w:p>
    <w:p w:rsidR="00C04568" w:rsidRPr="00537D1E" w:rsidRDefault="000029AD">
      <w:pPr>
        <w:pStyle w:val="Epgrafe"/>
        <w:jc w:val="center"/>
        <w:rPr>
          <w:rFonts w:ascii="Times New Roman" w:eastAsia="Times New Roman" w:hAnsi="Times New Roman" w:cs="Times New Roman"/>
          <w:color w:val="000000"/>
          <w:sz w:val="24"/>
          <w:szCs w:val="22"/>
          <w:u w:color="000000"/>
        </w:rPr>
      </w:pPr>
      <w:r w:rsidRPr="00537D1E">
        <w:rPr>
          <w:rFonts w:ascii="Times New Roman" w:hAnsi="Times New Roman"/>
          <w:color w:val="000000"/>
          <w:sz w:val="24"/>
          <w:szCs w:val="22"/>
          <w:u w:color="000000"/>
        </w:rPr>
        <w:lastRenderedPageBreak/>
        <w:t>Tabla</w:t>
      </w:r>
      <w:r w:rsidR="00343082" w:rsidRPr="00537D1E">
        <w:rPr>
          <w:rFonts w:ascii="Times New Roman" w:hAnsi="Times New Roman"/>
          <w:color w:val="000000"/>
          <w:sz w:val="24"/>
          <w:szCs w:val="22"/>
          <w:u w:color="000000"/>
        </w:rPr>
        <w:t xml:space="preserve"> </w:t>
      </w:r>
      <w:r w:rsidR="00E84320" w:rsidRPr="00537D1E">
        <w:rPr>
          <w:rFonts w:ascii="Times New Roman" w:hAnsi="Times New Roman"/>
          <w:color w:val="000000"/>
          <w:sz w:val="24"/>
          <w:szCs w:val="22"/>
          <w:u w:color="000000"/>
        </w:rPr>
        <w:t>6</w:t>
      </w:r>
      <w:r w:rsidR="00343082" w:rsidRPr="00537D1E">
        <w:rPr>
          <w:rFonts w:ascii="Times New Roman" w:hAnsi="Times New Roman"/>
          <w:color w:val="000000"/>
          <w:sz w:val="24"/>
          <w:szCs w:val="22"/>
          <w:u w:color="000000"/>
        </w:rPr>
        <w:t xml:space="preserve">.  Aprobaciones del sector de agua y saneamiento (2006-2015). </w:t>
      </w:r>
    </w:p>
    <w:tbl>
      <w:tblPr>
        <w:tblStyle w:val="TableNormal1"/>
        <w:tblW w:w="5000" w:type="pct"/>
        <w:jc w:val="center"/>
        <w:tblBorders>
          <w:top w:val="single" w:sz="4" w:space="0" w:color="auto"/>
          <w:bottom w:val="single" w:sz="4" w:space="0" w:color="auto"/>
        </w:tblBorders>
        <w:shd w:val="clear" w:color="auto" w:fill="CED7E7"/>
        <w:tblLook w:val="04A0" w:firstRow="1" w:lastRow="0" w:firstColumn="1" w:lastColumn="0" w:noHBand="0" w:noVBand="1"/>
      </w:tblPr>
      <w:tblGrid>
        <w:gridCol w:w="1663"/>
        <w:gridCol w:w="601"/>
        <w:gridCol w:w="712"/>
        <w:gridCol w:w="712"/>
        <w:gridCol w:w="710"/>
        <w:gridCol w:w="710"/>
        <w:gridCol w:w="710"/>
        <w:gridCol w:w="710"/>
        <w:gridCol w:w="710"/>
        <w:gridCol w:w="710"/>
        <w:gridCol w:w="710"/>
      </w:tblGrid>
      <w:tr w:rsidR="00C04568" w:rsidRPr="00D41873" w:rsidTr="007B0073">
        <w:trPr>
          <w:trHeight w:val="167"/>
          <w:jc w:val="center"/>
        </w:trPr>
        <w:tc>
          <w:tcPr>
            <w:tcW w:w="961" w:type="pct"/>
            <w:tcBorders>
              <w:top w:val="single" w:sz="4" w:space="0" w:color="auto"/>
              <w:bottom w:val="single" w:sz="4" w:space="0" w:color="auto"/>
            </w:tcBorders>
            <w:shd w:val="clear" w:color="auto" w:fill="auto"/>
            <w:tcMar>
              <w:top w:w="80" w:type="dxa"/>
              <w:left w:w="80" w:type="dxa"/>
              <w:bottom w:w="80" w:type="dxa"/>
              <w:right w:w="80" w:type="dxa"/>
            </w:tcMar>
            <w:vAlign w:val="bottom"/>
          </w:tcPr>
          <w:p w:rsidR="00C04568" w:rsidRPr="00D41873" w:rsidRDefault="00343082">
            <w:pPr>
              <w:pStyle w:val="Body"/>
              <w:rPr>
                <w:sz w:val="20"/>
              </w:rPr>
            </w:pPr>
            <w:r w:rsidRPr="00D41873">
              <w:rPr>
                <w:sz w:val="20"/>
                <w:szCs w:val="22"/>
                <w:lang w:val="es-ES_tradnl"/>
              </w:rPr>
              <w:t>Año</w:t>
            </w:r>
          </w:p>
        </w:tc>
        <w:tc>
          <w:tcPr>
            <w:tcW w:w="347" w:type="pct"/>
            <w:tcBorders>
              <w:top w:val="single" w:sz="4" w:space="0" w:color="auto"/>
              <w:bottom w:val="single" w:sz="4" w:space="0" w:color="auto"/>
            </w:tcBorders>
            <w:shd w:val="clear" w:color="auto" w:fill="auto"/>
            <w:tcMar>
              <w:top w:w="80" w:type="dxa"/>
              <w:left w:w="80" w:type="dxa"/>
              <w:bottom w:w="80" w:type="dxa"/>
              <w:right w:w="80" w:type="dxa"/>
            </w:tcMar>
            <w:vAlign w:val="bottom"/>
          </w:tcPr>
          <w:p w:rsidR="00C04568" w:rsidRPr="00D41873" w:rsidRDefault="00343082">
            <w:pPr>
              <w:pStyle w:val="Body"/>
              <w:jc w:val="right"/>
              <w:rPr>
                <w:sz w:val="20"/>
              </w:rPr>
            </w:pPr>
            <w:r w:rsidRPr="00D41873">
              <w:rPr>
                <w:sz w:val="20"/>
                <w:szCs w:val="22"/>
                <w:lang w:val="es-ES_tradnl"/>
              </w:rPr>
              <w:t>2006</w:t>
            </w:r>
          </w:p>
        </w:tc>
        <w:tc>
          <w:tcPr>
            <w:tcW w:w="411" w:type="pct"/>
            <w:tcBorders>
              <w:top w:val="single" w:sz="4" w:space="0" w:color="auto"/>
              <w:bottom w:val="single" w:sz="4" w:space="0" w:color="auto"/>
            </w:tcBorders>
            <w:shd w:val="clear" w:color="auto" w:fill="auto"/>
            <w:tcMar>
              <w:top w:w="80" w:type="dxa"/>
              <w:left w:w="80" w:type="dxa"/>
              <w:bottom w:w="80" w:type="dxa"/>
              <w:right w:w="80" w:type="dxa"/>
            </w:tcMar>
            <w:vAlign w:val="bottom"/>
          </w:tcPr>
          <w:p w:rsidR="00C04568" w:rsidRPr="00D41873" w:rsidRDefault="00343082">
            <w:pPr>
              <w:pStyle w:val="Body"/>
              <w:jc w:val="right"/>
              <w:rPr>
                <w:sz w:val="20"/>
              </w:rPr>
            </w:pPr>
            <w:r w:rsidRPr="00D41873">
              <w:rPr>
                <w:sz w:val="20"/>
                <w:szCs w:val="22"/>
                <w:lang w:val="es-ES_tradnl"/>
              </w:rPr>
              <w:t>2007</w:t>
            </w:r>
          </w:p>
        </w:tc>
        <w:tc>
          <w:tcPr>
            <w:tcW w:w="411" w:type="pct"/>
            <w:tcBorders>
              <w:top w:val="single" w:sz="4" w:space="0" w:color="auto"/>
              <w:bottom w:val="single" w:sz="4" w:space="0" w:color="auto"/>
            </w:tcBorders>
            <w:shd w:val="clear" w:color="auto" w:fill="auto"/>
            <w:tcMar>
              <w:top w:w="80" w:type="dxa"/>
              <w:left w:w="80" w:type="dxa"/>
              <w:bottom w:w="80" w:type="dxa"/>
              <w:right w:w="80" w:type="dxa"/>
            </w:tcMar>
            <w:vAlign w:val="bottom"/>
          </w:tcPr>
          <w:p w:rsidR="00C04568" w:rsidRPr="00D41873" w:rsidRDefault="00343082">
            <w:pPr>
              <w:pStyle w:val="Body"/>
              <w:jc w:val="right"/>
              <w:rPr>
                <w:sz w:val="20"/>
              </w:rPr>
            </w:pPr>
            <w:r w:rsidRPr="00D41873">
              <w:rPr>
                <w:sz w:val="20"/>
                <w:szCs w:val="22"/>
                <w:lang w:val="es-ES_tradnl"/>
              </w:rPr>
              <w:t>2008</w:t>
            </w:r>
          </w:p>
        </w:tc>
        <w:tc>
          <w:tcPr>
            <w:tcW w:w="410" w:type="pct"/>
            <w:tcBorders>
              <w:top w:val="single" w:sz="4" w:space="0" w:color="auto"/>
              <w:bottom w:val="single" w:sz="4" w:space="0" w:color="auto"/>
            </w:tcBorders>
            <w:shd w:val="clear" w:color="auto" w:fill="auto"/>
            <w:tcMar>
              <w:top w:w="80" w:type="dxa"/>
              <w:left w:w="80" w:type="dxa"/>
              <w:bottom w:w="80" w:type="dxa"/>
              <w:right w:w="80" w:type="dxa"/>
            </w:tcMar>
            <w:vAlign w:val="bottom"/>
          </w:tcPr>
          <w:p w:rsidR="00C04568" w:rsidRPr="00D41873" w:rsidRDefault="00343082">
            <w:pPr>
              <w:pStyle w:val="Body"/>
              <w:jc w:val="right"/>
              <w:rPr>
                <w:sz w:val="20"/>
              </w:rPr>
            </w:pPr>
            <w:r w:rsidRPr="00D41873">
              <w:rPr>
                <w:sz w:val="20"/>
                <w:szCs w:val="22"/>
                <w:lang w:val="es-ES_tradnl"/>
              </w:rPr>
              <w:t>2009</w:t>
            </w:r>
          </w:p>
        </w:tc>
        <w:tc>
          <w:tcPr>
            <w:tcW w:w="410" w:type="pct"/>
            <w:tcBorders>
              <w:top w:val="single" w:sz="4" w:space="0" w:color="auto"/>
              <w:bottom w:val="single" w:sz="4" w:space="0" w:color="auto"/>
            </w:tcBorders>
            <w:shd w:val="clear" w:color="auto" w:fill="auto"/>
            <w:tcMar>
              <w:top w:w="80" w:type="dxa"/>
              <w:left w:w="80" w:type="dxa"/>
              <w:bottom w:w="80" w:type="dxa"/>
              <w:right w:w="80" w:type="dxa"/>
            </w:tcMar>
            <w:vAlign w:val="bottom"/>
          </w:tcPr>
          <w:p w:rsidR="00C04568" w:rsidRPr="00D41873" w:rsidRDefault="00343082">
            <w:pPr>
              <w:pStyle w:val="Body"/>
              <w:jc w:val="right"/>
              <w:rPr>
                <w:sz w:val="20"/>
              </w:rPr>
            </w:pPr>
            <w:r w:rsidRPr="00D41873">
              <w:rPr>
                <w:sz w:val="20"/>
                <w:szCs w:val="22"/>
                <w:lang w:val="es-ES_tradnl"/>
              </w:rPr>
              <w:t>2010</w:t>
            </w:r>
          </w:p>
        </w:tc>
        <w:tc>
          <w:tcPr>
            <w:tcW w:w="410" w:type="pct"/>
            <w:tcBorders>
              <w:top w:val="single" w:sz="4" w:space="0" w:color="auto"/>
              <w:bottom w:val="single" w:sz="4" w:space="0" w:color="auto"/>
            </w:tcBorders>
            <w:shd w:val="clear" w:color="auto" w:fill="auto"/>
            <w:tcMar>
              <w:top w:w="80" w:type="dxa"/>
              <w:left w:w="80" w:type="dxa"/>
              <w:bottom w:w="80" w:type="dxa"/>
              <w:right w:w="80" w:type="dxa"/>
            </w:tcMar>
            <w:vAlign w:val="bottom"/>
          </w:tcPr>
          <w:p w:rsidR="00C04568" w:rsidRPr="00D41873" w:rsidRDefault="00343082">
            <w:pPr>
              <w:pStyle w:val="Body"/>
              <w:jc w:val="right"/>
              <w:rPr>
                <w:sz w:val="20"/>
              </w:rPr>
            </w:pPr>
            <w:r w:rsidRPr="00D41873">
              <w:rPr>
                <w:sz w:val="20"/>
                <w:szCs w:val="22"/>
                <w:lang w:val="es-ES_tradnl"/>
              </w:rPr>
              <w:t>2011</w:t>
            </w:r>
          </w:p>
        </w:tc>
        <w:tc>
          <w:tcPr>
            <w:tcW w:w="410" w:type="pct"/>
            <w:tcBorders>
              <w:top w:val="single" w:sz="4" w:space="0" w:color="auto"/>
              <w:bottom w:val="single" w:sz="4" w:space="0" w:color="auto"/>
            </w:tcBorders>
            <w:shd w:val="clear" w:color="auto" w:fill="auto"/>
            <w:tcMar>
              <w:top w:w="80" w:type="dxa"/>
              <w:left w:w="80" w:type="dxa"/>
              <w:bottom w:w="80" w:type="dxa"/>
              <w:right w:w="80" w:type="dxa"/>
            </w:tcMar>
            <w:vAlign w:val="bottom"/>
          </w:tcPr>
          <w:p w:rsidR="00C04568" w:rsidRPr="00D41873" w:rsidRDefault="00343082">
            <w:pPr>
              <w:pStyle w:val="Body"/>
              <w:jc w:val="right"/>
              <w:rPr>
                <w:sz w:val="20"/>
              </w:rPr>
            </w:pPr>
            <w:r w:rsidRPr="00D41873">
              <w:rPr>
                <w:sz w:val="20"/>
                <w:szCs w:val="22"/>
                <w:lang w:val="es-ES_tradnl"/>
              </w:rPr>
              <w:t>2012</w:t>
            </w:r>
          </w:p>
        </w:tc>
        <w:tc>
          <w:tcPr>
            <w:tcW w:w="410" w:type="pct"/>
            <w:tcBorders>
              <w:top w:val="single" w:sz="4" w:space="0" w:color="auto"/>
              <w:bottom w:val="single" w:sz="4" w:space="0" w:color="auto"/>
            </w:tcBorders>
            <w:shd w:val="clear" w:color="auto" w:fill="auto"/>
            <w:tcMar>
              <w:top w:w="80" w:type="dxa"/>
              <w:left w:w="80" w:type="dxa"/>
              <w:bottom w:w="80" w:type="dxa"/>
              <w:right w:w="80" w:type="dxa"/>
            </w:tcMar>
            <w:vAlign w:val="bottom"/>
          </w:tcPr>
          <w:p w:rsidR="00C04568" w:rsidRPr="00D41873" w:rsidRDefault="00343082">
            <w:pPr>
              <w:pStyle w:val="Body"/>
              <w:jc w:val="right"/>
              <w:rPr>
                <w:sz w:val="20"/>
              </w:rPr>
            </w:pPr>
            <w:r w:rsidRPr="00D41873">
              <w:rPr>
                <w:sz w:val="20"/>
                <w:szCs w:val="22"/>
                <w:lang w:val="es-ES_tradnl"/>
              </w:rPr>
              <w:t>2013</w:t>
            </w:r>
          </w:p>
        </w:tc>
        <w:tc>
          <w:tcPr>
            <w:tcW w:w="410" w:type="pct"/>
            <w:tcBorders>
              <w:top w:val="single" w:sz="4" w:space="0" w:color="auto"/>
              <w:bottom w:val="single" w:sz="4" w:space="0" w:color="auto"/>
            </w:tcBorders>
            <w:shd w:val="clear" w:color="auto" w:fill="auto"/>
            <w:tcMar>
              <w:top w:w="80" w:type="dxa"/>
              <w:left w:w="80" w:type="dxa"/>
              <w:bottom w:w="80" w:type="dxa"/>
              <w:right w:w="80" w:type="dxa"/>
            </w:tcMar>
            <w:vAlign w:val="bottom"/>
          </w:tcPr>
          <w:p w:rsidR="00C04568" w:rsidRPr="00D41873" w:rsidRDefault="00343082">
            <w:pPr>
              <w:pStyle w:val="Body"/>
              <w:jc w:val="right"/>
              <w:rPr>
                <w:sz w:val="20"/>
              </w:rPr>
            </w:pPr>
            <w:r w:rsidRPr="00D41873">
              <w:rPr>
                <w:sz w:val="20"/>
                <w:szCs w:val="22"/>
                <w:lang w:val="es-ES_tradnl"/>
              </w:rPr>
              <w:t>2014</w:t>
            </w:r>
          </w:p>
        </w:tc>
        <w:tc>
          <w:tcPr>
            <w:tcW w:w="410" w:type="pct"/>
            <w:tcBorders>
              <w:top w:val="single" w:sz="4" w:space="0" w:color="auto"/>
              <w:bottom w:val="single" w:sz="4" w:space="0" w:color="auto"/>
            </w:tcBorders>
            <w:shd w:val="clear" w:color="auto" w:fill="auto"/>
            <w:tcMar>
              <w:top w:w="80" w:type="dxa"/>
              <w:left w:w="80" w:type="dxa"/>
              <w:bottom w:w="80" w:type="dxa"/>
              <w:right w:w="80" w:type="dxa"/>
            </w:tcMar>
            <w:vAlign w:val="bottom"/>
          </w:tcPr>
          <w:p w:rsidR="00C04568" w:rsidRPr="00D41873" w:rsidRDefault="00343082">
            <w:pPr>
              <w:pStyle w:val="Body"/>
              <w:jc w:val="right"/>
              <w:rPr>
                <w:sz w:val="20"/>
              </w:rPr>
            </w:pPr>
            <w:r w:rsidRPr="00D41873">
              <w:rPr>
                <w:sz w:val="20"/>
                <w:szCs w:val="22"/>
                <w:lang w:val="es-ES_tradnl"/>
              </w:rPr>
              <w:t>2015</w:t>
            </w:r>
          </w:p>
        </w:tc>
      </w:tr>
      <w:tr w:rsidR="00C04568" w:rsidRPr="00D41873" w:rsidTr="007B0073">
        <w:trPr>
          <w:trHeight w:val="471"/>
          <w:jc w:val="center"/>
        </w:trPr>
        <w:tc>
          <w:tcPr>
            <w:tcW w:w="961" w:type="pct"/>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D41873" w:rsidRDefault="00343082">
            <w:pPr>
              <w:pStyle w:val="Body"/>
              <w:rPr>
                <w:sz w:val="20"/>
              </w:rPr>
            </w:pPr>
            <w:r w:rsidRPr="00D41873">
              <w:rPr>
                <w:sz w:val="20"/>
                <w:szCs w:val="22"/>
                <w:lang w:val="es-ES_tradnl"/>
              </w:rPr>
              <w:t>Aprobaciones (USD millones)</w:t>
            </w:r>
          </w:p>
        </w:tc>
        <w:tc>
          <w:tcPr>
            <w:tcW w:w="347" w:type="pct"/>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D41873" w:rsidRDefault="00343082">
            <w:pPr>
              <w:pStyle w:val="Body"/>
              <w:jc w:val="center"/>
              <w:rPr>
                <w:sz w:val="20"/>
              </w:rPr>
            </w:pPr>
            <w:r w:rsidRPr="00D41873">
              <w:rPr>
                <w:sz w:val="20"/>
                <w:szCs w:val="22"/>
                <w:lang w:val="es-ES_tradnl"/>
              </w:rPr>
              <w:t>18,8</w:t>
            </w:r>
          </w:p>
        </w:tc>
        <w:tc>
          <w:tcPr>
            <w:tcW w:w="411" w:type="pct"/>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D41873" w:rsidRDefault="00343082">
            <w:pPr>
              <w:pStyle w:val="Body"/>
              <w:jc w:val="center"/>
              <w:rPr>
                <w:sz w:val="20"/>
              </w:rPr>
            </w:pPr>
            <w:r w:rsidRPr="00D41873">
              <w:rPr>
                <w:sz w:val="20"/>
                <w:szCs w:val="22"/>
                <w:lang w:val="es-ES_tradnl"/>
              </w:rPr>
              <w:t>68,8</w:t>
            </w:r>
          </w:p>
        </w:tc>
        <w:tc>
          <w:tcPr>
            <w:tcW w:w="411" w:type="pct"/>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D41873" w:rsidRDefault="00343082">
            <w:pPr>
              <w:pStyle w:val="Body"/>
              <w:jc w:val="center"/>
              <w:rPr>
                <w:sz w:val="20"/>
              </w:rPr>
            </w:pPr>
            <w:r w:rsidRPr="00D41873">
              <w:rPr>
                <w:sz w:val="20"/>
                <w:szCs w:val="22"/>
                <w:lang w:val="es-ES_tradnl"/>
              </w:rPr>
              <w:t>127,5</w:t>
            </w:r>
          </w:p>
        </w:tc>
        <w:tc>
          <w:tcPr>
            <w:tcW w:w="410" w:type="pct"/>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D41873" w:rsidRDefault="00343082">
            <w:pPr>
              <w:pStyle w:val="Body"/>
              <w:jc w:val="center"/>
              <w:rPr>
                <w:sz w:val="20"/>
              </w:rPr>
            </w:pPr>
            <w:r w:rsidRPr="00D41873">
              <w:rPr>
                <w:sz w:val="20"/>
                <w:szCs w:val="22"/>
                <w:lang w:val="es-ES_tradnl"/>
              </w:rPr>
              <w:t>50,8</w:t>
            </w:r>
          </w:p>
        </w:tc>
        <w:tc>
          <w:tcPr>
            <w:tcW w:w="410" w:type="pct"/>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D41873" w:rsidRDefault="00343082">
            <w:pPr>
              <w:pStyle w:val="Body"/>
              <w:jc w:val="center"/>
              <w:rPr>
                <w:sz w:val="20"/>
              </w:rPr>
            </w:pPr>
            <w:r w:rsidRPr="00D41873">
              <w:rPr>
                <w:sz w:val="20"/>
                <w:szCs w:val="22"/>
                <w:lang w:val="es-ES_tradnl"/>
              </w:rPr>
              <w:t>245,5</w:t>
            </w:r>
          </w:p>
        </w:tc>
        <w:tc>
          <w:tcPr>
            <w:tcW w:w="410" w:type="pct"/>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D41873" w:rsidRDefault="00343082">
            <w:pPr>
              <w:pStyle w:val="Body"/>
              <w:jc w:val="center"/>
              <w:rPr>
                <w:sz w:val="20"/>
              </w:rPr>
            </w:pPr>
            <w:r w:rsidRPr="00D41873">
              <w:rPr>
                <w:sz w:val="20"/>
                <w:szCs w:val="22"/>
                <w:lang w:val="es-ES_tradnl"/>
              </w:rPr>
              <w:t>222,5</w:t>
            </w:r>
          </w:p>
        </w:tc>
        <w:tc>
          <w:tcPr>
            <w:tcW w:w="410" w:type="pct"/>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D41873" w:rsidRDefault="00343082">
            <w:pPr>
              <w:pStyle w:val="Body"/>
              <w:jc w:val="center"/>
              <w:rPr>
                <w:sz w:val="20"/>
              </w:rPr>
            </w:pPr>
            <w:r w:rsidRPr="00D41873">
              <w:rPr>
                <w:sz w:val="20"/>
                <w:szCs w:val="22"/>
                <w:lang w:val="es-ES_tradnl"/>
              </w:rPr>
              <w:t>193,3</w:t>
            </w:r>
          </w:p>
        </w:tc>
        <w:tc>
          <w:tcPr>
            <w:tcW w:w="410" w:type="pct"/>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D41873" w:rsidRDefault="00343082">
            <w:pPr>
              <w:pStyle w:val="Body"/>
              <w:jc w:val="center"/>
              <w:rPr>
                <w:sz w:val="20"/>
              </w:rPr>
            </w:pPr>
            <w:r w:rsidRPr="00D41873">
              <w:rPr>
                <w:sz w:val="20"/>
                <w:szCs w:val="22"/>
                <w:lang w:val="es-ES_tradnl"/>
              </w:rPr>
              <w:t>153,0</w:t>
            </w:r>
          </w:p>
        </w:tc>
        <w:tc>
          <w:tcPr>
            <w:tcW w:w="410" w:type="pct"/>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D41873" w:rsidRDefault="00343082">
            <w:pPr>
              <w:pStyle w:val="Body"/>
              <w:jc w:val="center"/>
              <w:rPr>
                <w:sz w:val="20"/>
              </w:rPr>
            </w:pPr>
            <w:r w:rsidRPr="00D41873">
              <w:rPr>
                <w:sz w:val="20"/>
                <w:szCs w:val="22"/>
                <w:lang w:val="es-ES_tradnl"/>
              </w:rPr>
              <w:t>408,1</w:t>
            </w:r>
          </w:p>
        </w:tc>
        <w:tc>
          <w:tcPr>
            <w:tcW w:w="410" w:type="pct"/>
            <w:tcBorders>
              <w:top w:val="single" w:sz="4" w:space="0" w:color="auto"/>
              <w:bottom w:val="single" w:sz="4" w:space="0" w:color="auto"/>
            </w:tcBorders>
            <w:shd w:val="clear" w:color="auto" w:fill="auto"/>
            <w:tcMar>
              <w:top w:w="80" w:type="dxa"/>
              <w:left w:w="80" w:type="dxa"/>
              <w:bottom w:w="80" w:type="dxa"/>
              <w:right w:w="80" w:type="dxa"/>
            </w:tcMar>
            <w:vAlign w:val="center"/>
          </w:tcPr>
          <w:p w:rsidR="00C04568" w:rsidRPr="00D41873" w:rsidRDefault="00343082">
            <w:pPr>
              <w:pStyle w:val="Body"/>
              <w:jc w:val="center"/>
              <w:rPr>
                <w:sz w:val="20"/>
              </w:rPr>
            </w:pPr>
            <w:r w:rsidRPr="00D41873">
              <w:rPr>
                <w:sz w:val="20"/>
                <w:szCs w:val="22"/>
                <w:lang w:val="es-ES_tradnl"/>
              </w:rPr>
              <w:t>238,4</w:t>
            </w:r>
          </w:p>
        </w:tc>
      </w:tr>
      <w:tr w:rsidR="00A5089D" w:rsidRPr="00A5089D" w:rsidTr="007B0073">
        <w:trPr>
          <w:trHeight w:val="833"/>
          <w:jc w:val="center"/>
        </w:trPr>
        <w:tc>
          <w:tcPr>
            <w:tcW w:w="961" w:type="pct"/>
            <w:tcBorders>
              <w:top w:val="single" w:sz="4" w:space="0" w:color="auto"/>
            </w:tcBorders>
            <w:shd w:val="clear" w:color="auto" w:fill="auto"/>
            <w:tcMar>
              <w:top w:w="80" w:type="dxa"/>
              <w:left w:w="80" w:type="dxa"/>
              <w:bottom w:w="80" w:type="dxa"/>
              <w:right w:w="80" w:type="dxa"/>
            </w:tcMar>
            <w:vAlign w:val="center"/>
          </w:tcPr>
          <w:p w:rsidR="00C04568" w:rsidRPr="00A5089D" w:rsidRDefault="00343082">
            <w:pPr>
              <w:pStyle w:val="Body"/>
              <w:rPr>
                <w:color w:val="000000" w:themeColor="text1"/>
                <w:sz w:val="20"/>
              </w:rPr>
            </w:pPr>
            <w:r w:rsidRPr="00A5089D">
              <w:rPr>
                <w:color w:val="000000" w:themeColor="text1"/>
                <w:sz w:val="20"/>
                <w:szCs w:val="22"/>
                <w:lang w:val="es-ES_tradnl"/>
              </w:rPr>
              <w:t>Participación sobre el total de aprobaciones (%)</w:t>
            </w:r>
          </w:p>
        </w:tc>
        <w:tc>
          <w:tcPr>
            <w:tcW w:w="347" w:type="pct"/>
            <w:tcBorders>
              <w:top w:val="single" w:sz="4" w:space="0" w:color="auto"/>
            </w:tcBorders>
            <w:shd w:val="clear" w:color="auto" w:fill="auto"/>
            <w:tcMar>
              <w:top w:w="80" w:type="dxa"/>
              <w:left w:w="80" w:type="dxa"/>
              <w:bottom w:w="80" w:type="dxa"/>
              <w:right w:w="80" w:type="dxa"/>
            </w:tcMar>
            <w:vAlign w:val="center"/>
          </w:tcPr>
          <w:p w:rsidR="00C04568" w:rsidRPr="00A5089D" w:rsidRDefault="00343082">
            <w:pPr>
              <w:pStyle w:val="Body"/>
              <w:jc w:val="center"/>
              <w:rPr>
                <w:color w:val="000000" w:themeColor="text1"/>
                <w:sz w:val="20"/>
              </w:rPr>
            </w:pPr>
            <w:r w:rsidRPr="00A5089D">
              <w:rPr>
                <w:color w:val="000000" w:themeColor="text1"/>
                <w:sz w:val="20"/>
                <w:szCs w:val="22"/>
                <w:lang w:val="es-ES_tradnl"/>
              </w:rPr>
              <w:t>7,1%</w:t>
            </w:r>
          </w:p>
        </w:tc>
        <w:tc>
          <w:tcPr>
            <w:tcW w:w="411" w:type="pct"/>
            <w:tcBorders>
              <w:top w:val="single" w:sz="4" w:space="0" w:color="auto"/>
            </w:tcBorders>
            <w:shd w:val="clear" w:color="auto" w:fill="auto"/>
            <w:tcMar>
              <w:top w:w="80" w:type="dxa"/>
              <w:left w:w="80" w:type="dxa"/>
              <w:bottom w:w="80" w:type="dxa"/>
              <w:right w:w="80" w:type="dxa"/>
            </w:tcMar>
            <w:vAlign w:val="center"/>
          </w:tcPr>
          <w:p w:rsidR="00C04568" w:rsidRPr="00A5089D" w:rsidRDefault="00343082">
            <w:pPr>
              <w:pStyle w:val="Body"/>
              <w:jc w:val="center"/>
              <w:rPr>
                <w:color w:val="000000" w:themeColor="text1"/>
                <w:sz w:val="20"/>
              </w:rPr>
            </w:pPr>
            <w:r w:rsidRPr="00A5089D">
              <w:rPr>
                <w:color w:val="000000" w:themeColor="text1"/>
                <w:sz w:val="20"/>
                <w:szCs w:val="22"/>
                <w:lang w:val="es-ES_tradnl"/>
              </w:rPr>
              <w:t>56,4%</w:t>
            </w:r>
          </w:p>
        </w:tc>
        <w:tc>
          <w:tcPr>
            <w:tcW w:w="411" w:type="pct"/>
            <w:tcBorders>
              <w:top w:val="single" w:sz="4" w:space="0" w:color="auto"/>
            </w:tcBorders>
            <w:shd w:val="clear" w:color="auto" w:fill="auto"/>
            <w:tcMar>
              <w:top w:w="80" w:type="dxa"/>
              <w:left w:w="80" w:type="dxa"/>
              <w:bottom w:w="80" w:type="dxa"/>
              <w:right w:w="80" w:type="dxa"/>
            </w:tcMar>
            <w:vAlign w:val="center"/>
          </w:tcPr>
          <w:p w:rsidR="00C04568" w:rsidRPr="00A5089D" w:rsidRDefault="00343082">
            <w:pPr>
              <w:pStyle w:val="Body"/>
              <w:jc w:val="center"/>
              <w:rPr>
                <w:color w:val="000000" w:themeColor="text1"/>
                <w:sz w:val="20"/>
              </w:rPr>
            </w:pPr>
            <w:r w:rsidRPr="00A5089D">
              <w:rPr>
                <w:color w:val="000000" w:themeColor="text1"/>
                <w:sz w:val="20"/>
                <w:szCs w:val="22"/>
                <w:lang w:val="es-ES_tradnl"/>
              </w:rPr>
              <w:t>21,7%</w:t>
            </w:r>
          </w:p>
        </w:tc>
        <w:tc>
          <w:tcPr>
            <w:tcW w:w="410" w:type="pct"/>
            <w:tcBorders>
              <w:top w:val="single" w:sz="4" w:space="0" w:color="auto"/>
            </w:tcBorders>
            <w:shd w:val="clear" w:color="auto" w:fill="auto"/>
            <w:tcMar>
              <w:top w:w="80" w:type="dxa"/>
              <w:left w:w="80" w:type="dxa"/>
              <w:bottom w:w="80" w:type="dxa"/>
              <w:right w:w="80" w:type="dxa"/>
            </w:tcMar>
            <w:vAlign w:val="center"/>
          </w:tcPr>
          <w:p w:rsidR="00C04568" w:rsidRPr="00A5089D" w:rsidRDefault="00343082">
            <w:pPr>
              <w:pStyle w:val="Body"/>
              <w:jc w:val="center"/>
              <w:rPr>
                <w:color w:val="000000" w:themeColor="text1"/>
                <w:sz w:val="20"/>
              </w:rPr>
            </w:pPr>
            <w:r w:rsidRPr="00A5089D">
              <w:rPr>
                <w:color w:val="000000" w:themeColor="text1"/>
                <w:sz w:val="20"/>
                <w:szCs w:val="22"/>
                <w:lang w:val="es-ES_tradnl"/>
              </w:rPr>
              <w:t>16,2%</w:t>
            </w:r>
          </w:p>
        </w:tc>
        <w:tc>
          <w:tcPr>
            <w:tcW w:w="410" w:type="pct"/>
            <w:tcBorders>
              <w:top w:val="single" w:sz="4" w:space="0" w:color="auto"/>
            </w:tcBorders>
            <w:shd w:val="clear" w:color="auto" w:fill="auto"/>
            <w:tcMar>
              <w:top w:w="80" w:type="dxa"/>
              <w:left w:w="80" w:type="dxa"/>
              <w:bottom w:w="80" w:type="dxa"/>
              <w:right w:w="80" w:type="dxa"/>
            </w:tcMar>
            <w:vAlign w:val="center"/>
          </w:tcPr>
          <w:p w:rsidR="00C04568" w:rsidRPr="00A5089D" w:rsidRDefault="00343082">
            <w:pPr>
              <w:pStyle w:val="Body"/>
              <w:jc w:val="center"/>
              <w:rPr>
                <w:color w:val="000000" w:themeColor="text1"/>
                <w:sz w:val="20"/>
              </w:rPr>
            </w:pPr>
            <w:r w:rsidRPr="00A5089D">
              <w:rPr>
                <w:color w:val="000000" w:themeColor="text1"/>
                <w:sz w:val="20"/>
                <w:szCs w:val="22"/>
                <w:lang w:val="es-ES_tradnl"/>
              </w:rPr>
              <w:t>36,5%</w:t>
            </w:r>
          </w:p>
        </w:tc>
        <w:tc>
          <w:tcPr>
            <w:tcW w:w="410" w:type="pct"/>
            <w:tcBorders>
              <w:top w:val="single" w:sz="4" w:space="0" w:color="auto"/>
            </w:tcBorders>
            <w:shd w:val="clear" w:color="auto" w:fill="auto"/>
            <w:tcMar>
              <w:top w:w="80" w:type="dxa"/>
              <w:left w:w="80" w:type="dxa"/>
              <w:bottom w:w="80" w:type="dxa"/>
              <w:right w:w="80" w:type="dxa"/>
            </w:tcMar>
            <w:vAlign w:val="center"/>
          </w:tcPr>
          <w:p w:rsidR="00C04568" w:rsidRPr="00A5089D" w:rsidRDefault="00343082">
            <w:pPr>
              <w:pStyle w:val="Body"/>
              <w:jc w:val="center"/>
              <w:rPr>
                <w:color w:val="000000" w:themeColor="text1"/>
                <w:sz w:val="20"/>
              </w:rPr>
            </w:pPr>
            <w:r w:rsidRPr="00A5089D">
              <w:rPr>
                <w:color w:val="000000" w:themeColor="text1"/>
                <w:sz w:val="20"/>
                <w:szCs w:val="22"/>
                <w:lang w:val="es-ES_tradnl"/>
              </w:rPr>
              <w:t>33,3%</w:t>
            </w:r>
          </w:p>
        </w:tc>
        <w:tc>
          <w:tcPr>
            <w:tcW w:w="410" w:type="pct"/>
            <w:tcBorders>
              <w:top w:val="single" w:sz="4" w:space="0" w:color="auto"/>
            </w:tcBorders>
            <w:shd w:val="clear" w:color="auto" w:fill="auto"/>
            <w:tcMar>
              <w:top w:w="80" w:type="dxa"/>
              <w:left w:w="80" w:type="dxa"/>
              <w:bottom w:w="80" w:type="dxa"/>
              <w:right w:w="80" w:type="dxa"/>
            </w:tcMar>
            <w:vAlign w:val="center"/>
          </w:tcPr>
          <w:p w:rsidR="00C04568" w:rsidRPr="00A5089D" w:rsidRDefault="00343082">
            <w:pPr>
              <w:pStyle w:val="Body"/>
              <w:jc w:val="center"/>
              <w:rPr>
                <w:color w:val="000000" w:themeColor="text1"/>
                <w:sz w:val="20"/>
              </w:rPr>
            </w:pPr>
            <w:r w:rsidRPr="00A5089D">
              <w:rPr>
                <w:color w:val="000000" w:themeColor="text1"/>
                <w:sz w:val="20"/>
                <w:szCs w:val="22"/>
                <w:lang w:val="es-ES_tradnl"/>
              </w:rPr>
              <w:t>42,6%</w:t>
            </w:r>
          </w:p>
        </w:tc>
        <w:tc>
          <w:tcPr>
            <w:tcW w:w="410" w:type="pct"/>
            <w:tcBorders>
              <w:top w:val="single" w:sz="4" w:space="0" w:color="auto"/>
            </w:tcBorders>
            <w:shd w:val="clear" w:color="auto" w:fill="auto"/>
            <w:tcMar>
              <w:top w:w="80" w:type="dxa"/>
              <w:left w:w="80" w:type="dxa"/>
              <w:bottom w:w="80" w:type="dxa"/>
              <w:right w:w="80" w:type="dxa"/>
            </w:tcMar>
            <w:vAlign w:val="center"/>
          </w:tcPr>
          <w:p w:rsidR="00C04568" w:rsidRPr="00A5089D" w:rsidRDefault="00343082">
            <w:pPr>
              <w:pStyle w:val="Body"/>
              <w:jc w:val="center"/>
              <w:rPr>
                <w:color w:val="000000" w:themeColor="text1"/>
                <w:sz w:val="20"/>
              </w:rPr>
            </w:pPr>
            <w:r w:rsidRPr="00A5089D">
              <w:rPr>
                <w:color w:val="000000" w:themeColor="text1"/>
                <w:sz w:val="20"/>
                <w:szCs w:val="22"/>
                <w:lang w:val="es-ES_tradnl"/>
              </w:rPr>
              <w:t>25,5%</w:t>
            </w:r>
          </w:p>
        </w:tc>
        <w:tc>
          <w:tcPr>
            <w:tcW w:w="410" w:type="pct"/>
            <w:tcBorders>
              <w:top w:val="single" w:sz="4" w:space="0" w:color="auto"/>
            </w:tcBorders>
            <w:shd w:val="clear" w:color="auto" w:fill="auto"/>
            <w:tcMar>
              <w:top w:w="80" w:type="dxa"/>
              <w:left w:w="80" w:type="dxa"/>
              <w:bottom w:w="80" w:type="dxa"/>
              <w:right w:w="80" w:type="dxa"/>
            </w:tcMar>
            <w:vAlign w:val="center"/>
          </w:tcPr>
          <w:p w:rsidR="00C04568" w:rsidRPr="00A5089D" w:rsidRDefault="00343082">
            <w:pPr>
              <w:pStyle w:val="Body"/>
              <w:jc w:val="center"/>
              <w:rPr>
                <w:color w:val="000000" w:themeColor="text1"/>
                <w:sz w:val="20"/>
              </w:rPr>
            </w:pPr>
            <w:r w:rsidRPr="00A5089D">
              <w:rPr>
                <w:color w:val="000000" w:themeColor="text1"/>
                <w:sz w:val="20"/>
                <w:szCs w:val="22"/>
                <w:lang w:val="es-ES_tradnl"/>
              </w:rPr>
              <w:t>50,2%</w:t>
            </w:r>
          </w:p>
        </w:tc>
        <w:tc>
          <w:tcPr>
            <w:tcW w:w="410" w:type="pct"/>
            <w:tcBorders>
              <w:top w:val="single" w:sz="4" w:space="0" w:color="auto"/>
            </w:tcBorders>
            <w:shd w:val="clear" w:color="auto" w:fill="auto"/>
            <w:tcMar>
              <w:top w:w="80" w:type="dxa"/>
              <w:left w:w="80" w:type="dxa"/>
              <w:bottom w:w="80" w:type="dxa"/>
              <w:right w:w="80" w:type="dxa"/>
            </w:tcMar>
            <w:vAlign w:val="center"/>
          </w:tcPr>
          <w:p w:rsidR="00C04568" w:rsidRPr="00A5089D" w:rsidRDefault="00343082">
            <w:pPr>
              <w:pStyle w:val="Body"/>
              <w:jc w:val="center"/>
              <w:rPr>
                <w:color w:val="000000" w:themeColor="text1"/>
                <w:sz w:val="20"/>
              </w:rPr>
            </w:pPr>
            <w:r w:rsidRPr="00A5089D">
              <w:rPr>
                <w:color w:val="000000" w:themeColor="text1"/>
                <w:sz w:val="20"/>
                <w:szCs w:val="22"/>
                <w:lang w:val="es-ES_tradnl"/>
              </w:rPr>
              <w:t>38,7%</w:t>
            </w:r>
          </w:p>
        </w:tc>
      </w:tr>
    </w:tbl>
    <w:p w:rsidR="00C04568" w:rsidRPr="00A5089D" w:rsidRDefault="00343082" w:rsidP="00B166E3">
      <w:pPr>
        <w:pStyle w:val="BodyA"/>
        <w:spacing w:after="0" w:line="360" w:lineRule="auto"/>
        <w:jc w:val="center"/>
        <w:rPr>
          <w:rFonts w:ascii="Times New Roman" w:eastAsia="Times New Roman" w:hAnsi="Times New Roman" w:cs="Times New Roman"/>
          <w:color w:val="000000" w:themeColor="text1"/>
          <w:sz w:val="20"/>
          <w:szCs w:val="20"/>
        </w:rPr>
      </w:pPr>
      <w:r w:rsidRPr="00A5089D">
        <w:rPr>
          <w:rFonts w:ascii="Times New Roman" w:hAnsi="Times New Roman"/>
          <w:color w:val="000000" w:themeColor="text1"/>
          <w:sz w:val="20"/>
          <w:szCs w:val="20"/>
        </w:rPr>
        <w:t>Fuente: Elaboración propia con base en Banco del Estado</w:t>
      </w:r>
      <w:r w:rsidR="00B166E3" w:rsidRPr="00A5089D">
        <w:rPr>
          <w:rFonts w:ascii="Times New Roman" w:hAnsi="Times New Roman"/>
          <w:color w:val="000000" w:themeColor="text1"/>
          <w:sz w:val="20"/>
          <w:szCs w:val="20"/>
          <w:lang w:val="pt-PT"/>
        </w:rPr>
        <w:t xml:space="preserve"> (2016)</w:t>
      </w:r>
    </w:p>
    <w:p w:rsidR="00C04568" w:rsidRPr="00A5089D" w:rsidRDefault="00C04568" w:rsidP="00A329AA">
      <w:pPr>
        <w:pStyle w:val="BodyA"/>
        <w:spacing w:after="0"/>
        <w:jc w:val="center"/>
        <w:rPr>
          <w:rFonts w:ascii="Times New Roman" w:eastAsia="Times New Roman" w:hAnsi="Times New Roman" w:cs="Times New Roman"/>
          <w:color w:val="000000" w:themeColor="text1"/>
        </w:rPr>
      </w:pPr>
    </w:p>
    <w:p w:rsidR="00C04568" w:rsidRPr="00A5089D" w:rsidRDefault="00343082" w:rsidP="00537D1E">
      <w:pPr>
        <w:pStyle w:val="Ttulo1"/>
        <w:spacing w:before="0" w:line="240" w:lineRule="auto"/>
        <w:rPr>
          <w:rFonts w:ascii="Times New Roman" w:eastAsia="Times New Roman" w:hAnsi="Times New Roman" w:cs="Times New Roman"/>
          <w:color w:val="000000" w:themeColor="text1"/>
          <w:sz w:val="24"/>
          <w:szCs w:val="22"/>
          <w:u w:color="000000"/>
        </w:rPr>
      </w:pPr>
      <w:r w:rsidRPr="00A5089D">
        <w:rPr>
          <w:rFonts w:ascii="Times New Roman" w:hAnsi="Times New Roman"/>
          <w:color w:val="000000" w:themeColor="text1"/>
          <w:sz w:val="24"/>
          <w:szCs w:val="22"/>
          <w:u w:color="000000"/>
        </w:rPr>
        <w:t>Conclusiones</w:t>
      </w:r>
    </w:p>
    <w:p w:rsidR="00C04568" w:rsidRPr="00A5089D" w:rsidRDefault="00C04568" w:rsidP="00537D1E">
      <w:pPr>
        <w:pStyle w:val="SubtitleAA"/>
        <w:rPr>
          <w:color w:val="000000" w:themeColor="text1"/>
          <w:sz w:val="26"/>
          <w:lang w:val="es-ES_tradnl"/>
        </w:rPr>
      </w:pPr>
    </w:p>
    <w:p w:rsidR="00B14EB7" w:rsidRPr="00A5089D" w:rsidRDefault="00EF49D0" w:rsidP="00537D1E">
      <w:pPr>
        <w:pStyle w:val="BodyA"/>
        <w:spacing w:after="0" w:line="240" w:lineRule="auto"/>
        <w:jc w:val="both"/>
        <w:rPr>
          <w:rFonts w:ascii="Times New Roman" w:hAnsi="Times New Roman"/>
          <w:color w:val="000000" w:themeColor="text1"/>
          <w:sz w:val="24"/>
        </w:rPr>
      </w:pPr>
      <w:r w:rsidRPr="00A5089D">
        <w:rPr>
          <w:rFonts w:ascii="Times New Roman" w:hAnsi="Times New Roman"/>
          <w:color w:val="000000" w:themeColor="text1"/>
          <w:sz w:val="24"/>
        </w:rPr>
        <w:t>Desde los enfoques clásicos</w:t>
      </w:r>
      <w:r w:rsidR="008F1854" w:rsidRPr="00A5089D">
        <w:rPr>
          <w:rFonts w:ascii="Times New Roman" w:hAnsi="Times New Roman"/>
          <w:color w:val="000000" w:themeColor="text1"/>
          <w:sz w:val="24"/>
        </w:rPr>
        <w:t>,</w:t>
      </w:r>
      <w:r w:rsidRPr="00A5089D">
        <w:rPr>
          <w:rFonts w:ascii="Times New Roman" w:hAnsi="Times New Roman"/>
          <w:color w:val="000000" w:themeColor="text1"/>
          <w:sz w:val="24"/>
        </w:rPr>
        <w:t xml:space="preserve"> el problema del cambio de la política ha sido trabajado como un objeto que puede ser estudiado directamente</w:t>
      </w:r>
      <w:r w:rsidR="008F1854" w:rsidRPr="00A5089D">
        <w:rPr>
          <w:rFonts w:ascii="Times New Roman" w:hAnsi="Times New Roman"/>
          <w:color w:val="000000" w:themeColor="text1"/>
          <w:sz w:val="24"/>
        </w:rPr>
        <w:t xml:space="preserve"> por el investigador para establecer su causalidad. Esta investigación intenta evitar dicha objetivación, que usualmente distorsiona el objeto de estudio</w:t>
      </w:r>
      <w:r w:rsidR="00CC08D6" w:rsidRPr="00A5089D">
        <w:rPr>
          <w:rFonts w:ascii="Times New Roman" w:hAnsi="Times New Roman"/>
          <w:color w:val="000000" w:themeColor="text1"/>
          <w:sz w:val="24"/>
        </w:rPr>
        <w:t xml:space="preserve"> (Zittoun, 2009</w:t>
      </w:r>
      <w:r w:rsidR="008F1854" w:rsidRPr="00A5089D">
        <w:rPr>
          <w:rFonts w:ascii="Times New Roman" w:hAnsi="Times New Roman"/>
          <w:color w:val="000000" w:themeColor="text1"/>
          <w:sz w:val="24"/>
        </w:rPr>
        <w:t xml:space="preserve">), a través del análisis de los bordes de las redes de política, de los límites que muestra el consenso adquirido entre los actores. Para ello hemos puesto a prueba la noción de autoridad política y la potente agencia de un actor capaz de ejercer jerarquía y dominio dentro del proceso de toma de decisiones. Esto implica la novedad de adentrarse en el </w:t>
      </w:r>
      <w:r w:rsidR="008F1854" w:rsidRPr="00A5089D">
        <w:rPr>
          <w:rFonts w:ascii="Times New Roman" w:hAnsi="Times New Roman"/>
          <w:i/>
          <w:color w:val="000000" w:themeColor="text1"/>
          <w:sz w:val="24"/>
        </w:rPr>
        <w:t>politics</w:t>
      </w:r>
      <w:r w:rsidR="008F1854" w:rsidRPr="00A5089D">
        <w:rPr>
          <w:rFonts w:ascii="Times New Roman" w:hAnsi="Times New Roman"/>
          <w:color w:val="000000" w:themeColor="text1"/>
          <w:sz w:val="24"/>
        </w:rPr>
        <w:t xml:space="preserve"> de la política pública y no solo quedarse en la superficie del </w:t>
      </w:r>
      <w:r w:rsidR="008F1854" w:rsidRPr="00A5089D">
        <w:rPr>
          <w:rFonts w:ascii="Times New Roman" w:hAnsi="Times New Roman"/>
          <w:i/>
          <w:color w:val="000000" w:themeColor="text1"/>
          <w:sz w:val="24"/>
        </w:rPr>
        <w:t>policy</w:t>
      </w:r>
      <w:r w:rsidR="00B14EB7" w:rsidRPr="00A5089D">
        <w:rPr>
          <w:rFonts w:ascii="Times New Roman" w:hAnsi="Times New Roman"/>
          <w:color w:val="000000" w:themeColor="text1"/>
          <w:sz w:val="24"/>
        </w:rPr>
        <w:t xml:space="preserve">. </w:t>
      </w:r>
      <w:r w:rsidR="008F1854" w:rsidRPr="00A5089D">
        <w:rPr>
          <w:rFonts w:ascii="Times New Roman" w:hAnsi="Times New Roman"/>
          <w:color w:val="000000" w:themeColor="text1"/>
          <w:sz w:val="24"/>
        </w:rPr>
        <w:t>En este sentid</w:t>
      </w:r>
      <w:r w:rsidR="00B14EB7" w:rsidRPr="00A5089D">
        <w:rPr>
          <w:rFonts w:ascii="Times New Roman" w:hAnsi="Times New Roman"/>
          <w:color w:val="000000" w:themeColor="text1"/>
          <w:sz w:val="24"/>
        </w:rPr>
        <w:t>o, este trabajo no se remite a la descripción de cómo cambian los instrumentos, sino que es novedoso al explicar</w:t>
      </w:r>
      <w:r w:rsidR="008F1854" w:rsidRPr="00A5089D">
        <w:rPr>
          <w:rFonts w:ascii="Times New Roman" w:hAnsi="Times New Roman"/>
          <w:color w:val="000000" w:themeColor="text1"/>
          <w:sz w:val="24"/>
        </w:rPr>
        <w:t xml:space="preserve"> el cambio de primer orden de la política</w:t>
      </w:r>
      <w:r w:rsidR="00B14EB7" w:rsidRPr="00A5089D">
        <w:rPr>
          <w:rFonts w:ascii="Times New Roman" w:hAnsi="Times New Roman"/>
          <w:color w:val="000000" w:themeColor="text1"/>
          <w:sz w:val="24"/>
        </w:rPr>
        <w:t xml:space="preserve"> pública a partir de por qué la política se transforma y se ve obligada a diseñar nuevos instrumentos para afrontar el cambio. </w:t>
      </w:r>
    </w:p>
    <w:p w:rsidR="00B14EB7" w:rsidRPr="00A5089D" w:rsidRDefault="00B14EB7" w:rsidP="00537D1E">
      <w:pPr>
        <w:pStyle w:val="BodyA"/>
        <w:spacing w:after="0" w:line="240" w:lineRule="auto"/>
        <w:jc w:val="both"/>
        <w:rPr>
          <w:rFonts w:ascii="Times New Roman" w:hAnsi="Times New Roman"/>
          <w:color w:val="000000" w:themeColor="text1"/>
          <w:sz w:val="24"/>
        </w:rPr>
      </w:pPr>
    </w:p>
    <w:p w:rsidR="00571213" w:rsidRPr="00A5089D" w:rsidRDefault="00B14EB7" w:rsidP="00571213">
      <w:pPr>
        <w:pStyle w:val="BodyA"/>
        <w:spacing w:after="0" w:line="240" w:lineRule="auto"/>
        <w:jc w:val="both"/>
        <w:rPr>
          <w:rFonts w:ascii="Times New Roman" w:eastAsia="Times New Roman" w:hAnsi="Times New Roman" w:cs="Times New Roman"/>
          <w:color w:val="000000" w:themeColor="text1"/>
          <w:sz w:val="24"/>
          <w:szCs w:val="24"/>
        </w:rPr>
      </w:pPr>
      <w:r w:rsidRPr="00A5089D">
        <w:rPr>
          <w:rFonts w:ascii="Times New Roman" w:hAnsi="Times New Roman"/>
          <w:color w:val="000000" w:themeColor="text1"/>
          <w:sz w:val="24"/>
        </w:rPr>
        <w:t>El enfoque de redes de política ha sido más utilizado para explicar la gobernanza de las políticas públicas (Borzel</w:t>
      </w:r>
      <w:r w:rsidR="002527D8" w:rsidRPr="00A5089D">
        <w:rPr>
          <w:rFonts w:ascii="Times New Roman" w:hAnsi="Times New Roman"/>
          <w:color w:val="000000" w:themeColor="text1"/>
          <w:sz w:val="24"/>
        </w:rPr>
        <w:t>, 1998; Eberhard et al., 2017; Gadda et al., 2019</w:t>
      </w:r>
      <w:r w:rsidRPr="00A5089D">
        <w:rPr>
          <w:rFonts w:ascii="Times New Roman" w:hAnsi="Times New Roman"/>
          <w:color w:val="000000" w:themeColor="text1"/>
          <w:sz w:val="24"/>
        </w:rPr>
        <w:t xml:space="preserve">), sin embargo, en este texto mostramos la utilidad del enfoque en casos de gobernabilidad que implican la intervención </w:t>
      </w:r>
      <w:r w:rsidRPr="00A5089D">
        <w:rPr>
          <w:rFonts w:ascii="Times New Roman" w:hAnsi="Times New Roman"/>
          <w:i/>
          <w:color w:val="000000" w:themeColor="text1"/>
          <w:sz w:val="24"/>
        </w:rPr>
        <w:t xml:space="preserve">top-down </w:t>
      </w:r>
      <w:r w:rsidRPr="00A5089D">
        <w:rPr>
          <w:rFonts w:ascii="Times New Roman" w:hAnsi="Times New Roman"/>
          <w:color w:val="000000" w:themeColor="text1"/>
          <w:sz w:val="24"/>
        </w:rPr>
        <w:t>de un actor con autoridad.</w:t>
      </w:r>
      <w:r w:rsidR="00571213" w:rsidRPr="00A5089D">
        <w:rPr>
          <w:rFonts w:ascii="Times New Roman" w:hAnsi="Times New Roman"/>
          <w:color w:val="000000" w:themeColor="text1"/>
          <w:sz w:val="24"/>
        </w:rPr>
        <w:t xml:space="preserve"> Así mostramos por qué l</w:t>
      </w:r>
      <w:r w:rsidR="00343082" w:rsidRPr="00A5089D">
        <w:rPr>
          <w:rFonts w:ascii="Times New Roman" w:hAnsi="Times New Roman"/>
          <w:color w:val="000000" w:themeColor="text1"/>
          <w:sz w:val="24"/>
        </w:rPr>
        <w:t xml:space="preserve">a intervención directa de la </w:t>
      </w:r>
      <w:r w:rsidR="00343082" w:rsidRPr="00A5089D">
        <w:rPr>
          <w:rFonts w:ascii="Times New Roman" w:hAnsi="Times New Roman"/>
          <w:color w:val="000000" w:themeColor="text1"/>
          <w:sz w:val="24"/>
          <w:u w:color="FF0000"/>
        </w:rPr>
        <w:t xml:space="preserve">autoridad política </w:t>
      </w:r>
      <w:r w:rsidR="00343082" w:rsidRPr="00A5089D">
        <w:rPr>
          <w:rFonts w:ascii="Times New Roman" w:hAnsi="Times New Roman"/>
          <w:color w:val="000000" w:themeColor="text1"/>
          <w:sz w:val="24"/>
        </w:rPr>
        <w:t>reemplaza las creencias programáticas</w:t>
      </w:r>
      <w:r w:rsidR="00571213" w:rsidRPr="00A5089D">
        <w:rPr>
          <w:rFonts w:ascii="Times New Roman" w:hAnsi="Times New Roman"/>
          <w:color w:val="000000" w:themeColor="text1"/>
          <w:sz w:val="24"/>
        </w:rPr>
        <w:t xml:space="preserve"> de los otros actores y con ello </w:t>
      </w:r>
      <w:r w:rsidR="00571213" w:rsidRPr="00A5089D">
        <w:rPr>
          <w:rFonts w:ascii="Times New Roman" w:eastAsia="Times New Roman" w:hAnsi="Times New Roman" w:cs="Times New Roman"/>
          <w:color w:val="000000" w:themeColor="text1"/>
          <w:sz w:val="24"/>
          <w:szCs w:val="24"/>
        </w:rPr>
        <w:t>moldea “directamente los elementos del diseño de la política cuando el núcleo decisional del subsistema se omite y la toma de decisiones sube a un nivel superior o arena de acción exterior</w:t>
      </w:r>
      <w:r w:rsidR="00D07B4D">
        <w:rPr>
          <w:rFonts w:ascii="Times New Roman" w:eastAsia="Times New Roman" w:hAnsi="Times New Roman" w:cs="Times New Roman"/>
          <w:color w:val="000000" w:themeColor="text1"/>
          <w:sz w:val="24"/>
          <w:szCs w:val="24"/>
        </w:rPr>
        <w:t>”</w:t>
      </w:r>
      <w:r w:rsidR="00571213" w:rsidRPr="00A5089D">
        <w:rPr>
          <w:rFonts w:ascii="Times New Roman" w:eastAsia="Times New Roman" w:hAnsi="Times New Roman" w:cs="Times New Roman"/>
          <w:color w:val="000000" w:themeColor="text1"/>
          <w:sz w:val="24"/>
          <w:szCs w:val="24"/>
        </w:rPr>
        <w:t xml:space="preserve"> (Real Dato, 2009: 136). En este caso, la intervención del presidente puede ser explicada por la aplicación del “poder autoritario” al ejercer el control sobre la política y sus actores mediante el uso de relaciones de dominación (Knoke, 1993).</w:t>
      </w:r>
    </w:p>
    <w:p w:rsidR="00571213" w:rsidRPr="00A5089D" w:rsidRDefault="00571213" w:rsidP="00571213">
      <w:pPr>
        <w:pStyle w:val="BodyA"/>
        <w:spacing w:after="0" w:line="240" w:lineRule="auto"/>
        <w:jc w:val="both"/>
        <w:rPr>
          <w:rFonts w:ascii="Times New Roman" w:eastAsia="Times New Roman" w:hAnsi="Times New Roman" w:cs="Times New Roman"/>
          <w:color w:val="000000" w:themeColor="text1"/>
          <w:sz w:val="24"/>
          <w:szCs w:val="24"/>
        </w:rPr>
      </w:pPr>
    </w:p>
    <w:p w:rsidR="00571213" w:rsidRPr="00A5089D" w:rsidRDefault="00571213" w:rsidP="00571213">
      <w:pPr>
        <w:pStyle w:val="BodyA"/>
        <w:spacing w:after="0" w:line="240" w:lineRule="auto"/>
        <w:jc w:val="both"/>
        <w:rPr>
          <w:rFonts w:ascii="Times New Roman" w:eastAsia="Times New Roman" w:hAnsi="Times New Roman" w:cs="Times New Roman"/>
          <w:color w:val="000000" w:themeColor="text1"/>
          <w:sz w:val="24"/>
          <w:szCs w:val="24"/>
        </w:rPr>
      </w:pPr>
      <w:r w:rsidRPr="00A5089D">
        <w:rPr>
          <w:rFonts w:ascii="Times New Roman" w:eastAsia="Times New Roman" w:hAnsi="Times New Roman" w:cs="Times New Roman"/>
          <w:color w:val="000000" w:themeColor="text1"/>
          <w:sz w:val="24"/>
          <w:szCs w:val="24"/>
        </w:rPr>
        <w:t xml:space="preserve">Este caso de estudio demuestra que la figura del presidente de la República define tanto la estabilidad como el cambio de la política. Mientras el presidente apoya el principio constitucional de convertir al agua en un derecho y </w:t>
      </w:r>
      <w:r w:rsidR="00CC08D6" w:rsidRPr="00A5089D">
        <w:rPr>
          <w:rFonts w:ascii="Times New Roman" w:eastAsia="Times New Roman" w:hAnsi="Times New Roman" w:cs="Times New Roman"/>
          <w:color w:val="000000" w:themeColor="text1"/>
          <w:sz w:val="24"/>
          <w:szCs w:val="24"/>
        </w:rPr>
        <w:t xml:space="preserve">de </w:t>
      </w:r>
      <w:r w:rsidRPr="00A5089D">
        <w:rPr>
          <w:rFonts w:ascii="Times New Roman" w:eastAsia="Times New Roman" w:hAnsi="Times New Roman" w:cs="Times New Roman"/>
          <w:color w:val="000000" w:themeColor="text1"/>
          <w:sz w:val="24"/>
          <w:szCs w:val="24"/>
        </w:rPr>
        <w:t>planificar el servicio a nivel nacional</w:t>
      </w:r>
      <w:r w:rsidR="00CC08D6" w:rsidRPr="00A5089D">
        <w:rPr>
          <w:rFonts w:ascii="Times New Roman" w:eastAsia="Times New Roman" w:hAnsi="Times New Roman" w:cs="Times New Roman"/>
          <w:color w:val="000000" w:themeColor="text1"/>
          <w:sz w:val="24"/>
          <w:szCs w:val="24"/>
        </w:rPr>
        <w:t>, la política se estabiliza y permite que más actores e instituciones se sumen a la política pública. Sin embargo, cuando sus ideas programáticas cambian, es capaz de desarticular la red y anular la participación de los actores y de las instituciones. De las siete redes de política que logran organizarse en el período analizado, solo quedan dos luego de la intervención autoritaria del presidente.</w:t>
      </w:r>
      <w:r w:rsidR="00F13909" w:rsidRPr="00A5089D">
        <w:rPr>
          <w:rFonts w:ascii="Times New Roman" w:eastAsia="Times New Roman" w:hAnsi="Times New Roman" w:cs="Times New Roman"/>
          <w:color w:val="000000" w:themeColor="text1"/>
          <w:sz w:val="24"/>
          <w:szCs w:val="24"/>
        </w:rPr>
        <w:t xml:space="preserve"> </w:t>
      </w:r>
      <w:r w:rsidR="00CC08D6" w:rsidRPr="00A5089D">
        <w:rPr>
          <w:rFonts w:ascii="Times New Roman" w:eastAsia="Times New Roman" w:hAnsi="Times New Roman" w:cs="Times New Roman"/>
          <w:color w:val="000000" w:themeColor="text1"/>
          <w:sz w:val="24"/>
          <w:szCs w:val="24"/>
        </w:rPr>
        <w:t>La agencia directa del presidente transforma los procesos de toma de decisiones y la presión de su autoridad política genera una lógica altamente centralizada en un modelo jerárquico de toma de decisiones que no admite ninguna contradicción a la voluntad del líder del poder Ejecutivo.</w:t>
      </w:r>
    </w:p>
    <w:p w:rsidR="00CC08D6" w:rsidRPr="00571213" w:rsidRDefault="00CC08D6" w:rsidP="00571213">
      <w:pPr>
        <w:pStyle w:val="BodyA"/>
        <w:spacing w:after="0" w:line="240" w:lineRule="auto"/>
        <w:jc w:val="both"/>
        <w:rPr>
          <w:rFonts w:ascii="Times New Roman" w:hAnsi="Times New Roman"/>
          <w:color w:val="000000" w:themeColor="text1"/>
          <w:sz w:val="24"/>
        </w:rPr>
      </w:pPr>
    </w:p>
    <w:p w:rsidR="00C04568" w:rsidRDefault="00C04568" w:rsidP="00A329AA">
      <w:pPr>
        <w:pStyle w:val="Sinespaciado"/>
        <w:rPr>
          <w:rFonts w:ascii="Times New Roman" w:eastAsia="Times New Roman" w:hAnsi="Times New Roman" w:cs="Times New Roman"/>
        </w:rPr>
      </w:pPr>
    </w:p>
    <w:p w:rsidR="00C04568" w:rsidRPr="0048237A" w:rsidRDefault="00343082" w:rsidP="00564F3E">
      <w:pPr>
        <w:pStyle w:val="BodyA"/>
        <w:jc w:val="both"/>
        <w:rPr>
          <w:rFonts w:ascii="Times New Roman" w:eastAsia="Times New Roman" w:hAnsi="Times New Roman" w:cs="Times New Roman"/>
          <w:b/>
          <w:bCs/>
          <w:sz w:val="24"/>
        </w:rPr>
      </w:pPr>
      <w:r w:rsidRPr="0048237A">
        <w:rPr>
          <w:rFonts w:ascii="Times New Roman" w:hAnsi="Times New Roman"/>
          <w:b/>
          <w:bCs/>
          <w:sz w:val="24"/>
          <w:lang w:val="it-IT"/>
        </w:rPr>
        <w:t>Bibliograf</w:t>
      </w:r>
      <w:r w:rsidRPr="0048237A">
        <w:rPr>
          <w:rFonts w:ascii="Times New Roman" w:hAnsi="Times New Roman"/>
          <w:b/>
          <w:bCs/>
          <w:sz w:val="24"/>
        </w:rPr>
        <w:t>ía:</w:t>
      </w:r>
    </w:p>
    <w:p w:rsidR="00C04568" w:rsidRPr="0048237A" w:rsidRDefault="00343082" w:rsidP="00564F3E">
      <w:pPr>
        <w:pStyle w:val="BodyA"/>
        <w:spacing w:line="240" w:lineRule="auto"/>
        <w:jc w:val="both"/>
        <w:rPr>
          <w:rFonts w:ascii="Times New Roman" w:eastAsia="Times New Roman" w:hAnsi="Times New Roman" w:cs="Times New Roman"/>
          <w:sz w:val="24"/>
          <w:szCs w:val="24"/>
        </w:rPr>
      </w:pPr>
      <w:r w:rsidRPr="0048237A">
        <w:rPr>
          <w:rFonts w:ascii="Times New Roman" w:hAnsi="Times New Roman" w:cs="Times New Roman"/>
          <w:sz w:val="24"/>
          <w:szCs w:val="24"/>
        </w:rPr>
        <w:t>Albornoz, María</w:t>
      </w:r>
      <w:r w:rsidR="003651AC" w:rsidRPr="0048237A">
        <w:rPr>
          <w:rFonts w:ascii="Times New Roman" w:hAnsi="Times New Roman" w:cs="Times New Roman"/>
          <w:sz w:val="24"/>
          <w:szCs w:val="24"/>
        </w:rPr>
        <w:t>.</w:t>
      </w:r>
      <w:r w:rsidRPr="0048237A">
        <w:rPr>
          <w:rFonts w:ascii="Times New Roman" w:hAnsi="Times New Roman" w:cs="Times New Roman"/>
          <w:sz w:val="24"/>
          <w:szCs w:val="24"/>
        </w:rPr>
        <w:t xml:space="preserve"> 2015. “Las redes de política” en Endara (ed</w:t>
      </w:r>
      <w:r w:rsidR="00BD191D" w:rsidRPr="0048237A">
        <w:rPr>
          <w:rFonts w:ascii="Times New Roman" w:hAnsi="Times New Roman" w:cs="Times New Roman"/>
          <w:sz w:val="24"/>
          <w:szCs w:val="24"/>
        </w:rPr>
        <w:t>.</w:t>
      </w:r>
      <w:r w:rsidRPr="0048237A">
        <w:rPr>
          <w:rFonts w:ascii="Times New Roman" w:hAnsi="Times New Roman" w:cs="Times New Roman"/>
          <w:sz w:val="24"/>
          <w:szCs w:val="24"/>
        </w:rPr>
        <w:t>)</w:t>
      </w:r>
      <w:r w:rsidR="00BD191D" w:rsidRPr="0048237A">
        <w:rPr>
          <w:rFonts w:ascii="Times New Roman" w:hAnsi="Times New Roman" w:cs="Times New Roman"/>
          <w:sz w:val="24"/>
          <w:szCs w:val="24"/>
        </w:rPr>
        <w:t>,</w:t>
      </w:r>
      <w:r w:rsidRPr="0048237A">
        <w:rPr>
          <w:rFonts w:ascii="Times New Roman" w:hAnsi="Times New Roman" w:cs="Times New Roman"/>
          <w:sz w:val="24"/>
          <w:szCs w:val="24"/>
        </w:rPr>
        <w:t xml:space="preserve"> </w:t>
      </w:r>
      <w:r w:rsidRPr="0048237A">
        <w:rPr>
          <w:rFonts w:ascii="Times New Roman" w:hAnsi="Times New Roman" w:cs="Times New Roman"/>
          <w:i/>
          <w:iCs/>
          <w:sz w:val="24"/>
          <w:szCs w:val="24"/>
        </w:rPr>
        <w:t xml:space="preserve">El rol del Estado: contribuciones al debate. </w:t>
      </w:r>
      <w:r w:rsidR="002C0799" w:rsidRPr="0048237A">
        <w:rPr>
          <w:rFonts w:ascii="Times New Roman" w:hAnsi="Times New Roman" w:cs="Times New Roman"/>
          <w:sz w:val="24"/>
          <w:szCs w:val="24"/>
        </w:rPr>
        <w:t>Quito:</w:t>
      </w:r>
      <w:r w:rsidR="00BD191D" w:rsidRPr="0048237A">
        <w:rPr>
          <w:rFonts w:ascii="Times New Roman" w:hAnsi="Times New Roman" w:cs="Times New Roman"/>
          <w:sz w:val="24"/>
          <w:szCs w:val="24"/>
        </w:rPr>
        <w:t xml:space="preserve"> SENPLADES-FES-ILDIS.</w:t>
      </w:r>
    </w:p>
    <w:p w:rsidR="003F16DC" w:rsidRPr="00A5089D" w:rsidRDefault="003651AC" w:rsidP="00564F3E">
      <w:pPr>
        <w:pStyle w:val="BodyA"/>
        <w:spacing w:line="240" w:lineRule="auto"/>
        <w:jc w:val="both"/>
        <w:rPr>
          <w:rFonts w:ascii="Times New Roman" w:hAnsi="Times New Roman" w:cs="Times New Roman"/>
          <w:iCs/>
          <w:color w:val="000000" w:themeColor="text1"/>
          <w:kern w:val="36"/>
          <w:sz w:val="24"/>
          <w:szCs w:val="24"/>
        </w:rPr>
      </w:pPr>
      <w:r w:rsidRPr="0048237A">
        <w:rPr>
          <w:rFonts w:ascii="Times New Roman" w:hAnsi="Times New Roman" w:cs="Times New Roman"/>
          <w:kern w:val="36"/>
          <w:sz w:val="24"/>
          <w:szCs w:val="24"/>
        </w:rPr>
        <w:t xml:space="preserve">Albuja, Wilson. </w:t>
      </w:r>
      <w:r w:rsidR="00343082" w:rsidRPr="0048237A">
        <w:rPr>
          <w:rFonts w:ascii="Times New Roman" w:hAnsi="Times New Roman" w:cs="Times New Roman"/>
          <w:kern w:val="36"/>
          <w:sz w:val="24"/>
          <w:szCs w:val="24"/>
        </w:rPr>
        <w:t xml:space="preserve">2016. </w:t>
      </w:r>
      <w:r w:rsidR="00343082" w:rsidRPr="0048237A">
        <w:rPr>
          <w:rFonts w:ascii="Times New Roman" w:hAnsi="Times New Roman" w:cs="Times New Roman"/>
          <w:i/>
          <w:iCs/>
          <w:kern w:val="36"/>
          <w:sz w:val="24"/>
          <w:szCs w:val="24"/>
        </w:rPr>
        <w:t xml:space="preserve">Intervención de la </w:t>
      </w:r>
      <w:r w:rsidR="00A512DF" w:rsidRPr="0048237A">
        <w:rPr>
          <w:rFonts w:ascii="Times New Roman" w:hAnsi="Times New Roman" w:cs="Times New Roman"/>
          <w:i/>
          <w:iCs/>
          <w:kern w:val="36"/>
          <w:sz w:val="24"/>
          <w:szCs w:val="24"/>
        </w:rPr>
        <w:t>autoridad</w:t>
      </w:r>
      <w:r w:rsidRPr="0048237A">
        <w:rPr>
          <w:rFonts w:ascii="Times New Roman" w:hAnsi="Times New Roman" w:cs="Times New Roman"/>
          <w:i/>
          <w:iCs/>
          <w:kern w:val="36"/>
          <w:sz w:val="24"/>
          <w:szCs w:val="24"/>
        </w:rPr>
        <w:t xml:space="preserve"> </w:t>
      </w:r>
      <w:r w:rsidR="00343082" w:rsidRPr="0048237A">
        <w:rPr>
          <w:rFonts w:ascii="Times New Roman" w:hAnsi="Times New Roman" w:cs="Times New Roman"/>
          <w:i/>
          <w:iCs/>
          <w:kern w:val="36"/>
          <w:sz w:val="24"/>
          <w:szCs w:val="24"/>
        </w:rPr>
        <w:t xml:space="preserve">externa en el cambio de política pública de </w:t>
      </w:r>
      <w:r w:rsidR="00343082" w:rsidRPr="00A5089D">
        <w:rPr>
          <w:rFonts w:ascii="Times New Roman" w:hAnsi="Times New Roman" w:cs="Times New Roman"/>
          <w:i/>
          <w:iCs/>
          <w:color w:val="000000" w:themeColor="text1"/>
          <w:kern w:val="36"/>
          <w:sz w:val="24"/>
          <w:szCs w:val="24"/>
        </w:rPr>
        <w:t>ampliación de la cobertura de agua y sanea</w:t>
      </w:r>
      <w:r w:rsidR="003F16DC" w:rsidRPr="00A5089D">
        <w:rPr>
          <w:rFonts w:ascii="Times New Roman" w:hAnsi="Times New Roman" w:cs="Times New Roman"/>
          <w:i/>
          <w:iCs/>
          <w:color w:val="000000" w:themeColor="text1"/>
          <w:kern w:val="36"/>
          <w:sz w:val="24"/>
          <w:szCs w:val="24"/>
        </w:rPr>
        <w:t xml:space="preserve">miento en el Ecuador (2008-2015, </w:t>
      </w:r>
      <w:r w:rsidR="003F16DC" w:rsidRPr="00A5089D">
        <w:rPr>
          <w:rFonts w:ascii="Times New Roman" w:hAnsi="Times New Roman" w:cs="Times New Roman"/>
          <w:iCs/>
          <w:color w:val="000000" w:themeColor="text1"/>
          <w:kern w:val="36"/>
          <w:sz w:val="24"/>
          <w:szCs w:val="24"/>
        </w:rPr>
        <w:t xml:space="preserve">Albornoz (dir.), Facultad Latinoamericana de Ciencias Sociales, Quito. </w:t>
      </w:r>
    </w:p>
    <w:p w:rsidR="00C63CC2" w:rsidRPr="00A5089D" w:rsidRDefault="00C63CC2" w:rsidP="00564F3E">
      <w:pPr>
        <w:pStyle w:val="BodyA"/>
        <w:spacing w:line="240" w:lineRule="auto"/>
        <w:jc w:val="both"/>
        <w:rPr>
          <w:rFonts w:ascii="Times New Roman" w:hAnsi="Times New Roman" w:cs="Times New Roman"/>
          <w:i/>
          <w:iCs/>
          <w:color w:val="000000" w:themeColor="text1"/>
          <w:kern w:val="36"/>
          <w:sz w:val="24"/>
          <w:szCs w:val="24"/>
          <w:lang w:val="en-US"/>
        </w:rPr>
      </w:pPr>
      <w:r w:rsidRPr="00480316">
        <w:rPr>
          <w:rFonts w:ascii="Times New Roman" w:hAnsi="Times New Roman" w:cs="Times New Roman"/>
          <w:iCs/>
          <w:color w:val="000000" w:themeColor="text1"/>
          <w:kern w:val="36"/>
          <w:sz w:val="24"/>
          <w:szCs w:val="24"/>
          <w:lang w:val="es-EC"/>
        </w:rPr>
        <w:t>Bau</w:t>
      </w:r>
      <w:r w:rsidR="00444825" w:rsidRPr="00480316">
        <w:rPr>
          <w:rFonts w:ascii="Times New Roman" w:hAnsi="Times New Roman" w:cs="Times New Roman"/>
          <w:iCs/>
          <w:color w:val="000000" w:themeColor="text1"/>
          <w:kern w:val="36"/>
          <w:sz w:val="24"/>
          <w:szCs w:val="24"/>
          <w:lang w:val="es-EC"/>
        </w:rPr>
        <w:t xml:space="preserve">mgartner, Frank y </w:t>
      </w:r>
      <w:r w:rsidR="00480316" w:rsidRPr="00480316">
        <w:rPr>
          <w:rFonts w:ascii="Times New Roman" w:hAnsi="Times New Roman" w:cs="Times New Roman"/>
          <w:iCs/>
          <w:color w:val="000000" w:themeColor="text1"/>
          <w:kern w:val="36"/>
          <w:sz w:val="24"/>
          <w:szCs w:val="24"/>
          <w:lang w:val="es-EC"/>
        </w:rPr>
        <w:t xml:space="preserve">Bryan </w:t>
      </w:r>
      <w:r w:rsidR="00444825" w:rsidRPr="00480316">
        <w:rPr>
          <w:rFonts w:ascii="Times New Roman" w:hAnsi="Times New Roman" w:cs="Times New Roman"/>
          <w:iCs/>
          <w:color w:val="000000" w:themeColor="text1"/>
          <w:kern w:val="36"/>
          <w:sz w:val="24"/>
          <w:szCs w:val="24"/>
          <w:lang w:val="es-EC"/>
        </w:rPr>
        <w:t>Jones</w:t>
      </w:r>
      <w:r w:rsidR="00480316" w:rsidRPr="00480316">
        <w:rPr>
          <w:rFonts w:ascii="Times New Roman" w:hAnsi="Times New Roman" w:cs="Times New Roman"/>
          <w:iCs/>
          <w:color w:val="000000" w:themeColor="text1"/>
          <w:kern w:val="36"/>
          <w:sz w:val="24"/>
          <w:szCs w:val="24"/>
          <w:lang w:val="es-EC"/>
        </w:rPr>
        <w:t>.</w:t>
      </w:r>
      <w:r w:rsidR="00444825" w:rsidRPr="00480316">
        <w:rPr>
          <w:rFonts w:ascii="Times New Roman" w:hAnsi="Times New Roman" w:cs="Times New Roman"/>
          <w:iCs/>
          <w:color w:val="000000" w:themeColor="text1"/>
          <w:kern w:val="36"/>
          <w:sz w:val="24"/>
          <w:szCs w:val="24"/>
          <w:lang w:val="es-EC"/>
        </w:rPr>
        <w:t xml:space="preserve"> </w:t>
      </w:r>
      <w:r w:rsidR="00444825" w:rsidRPr="00A5089D">
        <w:rPr>
          <w:rFonts w:ascii="Times New Roman" w:hAnsi="Times New Roman" w:cs="Times New Roman"/>
          <w:iCs/>
          <w:color w:val="000000" w:themeColor="text1"/>
          <w:kern w:val="36"/>
          <w:sz w:val="24"/>
          <w:szCs w:val="24"/>
          <w:lang w:val="en-US"/>
        </w:rPr>
        <w:t>2002.</w:t>
      </w:r>
      <w:r w:rsidR="00444825" w:rsidRPr="00A5089D">
        <w:rPr>
          <w:rFonts w:ascii="Times New Roman" w:hAnsi="Times New Roman" w:cs="Times New Roman"/>
          <w:i/>
          <w:iCs/>
          <w:color w:val="000000" w:themeColor="text1"/>
          <w:kern w:val="36"/>
          <w:sz w:val="24"/>
          <w:szCs w:val="24"/>
          <w:lang w:val="en-US"/>
        </w:rPr>
        <w:t xml:space="preserve"> Policy Dynamics</w:t>
      </w:r>
      <w:r w:rsidR="00444825" w:rsidRPr="00A5089D">
        <w:rPr>
          <w:rFonts w:ascii="Times New Roman" w:hAnsi="Times New Roman" w:cs="Times New Roman"/>
          <w:iCs/>
          <w:color w:val="000000" w:themeColor="text1"/>
          <w:kern w:val="36"/>
          <w:sz w:val="24"/>
          <w:szCs w:val="24"/>
          <w:lang w:val="en-US"/>
        </w:rPr>
        <w:t>. Chicago: University of Chicago Press.</w:t>
      </w:r>
    </w:p>
    <w:p w:rsidR="00C63CC2" w:rsidRPr="00C63CC2" w:rsidRDefault="008F6449" w:rsidP="00564F3E">
      <w:pPr>
        <w:pStyle w:val="BodyB"/>
        <w:spacing w:line="240" w:lineRule="auto"/>
        <w:jc w:val="both"/>
        <w:rPr>
          <w:rFonts w:ascii="Times New Roman" w:hAnsi="Times New Roman" w:cs="Times New Roman"/>
          <w:kern w:val="36"/>
          <w:sz w:val="24"/>
          <w:szCs w:val="24"/>
        </w:rPr>
      </w:pPr>
      <w:r w:rsidRPr="0048237A">
        <w:rPr>
          <w:rFonts w:ascii="Times New Roman" w:hAnsi="Times New Roman" w:cs="Times New Roman"/>
          <w:kern w:val="36"/>
          <w:sz w:val="24"/>
          <w:szCs w:val="24"/>
        </w:rPr>
        <w:t xml:space="preserve">BdE (Banco del Estado). </w:t>
      </w:r>
      <w:r w:rsidR="00343082" w:rsidRPr="0048237A">
        <w:rPr>
          <w:rFonts w:ascii="Times New Roman" w:hAnsi="Times New Roman" w:cs="Times New Roman"/>
          <w:kern w:val="36"/>
          <w:sz w:val="24"/>
          <w:szCs w:val="24"/>
        </w:rPr>
        <w:t xml:space="preserve">2013. </w:t>
      </w:r>
      <w:r w:rsidR="00343082" w:rsidRPr="0048237A">
        <w:rPr>
          <w:rFonts w:ascii="Times New Roman" w:hAnsi="Times New Roman" w:cs="Times New Roman"/>
          <w:i/>
          <w:kern w:val="36"/>
          <w:sz w:val="24"/>
          <w:szCs w:val="24"/>
        </w:rPr>
        <w:t>Presentación del Programa Prosaneami</w:t>
      </w:r>
      <w:r w:rsidR="00C30CC3" w:rsidRPr="0048237A">
        <w:rPr>
          <w:rFonts w:ascii="Times New Roman" w:hAnsi="Times New Roman" w:cs="Times New Roman"/>
          <w:i/>
          <w:kern w:val="36"/>
          <w:sz w:val="24"/>
          <w:szCs w:val="24"/>
        </w:rPr>
        <w:t>ento en el Enlace Ciudadano 325</w:t>
      </w:r>
      <w:r w:rsidR="00343082" w:rsidRPr="0048237A">
        <w:rPr>
          <w:rFonts w:ascii="Times New Roman" w:hAnsi="Times New Roman" w:cs="Times New Roman"/>
          <w:kern w:val="36"/>
          <w:sz w:val="24"/>
          <w:szCs w:val="24"/>
        </w:rPr>
        <w:t xml:space="preserve">. </w:t>
      </w:r>
      <w:r w:rsidRPr="0048237A">
        <w:rPr>
          <w:rFonts w:ascii="Times New Roman" w:hAnsi="Times New Roman" w:cs="Times New Roman"/>
          <w:kern w:val="36"/>
          <w:sz w:val="24"/>
          <w:szCs w:val="24"/>
        </w:rPr>
        <w:t xml:space="preserve">Disponible en web: </w:t>
      </w:r>
      <w:r w:rsidR="00343082" w:rsidRPr="0048237A">
        <w:rPr>
          <w:rFonts w:ascii="Times New Roman" w:hAnsi="Times New Roman" w:cs="Times New Roman"/>
          <w:kern w:val="36"/>
          <w:sz w:val="24"/>
          <w:szCs w:val="24"/>
        </w:rPr>
        <w:t xml:space="preserve"> </w:t>
      </w:r>
      <w:hyperlink r:id="rId12" w:history="1">
        <w:r w:rsidRPr="0048237A">
          <w:rPr>
            <w:rStyle w:val="Hipervnculo"/>
            <w:rFonts w:ascii="Times New Roman" w:hAnsi="Times New Roman" w:cs="Times New Roman"/>
            <w:kern w:val="36"/>
            <w:sz w:val="24"/>
            <w:szCs w:val="24"/>
            <w:u w:val="none"/>
          </w:rPr>
          <w:t>https://www,youtube,com/watch?v=SPhjNSOM9gU&amp;t=166s</w:t>
        </w:r>
      </w:hyperlink>
      <w:r w:rsidRPr="0048237A">
        <w:rPr>
          <w:rFonts w:ascii="Times New Roman" w:hAnsi="Times New Roman" w:cs="Times New Roman"/>
          <w:kern w:val="36"/>
          <w:sz w:val="24"/>
          <w:szCs w:val="24"/>
        </w:rPr>
        <w:t xml:space="preserve"> [C</w:t>
      </w:r>
      <w:r w:rsidR="00343082" w:rsidRPr="0048237A">
        <w:rPr>
          <w:rFonts w:ascii="Times New Roman" w:hAnsi="Times New Roman" w:cs="Times New Roman"/>
          <w:kern w:val="36"/>
          <w:sz w:val="24"/>
          <w:szCs w:val="24"/>
        </w:rPr>
        <w:t>onsulta: 20 de septiembre de 2016</w:t>
      </w:r>
      <w:r w:rsidRPr="0048237A">
        <w:rPr>
          <w:rFonts w:ascii="Times New Roman" w:hAnsi="Times New Roman" w:cs="Times New Roman"/>
          <w:kern w:val="36"/>
          <w:sz w:val="24"/>
          <w:szCs w:val="24"/>
        </w:rPr>
        <w:t>]</w:t>
      </w:r>
      <w:r w:rsidR="00343082" w:rsidRPr="0048237A">
        <w:rPr>
          <w:rFonts w:ascii="Times New Roman" w:hAnsi="Times New Roman" w:cs="Times New Roman"/>
          <w:kern w:val="36"/>
          <w:sz w:val="24"/>
          <w:szCs w:val="24"/>
        </w:rPr>
        <w:t>.</w:t>
      </w:r>
    </w:p>
    <w:p w:rsidR="00C04568" w:rsidRPr="0048237A" w:rsidRDefault="00343082" w:rsidP="00564F3E">
      <w:pPr>
        <w:pStyle w:val="BodyB"/>
        <w:spacing w:line="240" w:lineRule="auto"/>
        <w:jc w:val="both"/>
        <w:rPr>
          <w:rFonts w:ascii="Times New Roman" w:eastAsia="Times New Roman" w:hAnsi="Times New Roman" w:cs="Times New Roman"/>
          <w:kern w:val="36"/>
          <w:sz w:val="24"/>
          <w:szCs w:val="24"/>
          <w:u w:val="single"/>
        </w:rPr>
      </w:pPr>
      <w:r w:rsidRPr="0048237A">
        <w:rPr>
          <w:rFonts w:ascii="Times New Roman" w:hAnsi="Times New Roman" w:cs="Times New Roman"/>
          <w:kern w:val="36"/>
          <w:sz w:val="24"/>
          <w:szCs w:val="24"/>
        </w:rPr>
        <w:t>BdE (Banco del Estado</w:t>
      </w:r>
      <w:r w:rsidR="008F6449" w:rsidRPr="0048237A">
        <w:rPr>
          <w:rFonts w:ascii="Times New Roman" w:hAnsi="Times New Roman" w:cs="Times New Roman"/>
          <w:kern w:val="36"/>
          <w:sz w:val="24"/>
          <w:szCs w:val="24"/>
        </w:rPr>
        <w:t>).</w:t>
      </w:r>
      <w:r w:rsidRPr="0048237A">
        <w:rPr>
          <w:rFonts w:ascii="Times New Roman" w:hAnsi="Times New Roman" w:cs="Times New Roman"/>
          <w:kern w:val="36"/>
          <w:sz w:val="24"/>
          <w:szCs w:val="24"/>
        </w:rPr>
        <w:t xml:space="preserve"> </w:t>
      </w:r>
      <w:r w:rsidR="008F6449" w:rsidRPr="0048237A">
        <w:rPr>
          <w:rFonts w:ascii="Times New Roman" w:hAnsi="Times New Roman" w:cs="Times New Roman"/>
          <w:sz w:val="24"/>
          <w:szCs w:val="24"/>
        </w:rPr>
        <w:t xml:space="preserve"> </w:t>
      </w:r>
      <w:r w:rsidRPr="0048237A">
        <w:rPr>
          <w:rFonts w:ascii="Times New Roman" w:hAnsi="Times New Roman" w:cs="Times New Roman"/>
          <w:sz w:val="24"/>
          <w:szCs w:val="24"/>
        </w:rPr>
        <w:t xml:space="preserve">2014. </w:t>
      </w:r>
      <w:r w:rsidRPr="0048237A">
        <w:rPr>
          <w:rFonts w:ascii="Times New Roman" w:hAnsi="Times New Roman" w:cs="Times New Roman"/>
          <w:i/>
          <w:iCs/>
          <w:kern w:val="36"/>
          <w:sz w:val="24"/>
          <w:szCs w:val="24"/>
          <w:lang w:val="de-DE"/>
        </w:rPr>
        <w:t>Ver</w:t>
      </w:r>
      <w:r w:rsidRPr="0048237A">
        <w:rPr>
          <w:rFonts w:ascii="Times New Roman" w:hAnsi="Times New Roman" w:cs="Times New Roman"/>
          <w:i/>
          <w:iCs/>
          <w:kern w:val="36"/>
          <w:sz w:val="24"/>
          <w:szCs w:val="24"/>
        </w:rPr>
        <w:t>ónica Gallardo Enlace Ciudadano 378</w:t>
      </w:r>
      <w:r w:rsidRPr="0048237A">
        <w:rPr>
          <w:rFonts w:ascii="Times New Roman" w:hAnsi="Times New Roman" w:cs="Times New Roman"/>
          <w:kern w:val="36"/>
          <w:sz w:val="24"/>
          <w:szCs w:val="24"/>
        </w:rPr>
        <w:t xml:space="preserve">. </w:t>
      </w:r>
      <w:r w:rsidR="008F6449" w:rsidRPr="0048237A">
        <w:rPr>
          <w:rFonts w:ascii="Times New Roman" w:hAnsi="Times New Roman" w:cs="Times New Roman"/>
          <w:kern w:val="36"/>
          <w:sz w:val="24"/>
          <w:szCs w:val="24"/>
        </w:rPr>
        <w:t xml:space="preserve">Disponible en web:  </w:t>
      </w:r>
      <w:r w:rsidRPr="0048237A">
        <w:rPr>
          <w:rFonts w:ascii="Times New Roman" w:hAnsi="Times New Roman" w:cs="Times New Roman"/>
          <w:kern w:val="36"/>
          <w:sz w:val="24"/>
          <w:szCs w:val="24"/>
        </w:rPr>
        <w:t xml:space="preserve"> </w:t>
      </w:r>
      <w:hyperlink r:id="rId13" w:history="1">
        <w:r w:rsidR="008F6449" w:rsidRPr="0048237A">
          <w:rPr>
            <w:rStyle w:val="Hipervnculo"/>
            <w:rFonts w:ascii="Times New Roman" w:hAnsi="Times New Roman" w:cs="Times New Roman"/>
            <w:kern w:val="36"/>
            <w:sz w:val="24"/>
            <w:szCs w:val="24"/>
            <w:u w:val="none"/>
          </w:rPr>
          <w:t>https://www,youtube,com/watch?v=EOiBjGoVfn0</w:t>
        </w:r>
      </w:hyperlink>
      <w:r w:rsidR="008F6449" w:rsidRPr="0048237A">
        <w:rPr>
          <w:rFonts w:ascii="Times New Roman" w:hAnsi="Times New Roman" w:cs="Times New Roman"/>
          <w:kern w:val="36"/>
          <w:sz w:val="24"/>
          <w:szCs w:val="24"/>
        </w:rPr>
        <w:t xml:space="preserve">  [C</w:t>
      </w:r>
      <w:r w:rsidRPr="0048237A">
        <w:rPr>
          <w:rFonts w:ascii="Times New Roman" w:hAnsi="Times New Roman" w:cs="Times New Roman"/>
          <w:kern w:val="36"/>
          <w:sz w:val="24"/>
          <w:szCs w:val="24"/>
        </w:rPr>
        <w:t>onsulta: 18 de junio de 2015</w:t>
      </w:r>
      <w:r w:rsidR="008F6449" w:rsidRPr="0048237A">
        <w:rPr>
          <w:rFonts w:ascii="Times New Roman" w:hAnsi="Times New Roman" w:cs="Times New Roman"/>
          <w:kern w:val="36"/>
          <w:sz w:val="24"/>
          <w:szCs w:val="24"/>
        </w:rPr>
        <w:t>]</w:t>
      </w:r>
      <w:r w:rsidRPr="0048237A">
        <w:rPr>
          <w:rFonts w:ascii="Times New Roman" w:hAnsi="Times New Roman" w:cs="Times New Roman"/>
          <w:kern w:val="36"/>
          <w:sz w:val="24"/>
          <w:szCs w:val="24"/>
        </w:rPr>
        <w:t>.</w:t>
      </w:r>
    </w:p>
    <w:p w:rsidR="00C04568" w:rsidRPr="00A5089D" w:rsidRDefault="00343082" w:rsidP="00564F3E">
      <w:pPr>
        <w:pStyle w:val="BodyB"/>
        <w:spacing w:line="240" w:lineRule="auto"/>
        <w:jc w:val="both"/>
        <w:rPr>
          <w:rFonts w:ascii="Times New Roman" w:hAnsi="Times New Roman" w:cs="Times New Roman"/>
          <w:color w:val="000000" w:themeColor="text1"/>
          <w:kern w:val="36"/>
          <w:sz w:val="24"/>
          <w:szCs w:val="24"/>
        </w:rPr>
      </w:pPr>
      <w:r w:rsidRPr="0048237A">
        <w:rPr>
          <w:rFonts w:ascii="Times New Roman" w:hAnsi="Times New Roman" w:cs="Times New Roman"/>
          <w:kern w:val="36"/>
          <w:sz w:val="24"/>
          <w:szCs w:val="24"/>
        </w:rPr>
        <w:t>BdE (Banco del Estado)</w:t>
      </w:r>
      <w:r w:rsidR="008F6449" w:rsidRPr="0048237A">
        <w:rPr>
          <w:rFonts w:ascii="Times New Roman" w:hAnsi="Times New Roman" w:cs="Times New Roman"/>
          <w:kern w:val="36"/>
          <w:sz w:val="24"/>
          <w:szCs w:val="24"/>
        </w:rPr>
        <w:t>.</w:t>
      </w:r>
      <w:r w:rsidRPr="0048237A">
        <w:rPr>
          <w:rFonts w:ascii="Times New Roman" w:hAnsi="Times New Roman" w:cs="Times New Roman"/>
          <w:kern w:val="36"/>
          <w:sz w:val="24"/>
          <w:szCs w:val="24"/>
        </w:rPr>
        <w:t xml:space="preserve"> 2016. Estadísticas de desembolsos y aprobaciones. </w:t>
      </w:r>
      <w:r w:rsidR="008F6449" w:rsidRPr="0048237A">
        <w:rPr>
          <w:rFonts w:ascii="Times New Roman" w:hAnsi="Times New Roman" w:cs="Times New Roman"/>
          <w:kern w:val="36"/>
          <w:sz w:val="24"/>
          <w:szCs w:val="24"/>
        </w:rPr>
        <w:t xml:space="preserve">Disponible en web:  </w:t>
      </w:r>
      <w:hyperlink r:id="rId14" w:history="1">
        <w:r w:rsidR="008F6449" w:rsidRPr="00A5089D">
          <w:rPr>
            <w:rStyle w:val="Hipervnculo"/>
            <w:rFonts w:ascii="Times New Roman" w:hAnsi="Times New Roman" w:cs="Times New Roman"/>
            <w:color w:val="000000" w:themeColor="text1"/>
            <w:kern w:val="36"/>
            <w:sz w:val="24"/>
            <w:szCs w:val="24"/>
            <w:u w:val="none"/>
          </w:rPr>
          <w:t>https://consulta,bde,fin,ec/Dashboardmvc/Aprobacion/Aprobacion</w:t>
        </w:r>
      </w:hyperlink>
      <w:r w:rsidR="008F6449" w:rsidRPr="00A5089D">
        <w:rPr>
          <w:rFonts w:ascii="Times New Roman" w:hAnsi="Times New Roman" w:cs="Times New Roman"/>
          <w:color w:val="000000" w:themeColor="text1"/>
          <w:kern w:val="36"/>
          <w:sz w:val="24"/>
          <w:szCs w:val="24"/>
        </w:rPr>
        <w:t xml:space="preserve"> [Consulta: </w:t>
      </w:r>
      <w:r w:rsidRPr="00A5089D">
        <w:rPr>
          <w:rFonts w:ascii="Times New Roman" w:hAnsi="Times New Roman" w:cs="Times New Roman"/>
          <w:color w:val="000000" w:themeColor="text1"/>
          <w:kern w:val="36"/>
          <w:sz w:val="24"/>
          <w:szCs w:val="24"/>
        </w:rPr>
        <w:t>30 de abril de 2016</w:t>
      </w:r>
      <w:r w:rsidR="008F6449" w:rsidRPr="00A5089D">
        <w:rPr>
          <w:rFonts w:ascii="Times New Roman" w:hAnsi="Times New Roman" w:cs="Times New Roman"/>
          <w:color w:val="000000" w:themeColor="text1"/>
          <w:kern w:val="36"/>
          <w:sz w:val="24"/>
          <w:szCs w:val="24"/>
        </w:rPr>
        <w:t>]</w:t>
      </w:r>
      <w:r w:rsidRPr="00A5089D">
        <w:rPr>
          <w:rFonts w:ascii="Times New Roman" w:hAnsi="Times New Roman" w:cs="Times New Roman"/>
          <w:color w:val="000000" w:themeColor="text1"/>
          <w:kern w:val="36"/>
          <w:sz w:val="24"/>
          <w:szCs w:val="24"/>
        </w:rPr>
        <w:t>.</w:t>
      </w:r>
    </w:p>
    <w:p w:rsidR="005A2335" w:rsidRPr="00A5089D" w:rsidRDefault="005A2335" w:rsidP="00564F3E">
      <w:pPr>
        <w:pStyle w:val="BodyB"/>
        <w:spacing w:line="240" w:lineRule="auto"/>
        <w:jc w:val="both"/>
        <w:rPr>
          <w:rFonts w:ascii="Times New Roman" w:hAnsi="Times New Roman" w:cs="Times New Roman"/>
          <w:color w:val="000000" w:themeColor="text1"/>
          <w:kern w:val="36"/>
          <w:sz w:val="24"/>
          <w:szCs w:val="24"/>
          <w:lang w:val="en-US"/>
        </w:rPr>
      </w:pPr>
      <w:r w:rsidRPr="00A5089D">
        <w:rPr>
          <w:rFonts w:ascii="Times New Roman" w:hAnsi="Times New Roman" w:cs="Times New Roman"/>
          <w:color w:val="000000" w:themeColor="text1"/>
          <w:kern w:val="36"/>
          <w:sz w:val="24"/>
          <w:szCs w:val="24"/>
          <w:lang w:val="en-US"/>
        </w:rPr>
        <w:t>Borzel, Tanja</w:t>
      </w:r>
      <w:r w:rsidR="00480316">
        <w:rPr>
          <w:rFonts w:ascii="Times New Roman" w:hAnsi="Times New Roman" w:cs="Times New Roman"/>
          <w:color w:val="000000" w:themeColor="text1"/>
          <w:kern w:val="36"/>
          <w:sz w:val="24"/>
          <w:szCs w:val="24"/>
          <w:lang w:val="en-US"/>
        </w:rPr>
        <w:t>.</w:t>
      </w:r>
      <w:r w:rsidRPr="00A5089D">
        <w:rPr>
          <w:rFonts w:ascii="Times New Roman" w:hAnsi="Times New Roman" w:cs="Times New Roman"/>
          <w:color w:val="000000" w:themeColor="text1"/>
          <w:kern w:val="36"/>
          <w:sz w:val="24"/>
          <w:szCs w:val="24"/>
          <w:lang w:val="en-US"/>
        </w:rPr>
        <w:t xml:space="preserve"> 1998. “Organizing Babylon -On tthe Different</w:t>
      </w:r>
      <w:r w:rsidR="00480316">
        <w:rPr>
          <w:rFonts w:ascii="Times New Roman" w:hAnsi="Times New Roman" w:cs="Times New Roman"/>
          <w:color w:val="000000" w:themeColor="text1"/>
          <w:kern w:val="36"/>
          <w:sz w:val="24"/>
          <w:szCs w:val="24"/>
          <w:lang w:val="en-US"/>
        </w:rPr>
        <w:t xml:space="preserve"> Conceptions of Policy Networks</w:t>
      </w:r>
      <w:r w:rsidRPr="00A5089D">
        <w:rPr>
          <w:rFonts w:ascii="Times New Roman" w:hAnsi="Times New Roman" w:cs="Times New Roman"/>
          <w:color w:val="000000" w:themeColor="text1"/>
          <w:kern w:val="36"/>
          <w:sz w:val="24"/>
          <w:szCs w:val="24"/>
          <w:lang w:val="en-US"/>
        </w:rPr>
        <w:t>”</w:t>
      </w:r>
      <w:r w:rsidR="00480316">
        <w:rPr>
          <w:rFonts w:ascii="Times New Roman" w:hAnsi="Times New Roman" w:cs="Times New Roman"/>
          <w:color w:val="000000" w:themeColor="text1"/>
          <w:kern w:val="36"/>
          <w:sz w:val="24"/>
          <w:szCs w:val="24"/>
          <w:lang w:val="en-US"/>
        </w:rPr>
        <w:t>,</w:t>
      </w:r>
      <w:r w:rsidRPr="00A5089D">
        <w:rPr>
          <w:rFonts w:ascii="Times New Roman" w:hAnsi="Times New Roman" w:cs="Times New Roman"/>
          <w:color w:val="000000" w:themeColor="text1"/>
          <w:kern w:val="36"/>
          <w:sz w:val="24"/>
          <w:szCs w:val="24"/>
          <w:lang w:val="en-US"/>
        </w:rPr>
        <w:t xml:space="preserve"> </w:t>
      </w:r>
      <w:r w:rsidRPr="00A5089D">
        <w:rPr>
          <w:rFonts w:ascii="Times New Roman" w:hAnsi="Times New Roman" w:cs="Times New Roman"/>
          <w:i/>
          <w:color w:val="000000" w:themeColor="text1"/>
          <w:kern w:val="36"/>
          <w:sz w:val="24"/>
          <w:szCs w:val="24"/>
          <w:lang w:val="en-US"/>
        </w:rPr>
        <w:t>Public Administration Vol</w:t>
      </w:r>
      <w:r w:rsidRPr="00A5089D">
        <w:rPr>
          <w:rFonts w:ascii="Times New Roman" w:hAnsi="Times New Roman" w:cs="Times New Roman"/>
          <w:color w:val="000000" w:themeColor="text1"/>
          <w:kern w:val="36"/>
          <w:sz w:val="24"/>
          <w:szCs w:val="24"/>
          <w:lang w:val="en-US"/>
        </w:rPr>
        <w:t xml:space="preserve"> 76: 253-273.</w:t>
      </w:r>
    </w:p>
    <w:p w:rsidR="00C04568" w:rsidRPr="0048237A" w:rsidRDefault="00343082" w:rsidP="00564F3E">
      <w:pPr>
        <w:pStyle w:val="Sinespaciado"/>
        <w:jc w:val="both"/>
        <w:rPr>
          <w:rFonts w:ascii="Times New Roman" w:eastAsia="Times New Roman" w:hAnsi="Times New Roman" w:cs="Times New Roman"/>
          <w:sz w:val="24"/>
          <w:szCs w:val="24"/>
          <w:lang w:val="en-US"/>
        </w:rPr>
      </w:pPr>
      <w:r w:rsidRPr="00A5089D">
        <w:rPr>
          <w:rFonts w:ascii="Times New Roman" w:hAnsi="Times New Roman" w:cs="Times New Roman"/>
          <w:color w:val="000000" w:themeColor="text1"/>
          <w:sz w:val="24"/>
          <w:szCs w:val="24"/>
          <w:lang w:val="en-US"/>
        </w:rPr>
        <w:t>Bressers, Hans y Laurence O’toole</w:t>
      </w:r>
      <w:r w:rsidR="003651AC" w:rsidRPr="0048237A">
        <w:rPr>
          <w:rFonts w:ascii="Times New Roman" w:hAnsi="Times New Roman" w:cs="Times New Roman"/>
          <w:sz w:val="24"/>
          <w:szCs w:val="24"/>
          <w:lang w:val="en-US"/>
        </w:rPr>
        <w:t>.</w:t>
      </w:r>
      <w:r w:rsidRPr="0048237A">
        <w:rPr>
          <w:rFonts w:ascii="Times New Roman" w:hAnsi="Times New Roman" w:cs="Times New Roman"/>
          <w:sz w:val="24"/>
          <w:szCs w:val="24"/>
          <w:lang w:val="en-US"/>
        </w:rPr>
        <w:t xml:space="preserve"> 1998. “The selection of policy instruments: a network-based perspective”, </w:t>
      </w:r>
      <w:r w:rsidR="003651AC" w:rsidRPr="0048237A">
        <w:rPr>
          <w:rFonts w:ascii="Times New Roman" w:hAnsi="Times New Roman" w:cs="Times New Roman"/>
          <w:i/>
          <w:iCs/>
          <w:sz w:val="24"/>
          <w:szCs w:val="24"/>
          <w:lang w:val="en-US"/>
        </w:rPr>
        <w:t xml:space="preserve">Journal of Public Policy, </w:t>
      </w:r>
      <w:r w:rsidRPr="0048237A">
        <w:rPr>
          <w:rFonts w:ascii="Times New Roman" w:hAnsi="Times New Roman" w:cs="Times New Roman"/>
          <w:sz w:val="24"/>
          <w:szCs w:val="24"/>
          <w:lang w:val="en-US"/>
        </w:rPr>
        <w:t xml:space="preserve">18 </w:t>
      </w:r>
      <w:r w:rsidR="003651AC" w:rsidRPr="0048237A">
        <w:rPr>
          <w:rFonts w:ascii="Times New Roman" w:hAnsi="Times New Roman" w:cs="Times New Roman"/>
          <w:sz w:val="24"/>
          <w:szCs w:val="24"/>
          <w:lang w:val="en-US"/>
        </w:rPr>
        <w:t>(</w:t>
      </w:r>
      <w:r w:rsidRPr="0048237A">
        <w:rPr>
          <w:rFonts w:ascii="Times New Roman" w:hAnsi="Times New Roman" w:cs="Times New Roman"/>
          <w:sz w:val="24"/>
          <w:szCs w:val="24"/>
          <w:lang w:val="en-US"/>
        </w:rPr>
        <w:t>3</w:t>
      </w:r>
      <w:r w:rsidR="003651AC" w:rsidRPr="0048237A">
        <w:rPr>
          <w:rFonts w:ascii="Times New Roman" w:hAnsi="Times New Roman" w:cs="Times New Roman"/>
          <w:sz w:val="24"/>
          <w:szCs w:val="24"/>
          <w:lang w:val="en-US"/>
        </w:rPr>
        <w:t>):</w:t>
      </w:r>
      <w:r w:rsidRPr="0048237A">
        <w:rPr>
          <w:rFonts w:ascii="Times New Roman" w:hAnsi="Times New Roman" w:cs="Times New Roman"/>
          <w:sz w:val="24"/>
          <w:szCs w:val="24"/>
          <w:lang w:val="en-US"/>
        </w:rPr>
        <w:t xml:space="preserve"> 213-239.</w:t>
      </w:r>
    </w:p>
    <w:p w:rsidR="00C04568" w:rsidRPr="0048237A" w:rsidRDefault="00C04568" w:rsidP="00564F3E">
      <w:pPr>
        <w:pStyle w:val="Sinespaciado"/>
        <w:jc w:val="both"/>
        <w:rPr>
          <w:rFonts w:ascii="Times New Roman" w:eastAsia="Times New Roman" w:hAnsi="Times New Roman" w:cs="Times New Roman"/>
          <w:sz w:val="24"/>
          <w:szCs w:val="24"/>
          <w:lang w:val="en-US"/>
        </w:rPr>
      </w:pPr>
    </w:p>
    <w:p w:rsidR="00C04568" w:rsidRPr="0048237A" w:rsidRDefault="00343082" w:rsidP="00564F3E">
      <w:pPr>
        <w:pStyle w:val="Sinespaciado"/>
        <w:jc w:val="both"/>
        <w:rPr>
          <w:rFonts w:ascii="Times New Roman" w:eastAsia="Times New Roman" w:hAnsi="Times New Roman" w:cs="Times New Roman"/>
          <w:sz w:val="24"/>
          <w:szCs w:val="24"/>
          <w:lang w:val="en-US"/>
        </w:rPr>
      </w:pPr>
      <w:r w:rsidRPr="0048237A">
        <w:rPr>
          <w:rFonts w:ascii="Times New Roman" w:hAnsi="Times New Roman" w:cs="Times New Roman"/>
          <w:sz w:val="24"/>
          <w:szCs w:val="24"/>
          <w:lang w:val="en-US"/>
        </w:rPr>
        <w:t>Bressers, Hans y Laurence O’toole</w:t>
      </w:r>
      <w:r w:rsidR="003651AC" w:rsidRPr="0048237A">
        <w:rPr>
          <w:rFonts w:ascii="Times New Roman" w:hAnsi="Times New Roman" w:cs="Times New Roman"/>
          <w:sz w:val="24"/>
          <w:szCs w:val="24"/>
          <w:lang w:val="en-US"/>
        </w:rPr>
        <w:t>.</w:t>
      </w:r>
      <w:r w:rsidRPr="0048237A">
        <w:rPr>
          <w:rFonts w:ascii="Times New Roman" w:hAnsi="Times New Roman" w:cs="Times New Roman"/>
          <w:sz w:val="24"/>
          <w:szCs w:val="24"/>
          <w:lang w:val="en-US"/>
        </w:rPr>
        <w:t xml:space="preserve"> </w:t>
      </w:r>
      <w:r w:rsidR="003651AC" w:rsidRPr="0048237A">
        <w:rPr>
          <w:rFonts w:ascii="Times New Roman" w:hAnsi="Times New Roman" w:cs="Times New Roman"/>
          <w:sz w:val="24"/>
          <w:szCs w:val="24"/>
          <w:lang w:val="en-US"/>
        </w:rPr>
        <w:t>2007</w:t>
      </w:r>
      <w:r w:rsidRPr="0048237A">
        <w:rPr>
          <w:rFonts w:ascii="Times New Roman" w:hAnsi="Times New Roman" w:cs="Times New Roman"/>
          <w:sz w:val="24"/>
          <w:szCs w:val="24"/>
          <w:lang w:val="en-US"/>
        </w:rPr>
        <w:t>. “Instrument selection and implementation in a n</w:t>
      </w:r>
      <w:r w:rsidR="009C0BB5">
        <w:rPr>
          <w:rFonts w:ascii="Times New Roman" w:hAnsi="Times New Roman" w:cs="Times New Roman"/>
          <w:sz w:val="24"/>
          <w:szCs w:val="24"/>
          <w:lang w:val="en-US"/>
        </w:rPr>
        <w:t>etworked contex”, en Eliadis et</w:t>
      </w:r>
      <w:r w:rsidRPr="0048237A">
        <w:rPr>
          <w:rFonts w:ascii="Times New Roman" w:hAnsi="Times New Roman" w:cs="Times New Roman"/>
          <w:sz w:val="24"/>
          <w:szCs w:val="24"/>
          <w:lang w:val="en-US"/>
        </w:rPr>
        <w:t xml:space="preserve"> al</w:t>
      </w:r>
      <w:r w:rsidR="00597A80" w:rsidRPr="0048237A">
        <w:rPr>
          <w:rFonts w:ascii="Times New Roman" w:hAnsi="Times New Roman" w:cs="Times New Roman"/>
          <w:sz w:val="24"/>
          <w:szCs w:val="24"/>
          <w:lang w:val="en-US"/>
        </w:rPr>
        <w:t>.</w:t>
      </w:r>
      <w:r w:rsidR="009C0BB5">
        <w:rPr>
          <w:rFonts w:ascii="Times New Roman" w:hAnsi="Times New Roman" w:cs="Times New Roman"/>
          <w:sz w:val="24"/>
          <w:szCs w:val="24"/>
          <w:lang w:val="en-US"/>
        </w:rPr>
        <w:t xml:space="preserve"> (ed.</w:t>
      </w:r>
      <w:r w:rsidRPr="0048237A">
        <w:rPr>
          <w:rFonts w:ascii="Times New Roman" w:hAnsi="Times New Roman" w:cs="Times New Roman"/>
          <w:sz w:val="24"/>
          <w:szCs w:val="24"/>
          <w:lang w:val="en-US"/>
        </w:rPr>
        <w:t>)</w:t>
      </w:r>
      <w:r w:rsidR="009C0BB5">
        <w:rPr>
          <w:rFonts w:ascii="Times New Roman" w:hAnsi="Times New Roman" w:cs="Times New Roman"/>
          <w:sz w:val="24"/>
          <w:szCs w:val="24"/>
          <w:lang w:val="en-US"/>
        </w:rPr>
        <w:t>,</w:t>
      </w:r>
      <w:r w:rsidRPr="0048237A">
        <w:rPr>
          <w:rFonts w:ascii="Times New Roman" w:hAnsi="Times New Roman" w:cs="Times New Roman"/>
          <w:sz w:val="24"/>
          <w:szCs w:val="24"/>
          <w:lang w:val="en-US"/>
        </w:rPr>
        <w:t xml:space="preserve"> </w:t>
      </w:r>
      <w:r w:rsidRPr="0048237A">
        <w:rPr>
          <w:rFonts w:ascii="Times New Roman" w:hAnsi="Times New Roman" w:cs="Times New Roman"/>
          <w:i/>
          <w:iCs/>
          <w:sz w:val="24"/>
          <w:szCs w:val="24"/>
          <w:lang w:val="en-US"/>
        </w:rPr>
        <w:t>Designing Government.</w:t>
      </w:r>
      <w:r w:rsidRPr="0048237A">
        <w:rPr>
          <w:rFonts w:ascii="Times New Roman" w:hAnsi="Times New Roman" w:cs="Times New Roman"/>
          <w:sz w:val="24"/>
          <w:szCs w:val="24"/>
          <w:lang w:val="en-US"/>
        </w:rPr>
        <w:t xml:space="preserve"> Montreal: McGuill-Queen’s University Press.</w:t>
      </w:r>
    </w:p>
    <w:p w:rsidR="00C04568" w:rsidRPr="0048237A" w:rsidRDefault="00C04568" w:rsidP="00564F3E">
      <w:pPr>
        <w:pStyle w:val="Sinespaciado"/>
        <w:jc w:val="both"/>
        <w:rPr>
          <w:rFonts w:ascii="Times New Roman" w:eastAsia="Times New Roman" w:hAnsi="Times New Roman" w:cs="Times New Roman"/>
          <w:sz w:val="24"/>
          <w:szCs w:val="24"/>
          <w:lang w:val="en-US"/>
        </w:rPr>
      </w:pPr>
    </w:p>
    <w:p w:rsidR="00C04568" w:rsidRPr="00A5089D" w:rsidRDefault="00343082" w:rsidP="00564F3E">
      <w:pPr>
        <w:pStyle w:val="Sinespaciado"/>
        <w:jc w:val="both"/>
        <w:rPr>
          <w:rFonts w:ascii="Times New Roman" w:hAnsi="Times New Roman" w:cs="Times New Roman"/>
          <w:color w:val="000000" w:themeColor="text1"/>
          <w:sz w:val="24"/>
          <w:szCs w:val="24"/>
          <w:lang w:val="en-US"/>
        </w:rPr>
      </w:pPr>
      <w:r w:rsidRPr="0048237A">
        <w:rPr>
          <w:rFonts w:ascii="Times New Roman" w:hAnsi="Times New Roman" w:cs="Times New Roman"/>
          <w:sz w:val="24"/>
          <w:szCs w:val="24"/>
          <w:lang w:val="en-US"/>
        </w:rPr>
        <w:t>Capano, Gilberto</w:t>
      </w:r>
      <w:r w:rsidR="003651AC" w:rsidRPr="0048237A">
        <w:rPr>
          <w:rFonts w:ascii="Times New Roman" w:hAnsi="Times New Roman" w:cs="Times New Roman"/>
          <w:sz w:val="24"/>
          <w:szCs w:val="24"/>
          <w:lang w:val="en-US"/>
        </w:rPr>
        <w:t>.</w:t>
      </w:r>
      <w:r w:rsidRPr="0048237A">
        <w:rPr>
          <w:rFonts w:ascii="Times New Roman" w:hAnsi="Times New Roman" w:cs="Times New Roman"/>
          <w:sz w:val="24"/>
          <w:szCs w:val="24"/>
          <w:lang w:val="en-US"/>
        </w:rPr>
        <w:t xml:space="preserve"> 2009. “Understanding policy change as an epistemological and theoretical problem”, </w:t>
      </w:r>
      <w:r w:rsidRPr="0048237A">
        <w:rPr>
          <w:rFonts w:ascii="Times New Roman" w:hAnsi="Times New Roman" w:cs="Times New Roman"/>
          <w:i/>
          <w:iCs/>
          <w:sz w:val="24"/>
          <w:szCs w:val="24"/>
          <w:lang w:val="en-US"/>
        </w:rPr>
        <w:t>Journal of Comparative Policy Analysis: Research and Practice</w:t>
      </w:r>
      <w:r w:rsidRPr="0048237A">
        <w:rPr>
          <w:rFonts w:ascii="Times New Roman" w:hAnsi="Times New Roman" w:cs="Times New Roman"/>
          <w:sz w:val="24"/>
          <w:szCs w:val="24"/>
          <w:lang w:val="en-US"/>
        </w:rPr>
        <w:t>, 1</w:t>
      </w:r>
      <w:r w:rsidR="002D64D4" w:rsidRPr="0048237A">
        <w:rPr>
          <w:rFonts w:ascii="Times New Roman" w:hAnsi="Times New Roman" w:cs="Times New Roman"/>
          <w:sz w:val="24"/>
          <w:szCs w:val="24"/>
          <w:lang w:val="en-US"/>
        </w:rPr>
        <w:t>1</w:t>
      </w:r>
      <w:r w:rsidR="003651AC" w:rsidRPr="0048237A">
        <w:rPr>
          <w:rFonts w:ascii="Times New Roman" w:hAnsi="Times New Roman" w:cs="Times New Roman"/>
          <w:sz w:val="24"/>
          <w:szCs w:val="24"/>
          <w:lang w:val="en-US"/>
        </w:rPr>
        <w:t xml:space="preserve"> </w:t>
      </w:r>
      <w:r w:rsidR="002D64D4" w:rsidRPr="0048237A">
        <w:rPr>
          <w:rFonts w:ascii="Times New Roman" w:hAnsi="Times New Roman" w:cs="Times New Roman"/>
          <w:sz w:val="24"/>
          <w:szCs w:val="24"/>
          <w:lang w:val="en-US"/>
        </w:rPr>
        <w:t>(</w:t>
      </w:r>
      <w:r w:rsidRPr="0048237A">
        <w:rPr>
          <w:rFonts w:ascii="Times New Roman" w:hAnsi="Times New Roman" w:cs="Times New Roman"/>
          <w:sz w:val="24"/>
          <w:szCs w:val="24"/>
          <w:lang w:val="en-US"/>
        </w:rPr>
        <w:t>1</w:t>
      </w:r>
      <w:r w:rsidR="002D64D4" w:rsidRPr="0048237A">
        <w:rPr>
          <w:rFonts w:ascii="Times New Roman" w:hAnsi="Times New Roman" w:cs="Times New Roman"/>
          <w:sz w:val="24"/>
          <w:szCs w:val="24"/>
          <w:lang w:val="en-US"/>
        </w:rPr>
        <w:t>)</w:t>
      </w:r>
      <w:r w:rsidR="003651AC" w:rsidRPr="0048237A">
        <w:rPr>
          <w:rFonts w:ascii="Times New Roman" w:hAnsi="Times New Roman" w:cs="Times New Roman"/>
          <w:sz w:val="24"/>
          <w:szCs w:val="24"/>
          <w:lang w:val="en-US"/>
        </w:rPr>
        <w:t>:</w:t>
      </w:r>
      <w:r w:rsidRPr="0048237A">
        <w:rPr>
          <w:rFonts w:ascii="Times New Roman" w:hAnsi="Times New Roman" w:cs="Times New Roman"/>
          <w:sz w:val="24"/>
          <w:szCs w:val="24"/>
          <w:lang w:val="en-US"/>
        </w:rPr>
        <w:t>7-31.</w:t>
      </w:r>
    </w:p>
    <w:p w:rsidR="009501F5" w:rsidRPr="00A5089D" w:rsidRDefault="009501F5" w:rsidP="00564F3E">
      <w:pPr>
        <w:pStyle w:val="Sinespaciado"/>
        <w:jc w:val="both"/>
        <w:rPr>
          <w:rFonts w:ascii="Times New Roman" w:hAnsi="Times New Roman" w:cs="Times New Roman"/>
          <w:color w:val="000000" w:themeColor="text1"/>
          <w:sz w:val="24"/>
          <w:szCs w:val="24"/>
          <w:lang w:val="en-US"/>
        </w:rPr>
      </w:pPr>
    </w:p>
    <w:p w:rsidR="009501F5" w:rsidRPr="00A5089D" w:rsidRDefault="009501F5" w:rsidP="00564F3E">
      <w:pPr>
        <w:pStyle w:val="Sinespaciado"/>
        <w:jc w:val="both"/>
        <w:rPr>
          <w:rFonts w:ascii="Times New Roman" w:eastAsia="Times New Roman" w:hAnsi="Times New Roman" w:cs="Times New Roman"/>
          <w:color w:val="000000" w:themeColor="text1"/>
          <w:sz w:val="24"/>
          <w:szCs w:val="24"/>
          <w:lang w:val="en-US"/>
        </w:rPr>
      </w:pPr>
      <w:r w:rsidRPr="00A5089D">
        <w:rPr>
          <w:rFonts w:ascii="Times New Roman" w:hAnsi="Times New Roman" w:cs="Times New Roman"/>
          <w:color w:val="000000" w:themeColor="text1"/>
          <w:sz w:val="24"/>
          <w:szCs w:val="24"/>
          <w:lang w:val="en-US"/>
        </w:rPr>
        <w:t>Eberhad, Rachel. Richard Margerum. Vella Karen. Severine Mayere y Bruce Taylor (2017). “The Practice of Water Policy Governance Networks: An International Comparative Case Study.” Journal Society &amp; Natural Resources Vol 30(4): 453-470.</w:t>
      </w:r>
    </w:p>
    <w:p w:rsidR="00C04568" w:rsidRPr="00A5089D" w:rsidRDefault="00C04568" w:rsidP="00564F3E">
      <w:pPr>
        <w:pStyle w:val="Sinespaciado"/>
        <w:jc w:val="both"/>
        <w:rPr>
          <w:rFonts w:ascii="Times New Roman" w:eastAsia="Times New Roman" w:hAnsi="Times New Roman" w:cs="Times New Roman"/>
          <w:color w:val="000000" w:themeColor="text1"/>
          <w:sz w:val="24"/>
          <w:szCs w:val="24"/>
          <w:lang w:val="en-US"/>
        </w:rPr>
      </w:pPr>
    </w:p>
    <w:p w:rsidR="00C04568" w:rsidRDefault="00343082" w:rsidP="00564F3E">
      <w:pPr>
        <w:pStyle w:val="BodyB"/>
        <w:spacing w:line="240" w:lineRule="auto"/>
        <w:jc w:val="both"/>
        <w:rPr>
          <w:rFonts w:ascii="Times New Roman" w:hAnsi="Times New Roman" w:cs="Times New Roman"/>
          <w:sz w:val="24"/>
          <w:szCs w:val="24"/>
          <w:lang w:val="en-US"/>
        </w:rPr>
      </w:pPr>
      <w:r w:rsidRPr="00A5089D">
        <w:rPr>
          <w:rFonts w:ascii="Times New Roman" w:hAnsi="Times New Roman" w:cs="Times New Roman"/>
          <w:color w:val="000000" w:themeColor="text1"/>
          <w:kern w:val="36"/>
          <w:sz w:val="24"/>
          <w:szCs w:val="24"/>
          <w:lang w:val="en-US"/>
        </w:rPr>
        <w:t xml:space="preserve">Emerson, </w:t>
      </w:r>
      <w:r w:rsidRPr="00A5089D">
        <w:rPr>
          <w:rFonts w:ascii="Times New Roman" w:hAnsi="Times New Roman" w:cs="Times New Roman"/>
          <w:color w:val="000000" w:themeColor="text1"/>
          <w:sz w:val="24"/>
          <w:szCs w:val="24"/>
          <w:lang w:val="en-US"/>
        </w:rPr>
        <w:t>Richard</w:t>
      </w:r>
      <w:r w:rsidR="00D07939" w:rsidRPr="00A5089D">
        <w:rPr>
          <w:rFonts w:ascii="Times New Roman" w:hAnsi="Times New Roman" w:cs="Times New Roman"/>
          <w:color w:val="000000" w:themeColor="text1"/>
          <w:sz w:val="24"/>
          <w:szCs w:val="24"/>
          <w:lang w:val="en-US"/>
        </w:rPr>
        <w:t>.</w:t>
      </w:r>
      <w:r w:rsidRPr="00A5089D">
        <w:rPr>
          <w:rFonts w:ascii="Times New Roman" w:hAnsi="Times New Roman" w:cs="Times New Roman"/>
          <w:color w:val="000000" w:themeColor="text1"/>
          <w:sz w:val="24"/>
          <w:szCs w:val="24"/>
          <w:lang w:val="en-US"/>
        </w:rPr>
        <w:t xml:space="preserve"> 1962. </w:t>
      </w:r>
      <w:r w:rsidRPr="005965EB">
        <w:rPr>
          <w:rFonts w:ascii="Times New Roman" w:hAnsi="Times New Roman" w:cs="Times New Roman"/>
          <w:sz w:val="24"/>
          <w:szCs w:val="24"/>
          <w:lang w:val="en-US"/>
        </w:rPr>
        <w:t xml:space="preserve">“Power-Dependence Relations”, </w:t>
      </w:r>
      <w:r w:rsidRPr="005965EB">
        <w:rPr>
          <w:rFonts w:ascii="Times New Roman" w:hAnsi="Times New Roman" w:cs="Times New Roman"/>
          <w:i/>
          <w:iCs/>
          <w:sz w:val="24"/>
          <w:szCs w:val="24"/>
          <w:lang w:val="en-US"/>
        </w:rPr>
        <w:t>American Sociological Review</w:t>
      </w:r>
      <w:r w:rsidRPr="005965EB">
        <w:rPr>
          <w:rFonts w:ascii="Times New Roman" w:hAnsi="Times New Roman" w:cs="Times New Roman"/>
          <w:sz w:val="24"/>
          <w:szCs w:val="24"/>
          <w:lang w:val="en-US"/>
        </w:rPr>
        <w:t>, 27</w:t>
      </w:r>
      <w:r w:rsidR="00D07939" w:rsidRPr="005965EB">
        <w:rPr>
          <w:rFonts w:ascii="Times New Roman" w:hAnsi="Times New Roman" w:cs="Times New Roman"/>
          <w:sz w:val="24"/>
          <w:szCs w:val="24"/>
          <w:lang w:val="en-US"/>
        </w:rPr>
        <w:t xml:space="preserve"> </w:t>
      </w:r>
      <w:r w:rsidR="002D64D4" w:rsidRPr="005965EB">
        <w:rPr>
          <w:rFonts w:ascii="Times New Roman" w:hAnsi="Times New Roman" w:cs="Times New Roman"/>
          <w:sz w:val="24"/>
          <w:szCs w:val="24"/>
          <w:lang w:val="en-US"/>
        </w:rPr>
        <w:t>(</w:t>
      </w:r>
      <w:r w:rsidRPr="005965EB">
        <w:rPr>
          <w:rFonts w:ascii="Times New Roman" w:hAnsi="Times New Roman" w:cs="Times New Roman"/>
          <w:sz w:val="24"/>
          <w:szCs w:val="24"/>
          <w:lang w:val="en-US"/>
        </w:rPr>
        <w:t>1</w:t>
      </w:r>
      <w:r w:rsidR="002D64D4" w:rsidRPr="005965EB">
        <w:rPr>
          <w:rFonts w:ascii="Times New Roman" w:hAnsi="Times New Roman" w:cs="Times New Roman"/>
          <w:sz w:val="24"/>
          <w:szCs w:val="24"/>
          <w:lang w:val="en-US"/>
        </w:rPr>
        <w:t>)</w:t>
      </w:r>
      <w:r w:rsidR="00D07939" w:rsidRPr="005965EB">
        <w:rPr>
          <w:rFonts w:ascii="Times New Roman" w:hAnsi="Times New Roman" w:cs="Times New Roman"/>
          <w:sz w:val="24"/>
          <w:szCs w:val="24"/>
          <w:lang w:val="en-US"/>
        </w:rPr>
        <w:t>:</w:t>
      </w:r>
      <w:r w:rsidRPr="005965EB">
        <w:rPr>
          <w:rFonts w:ascii="Times New Roman" w:hAnsi="Times New Roman" w:cs="Times New Roman"/>
          <w:sz w:val="24"/>
          <w:szCs w:val="24"/>
          <w:lang w:val="en-US"/>
        </w:rPr>
        <w:t xml:space="preserve"> 31-41.</w:t>
      </w:r>
    </w:p>
    <w:p w:rsidR="00317FD0" w:rsidRPr="0048237A" w:rsidRDefault="00317FD0" w:rsidP="00317FD0">
      <w:pPr>
        <w:pStyle w:val="BodyB"/>
        <w:spacing w:line="240" w:lineRule="auto"/>
        <w:jc w:val="both"/>
        <w:rPr>
          <w:rFonts w:ascii="Times New Roman" w:hAnsi="Times New Roman" w:cs="Times New Roman"/>
          <w:kern w:val="36"/>
          <w:sz w:val="24"/>
          <w:szCs w:val="24"/>
          <w:lang w:val="es-EC"/>
        </w:rPr>
      </w:pPr>
      <w:r w:rsidRPr="0048237A">
        <w:rPr>
          <w:rFonts w:ascii="Times New Roman" w:hAnsi="Times New Roman" w:cs="Times New Roman"/>
          <w:kern w:val="36"/>
          <w:sz w:val="24"/>
          <w:szCs w:val="24"/>
          <w:lang w:val="es-EC"/>
        </w:rPr>
        <w:t xml:space="preserve">Fontaine, Guillaume. 2015. “Lecciones de América Latina sobre las dimensiones racionales, cognitivas e institucionales del cambio de políticas”, </w:t>
      </w:r>
      <w:r w:rsidRPr="0048237A">
        <w:rPr>
          <w:rFonts w:ascii="Times New Roman" w:hAnsi="Times New Roman" w:cs="Times New Roman"/>
          <w:i/>
          <w:kern w:val="36"/>
          <w:sz w:val="24"/>
          <w:szCs w:val="24"/>
          <w:lang w:val="es-EC"/>
        </w:rPr>
        <w:t>Revista de Ciencias Sociales Iconos</w:t>
      </w:r>
      <w:r w:rsidRPr="0048237A">
        <w:rPr>
          <w:rFonts w:ascii="Times New Roman" w:hAnsi="Times New Roman" w:cs="Times New Roman"/>
          <w:kern w:val="36"/>
          <w:sz w:val="24"/>
          <w:szCs w:val="24"/>
          <w:lang w:val="es-EC"/>
        </w:rPr>
        <w:t>, (53): 11-30.</w:t>
      </w:r>
    </w:p>
    <w:p w:rsidR="002527D8" w:rsidRPr="00A5089D" w:rsidRDefault="002527D8" w:rsidP="00564F3E">
      <w:pPr>
        <w:pStyle w:val="BodyB"/>
        <w:spacing w:line="240" w:lineRule="auto"/>
        <w:jc w:val="both"/>
        <w:rPr>
          <w:rFonts w:ascii="Times New Roman" w:eastAsia="Times New Roman" w:hAnsi="Times New Roman" w:cs="Times New Roman"/>
          <w:color w:val="000000" w:themeColor="text1"/>
          <w:sz w:val="24"/>
          <w:szCs w:val="24"/>
          <w:lang w:val="en-US"/>
        </w:rPr>
      </w:pPr>
      <w:r w:rsidRPr="00A5089D">
        <w:rPr>
          <w:rFonts w:ascii="Times New Roman" w:hAnsi="Times New Roman" w:cs="Times New Roman"/>
          <w:color w:val="000000" w:themeColor="text1"/>
          <w:sz w:val="24"/>
          <w:szCs w:val="24"/>
          <w:lang w:val="en-US"/>
        </w:rPr>
        <w:lastRenderedPageBreak/>
        <w:t xml:space="preserve">Gadda, Andressa. Harris Juliet y Kay Tisdall (2019). “Making children’s rights real: Lessons from policy networks and contribution analysis.” </w:t>
      </w:r>
      <w:r w:rsidRPr="00A5089D">
        <w:rPr>
          <w:rFonts w:ascii="Times New Roman" w:hAnsi="Times New Roman" w:cs="Times New Roman"/>
          <w:i/>
          <w:color w:val="000000" w:themeColor="text1"/>
          <w:sz w:val="24"/>
          <w:szCs w:val="24"/>
          <w:lang w:val="en-US"/>
        </w:rPr>
        <w:t xml:space="preserve">The International Journal of Human Rights </w:t>
      </w:r>
      <w:r w:rsidRPr="00A5089D">
        <w:rPr>
          <w:rFonts w:ascii="Times New Roman" w:hAnsi="Times New Roman" w:cs="Times New Roman"/>
          <w:color w:val="000000" w:themeColor="text1"/>
          <w:sz w:val="24"/>
          <w:szCs w:val="24"/>
          <w:lang w:val="en-US"/>
        </w:rPr>
        <w:t>Vol 23(3): 393-407.</w:t>
      </w:r>
    </w:p>
    <w:p w:rsidR="00C04568" w:rsidRPr="0048237A" w:rsidRDefault="00343082" w:rsidP="00564F3E">
      <w:pPr>
        <w:pStyle w:val="Sinespaciado"/>
        <w:jc w:val="both"/>
        <w:rPr>
          <w:rFonts w:ascii="Times New Roman" w:eastAsia="Times New Roman" w:hAnsi="Times New Roman" w:cs="Times New Roman"/>
          <w:sz w:val="24"/>
          <w:szCs w:val="24"/>
          <w:lang w:val="en-US"/>
        </w:rPr>
      </w:pPr>
      <w:r w:rsidRPr="00A5089D">
        <w:rPr>
          <w:rFonts w:ascii="Times New Roman" w:hAnsi="Times New Roman" w:cs="Times New Roman"/>
          <w:color w:val="000000" w:themeColor="text1"/>
          <w:sz w:val="24"/>
          <w:szCs w:val="24"/>
          <w:lang w:val="en-US"/>
        </w:rPr>
        <w:t>George, Alexander y Andrew Bennett</w:t>
      </w:r>
      <w:r w:rsidR="000E4441" w:rsidRPr="00A5089D">
        <w:rPr>
          <w:rFonts w:ascii="Times New Roman" w:hAnsi="Times New Roman" w:cs="Times New Roman"/>
          <w:color w:val="000000" w:themeColor="text1"/>
          <w:sz w:val="24"/>
          <w:szCs w:val="24"/>
          <w:lang w:val="en-US"/>
        </w:rPr>
        <w:t>.</w:t>
      </w:r>
      <w:r w:rsidRPr="00A5089D">
        <w:rPr>
          <w:rFonts w:ascii="Times New Roman" w:hAnsi="Times New Roman" w:cs="Times New Roman"/>
          <w:color w:val="000000" w:themeColor="text1"/>
          <w:sz w:val="24"/>
          <w:szCs w:val="24"/>
          <w:lang w:val="en-US"/>
        </w:rPr>
        <w:t xml:space="preserve"> 2004</w:t>
      </w:r>
      <w:r w:rsidRPr="0048237A">
        <w:rPr>
          <w:rFonts w:ascii="Times New Roman" w:hAnsi="Times New Roman" w:cs="Times New Roman"/>
          <w:sz w:val="24"/>
          <w:szCs w:val="24"/>
          <w:lang w:val="en-US"/>
        </w:rPr>
        <w:t xml:space="preserve">. </w:t>
      </w:r>
      <w:r w:rsidRPr="0048237A">
        <w:rPr>
          <w:rFonts w:ascii="Times New Roman" w:hAnsi="Times New Roman" w:cs="Times New Roman"/>
          <w:i/>
          <w:iCs/>
          <w:sz w:val="24"/>
          <w:szCs w:val="24"/>
          <w:lang w:val="en-US"/>
        </w:rPr>
        <w:t>Case studies and theory development in the social sciences.</w:t>
      </w:r>
      <w:r w:rsidRPr="0048237A">
        <w:rPr>
          <w:rFonts w:ascii="Times New Roman" w:hAnsi="Times New Roman" w:cs="Times New Roman"/>
          <w:sz w:val="24"/>
          <w:szCs w:val="24"/>
          <w:lang w:val="en-US"/>
        </w:rPr>
        <w:t xml:space="preserve"> Cambridge: MIT Press.</w:t>
      </w:r>
    </w:p>
    <w:p w:rsidR="00C04568" w:rsidRPr="0048237A" w:rsidRDefault="00C04568" w:rsidP="00564F3E">
      <w:pPr>
        <w:pStyle w:val="Sinespaciado"/>
        <w:jc w:val="both"/>
        <w:rPr>
          <w:rFonts w:ascii="Times New Roman" w:eastAsia="Times New Roman" w:hAnsi="Times New Roman" w:cs="Times New Roman"/>
          <w:sz w:val="24"/>
          <w:szCs w:val="24"/>
          <w:lang w:val="en-US"/>
        </w:rPr>
      </w:pPr>
    </w:p>
    <w:p w:rsidR="00C04568" w:rsidRPr="009966FA" w:rsidRDefault="000E4441" w:rsidP="00564F3E">
      <w:pPr>
        <w:pStyle w:val="Sinespaciado"/>
        <w:jc w:val="both"/>
        <w:rPr>
          <w:rFonts w:ascii="Times New Roman" w:eastAsia="Times New Roman" w:hAnsi="Times New Roman" w:cs="Times New Roman"/>
          <w:sz w:val="24"/>
          <w:szCs w:val="24"/>
          <w:lang w:val="en-US"/>
        </w:rPr>
      </w:pPr>
      <w:r w:rsidRPr="0048237A">
        <w:rPr>
          <w:rFonts w:ascii="Times New Roman" w:hAnsi="Times New Roman" w:cs="Times New Roman"/>
          <w:sz w:val="24"/>
          <w:szCs w:val="24"/>
          <w:lang w:val="en-US"/>
        </w:rPr>
        <w:t xml:space="preserve">Gerring, John </w:t>
      </w:r>
      <w:r w:rsidR="00343082" w:rsidRPr="0048237A">
        <w:rPr>
          <w:rFonts w:ascii="Times New Roman" w:hAnsi="Times New Roman" w:cs="Times New Roman"/>
          <w:sz w:val="24"/>
          <w:szCs w:val="24"/>
          <w:lang w:val="en-US"/>
        </w:rPr>
        <w:t>2008</w:t>
      </w:r>
      <w:r w:rsidRPr="0048237A">
        <w:rPr>
          <w:rFonts w:ascii="Times New Roman" w:hAnsi="Times New Roman" w:cs="Times New Roman"/>
          <w:sz w:val="24"/>
          <w:szCs w:val="24"/>
          <w:lang w:val="en-US"/>
        </w:rPr>
        <w:t xml:space="preserve">. </w:t>
      </w:r>
      <w:r w:rsidR="00343082" w:rsidRPr="0048237A">
        <w:rPr>
          <w:rFonts w:ascii="Times New Roman" w:hAnsi="Times New Roman" w:cs="Times New Roman"/>
          <w:sz w:val="24"/>
          <w:szCs w:val="24"/>
          <w:lang w:val="en-US"/>
        </w:rPr>
        <w:t xml:space="preserve">“Case selection for case study analysis: qualitative and quantitative techniques”, </w:t>
      </w:r>
      <w:r w:rsidR="00343082" w:rsidRPr="0048237A">
        <w:rPr>
          <w:rFonts w:ascii="Times New Roman" w:hAnsi="Times New Roman" w:cs="Times New Roman"/>
          <w:i/>
          <w:iCs/>
          <w:sz w:val="24"/>
          <w:szCs w:val="24"/>
          <w:lang w:val="en-US"/>
        </w:rPr>
        <w:t xml:space="preserve">The Oxford Handbook of political methodology. </w:t>
      </w:r>
      <w:r w:rsidR="00343082" w:rsidRPr="009966FA">
        <w:rPr>
          <w:rFonts w:ascii="Times New Roman" w:hAnsi="Times New Roman" w:cs="Times New Roman"/>
          <w:sz w:val="24"/>
          <w:szCs w:val="24"/>
          <w:lang w:val="en-US"/>
        </w:rPr>
        <w:t>Oxford University Press.</w:t>
      </w:r>
    </w:p>
    <w:p w:rsidR="00C04568" w:rsidRPr="009966FA" w:rsidRDefault="00C04568" w:rsidP="00564F3E">
      <w:pPr>
        <w:pStyle w:val="Sinespaciado"/>
        <w:jc w:val="both"/>
        <w:rPr>
          <w:rFonts w:ascii="Times New Roman" w:eastAsia="Times New Roman" w:hAnsi="Times New Roman" w:cs="Times New Roman"/>
          <w:sz w:val="24"/>
          <w:szCs w:val="24"/>
          <w:lang w:val="en-US"/>
        </w:rPr>
      </w:pPr>
    </w:p>
    <w:p w:rsidR="00C04568" w:rsidRPr="0048237A" w:rsidRDefault="00343082" w:rsidP="00564F3E">
      <w:pPr>
        <w:pStyle w:val="Bibliografa"/>
        <w:spacing w:after="0" w:line="240" w:lineRule="auto"/>
        <w:jc w:val="both"/>
        <w:rPr>
          <w:rFonts w:ascii="Times New Roman" w:eastAsia="Arial Unicode MS" w:hAnsi="Times New Roman" w:cs="Times New Roman"/>
          <w:sz w:val="24"/>
          <w:szCs w:val="24"/>
          <w:lang w:val="en-US"/>
        </w:rPr>
      </w:pPr>
      <w:r w:rsidRPr="0048237A">
        <w:rPr>
          <w:rFonts w:ascii="Times New Roman" w:eastAsia="Arial Unicode MS" w:hAnsi="Times New Roman" w:cs="Times New Roman"/>
          <w:sz w:val="24"/>
          <w:szCs w:val="24"/>
          <w:lang w:val="en-US"/>
        </w:rPr>
        <w:t>Hall, Peter</w:t>
      </w:r>
      <w:r w:rsidR="000E4441" w:rsidRPr="0048237A">
        <w:rPr>
          <w:rFonts w:ascii="Times New Roman" w:eastAsia="Arial Unicode MS" w:hAnsi="Times New Roman" w:cs="Times New Roman"/>
          <w:sz w:val="24"/>
          <w:szCs w:val="24"/>
          <w:lang w:val="en-US"/>
        </w:rPr>
        <w:t>.</w:t>
      </w:r>
      <w:r w:rsidRPr="0048237A">
        <w:rPr>
          <w:rFonts w:ascii="Times New Roman" w:eastAsia="Arial Unicode MS" w:hAnsi="Times New Roman" w:cs="Times New Roman"/>
          <w:sz w:val="24"/>
          <w:szCs w:val="24"/>
          <w:lang w:val="en-US"/>
        </w:rPr>
        <w:t xml:space="preserve"> 1993. “Policy Paradigms, Social Learning, and the State: the Case of Economic Policymaking in Britain”, </w:t>
      </w:r>
      <w:r w:rsidRPr="0048237A">
        <w:rPr>
          <w:rFonts w:ascii="Times New Roman" w:eastAsia="Arial Unicode MS" w:hAnsi="Times New Roman" w:cs="Times New Roman"/>
          <w:i/>
          <w:sz w:val="24"/>
          <w:szCs w:val="24"/>
          <w:lang w:val="en-US"/>
        </w:rPr>
        <w:t>Comparative Politics</w:t>
      </w:r>
      <w:r w:rsidRPr="0048237A">
        <w:rPr>
          <w:rFonts w:ascii="Times New Roman" w:eastAsia="Arial Unicode MS" w:hAnsi="Times New Roman" w:cs="Times New Roman"/>
          <w:sz w:val="24"/>
          <w:szCs w:val="24"/>
          <w:lang w:val="en-US"/>
        </w:rPr>
        <w:t>, 25</w:t>
      </w:r>
      <w:r w:rsidR="002A0E0B" w:rsidRPr="0048237A">
        <w:rPr>
          <w:rFonts w:ascii="Times New Roman" w:eastAsia="Arial Unicode MS" w:hAnsi="Times New Roman" w:cs="Times New Roman"/>
          <w:sz w:val="24"/>
          <w:szCs w:val="24"/>
          <w:lang w:val="en-US"/>
        </w:rPr>
        <w:t xml:space="preserve"> (</w:t>
      </w:r>
      <w:r w:rsidRPr="0048237A">
        <w:rPr>
          <w:rFonts w:ascii="Times New Roman" w:eastAsia="Arial Unicode MS" w:hAnsi="Times New Roman" w:cs="Times New Roman"/>
          <w:sz w:val="24"/>
          <w:szCs w:val="24"/>
          <w:lang w:val="en-US"/>
        </w:rPr>
        <w:t>3</w:t>
      </w:r>
      <w:r w:rsidR="002A0E0B" w:rsidRPr="0048237A">
        <w:rPr>
          <w:rFonts w:ascii="Times New Roman" w:eastAsia="Arial Unicode MS" w:hAnsi="Times New Roman" w:cs="Times New Roman"/>
          <w:sz w:val="24"/>
          <w:szCs w:val="24"/>
          <w:lang w:val="en-US"/>
        </w:rPr>
        <w:t xml:space="preserve">): </w:t>
      </w:r>
      <w:r w:rsidRPr="0048237A">
        <w:rPr>
          <w:rFonts w:ascii="Times New Roman" w:eastAsia="Arial Unicode MS" w:hAnsi="Times New Roman" w:cs="Times New Roman"/>
          <w:sz w:val="24"/>
          <w:szCs w:val="24"/>
          <w:lang w:val="en-US"/>
        </w:rPr>
        <w:t>275-296.</w:t>
      </w:r>
    </w:p>
    <w:p w:rsidR="00C04568" w:rsidRPr="0048237A" w:rsidRDefault="00C04568" w:rsidP="00564F3E">
      <w:pPr>
        <w:pStyle w:val="Sinespaciado"/>
        <w:jc w:val="both"/>
        <w:rPr>
          <w:rFonts w:ascii="Times New Roman" w:hAnsi="Times New Roman" w:cs="Times New Roman"/>
          <w:sz w:val="24"/>
          <w:szCs w:val="24"/>
          <w:lang w:val="en-US"/>
        </w:rPr>
      </w:pPr>
    </w:p>
    <w:p w:rsidR="00C04568" w:rsidRPr="00E6011F" w:rsidRDefault="00343082" w:rsidP="00564F3E">
      <w:pPr>
        <w:pStyle w:val="BodyB"/>
        <w:spacing w:line="240" w:lineRule="auto"/>
        <w:jc w:val="both"/>
        <w:rPr>
          <w:rFonts w:ascii="Times New Roman" w:hAnsi="Times New Roman" w:cs="Times New Roman"/>
          <w:sz w:val="24"/>
          <w:szCs w:val="24"/>
          <w:lang w:val="en-US"/>
        </w:rPr>
      </w:pPr>
      <w:r w:rsidRPr="00E6011F">
        <w:rPr>
          <w:rFonts w:ascii="Times New Roman" w:hAnsi="Times New Roman" w:cs="Times New Roman"/>
          <w:sz w:val="24"/>
          <w:szCs w:val="24"/>
          <w:lang w:val="en-US"/>
        </w:rPr>
        <w:t>Howlett, Michael y Benjamin Cashore</w:t>
      </w:r>
      <w:r w:rsidR="000E4441" w:rsidRPr="00E6011F">
        <w:rPr>
          <w:rFonts w:ascii="Times New Roman" w:hAnsi="Times New Roman" w:cs="Times New Roman"/>
          <w:sz w:val="24"/>
          <w:szCs w:val="24"/>
          <w:lang w:val="en-US"/>
        </w:rPr>
        <w:t>.</w:t>
      </w:r>
      <w:r w:rsidRPr="00E6011F">
        <w:rPr>
          <w:rFonts w:ascii="Times New Roman" w:hAnsi="Times New Roman" w:cs="Times New Roman"/>
          <w:sz w:val="24"/>
          <w:szCs w:val="24"/>
          <w:lang w:val="en-US"/>
        </w:rPr>
        <w:t xml:space="preserve"> 2009. “The dependent variable problem in the study of policy change: understanding policy change as a methodological problem”, </w:t>
      </w:r>
      <w:r w:rsidRPr="00E6011F">
        <w:rPr>
          <w:rFonts w:ascii="Times New Roman" w:hAnsi="Times New Roman" w:cs="Times New Roman"/>
          <w:i/>
          <w:sz w:val="24"/>
          <w:szCs w:val="24"/>
          <w:lang w:val="en-US"/>
        </w:rPr>
        <w:t>Journal of Comparative Policy Analysis: Research and Practice</w:t>
      </w:r>
      <w:r w:rsidRPr="00E6011F">
        <w:rPr>
          <w:rFonts w:ascii="Times New Roman" w:hAnsi="Times New Roman" w:cs="Times New Roman"/>
          <w:sz w:val="24"/>
          <w:szCs w:val="24"/>
          <w:lang w:val="en-US"/>
        </w:rPr>
        <w:t>,</w:t>
      </w:r>
      <w:r w:rsidR="002A0E0B" w:rsidRPr="00E6011F">
        <w:rPr>
          <w:rFonts w:ascii="Times New Roman" w:hAnsi="Times New Roman" w:cs="Times New Roman"/>
          <w:sz w:val="24"/>
          <w:szCs w:val="24"/>
          <w:lang w:val="en-US"/>
        </w:rPr>
        <w:t xml:space="preserve"> 11 (</w:t>
      </w:r>
      <w:r w:rsidRPr="00E6011F">
        <w:rPr>
          <w:rFonts w:ascii="Times New Roman" w:hAnsi="Times New Roman" w:cs="Times New Roman"/>
          <w:sz w:val="24"/>
          <w:szCs w:val="24"/>
          <w:lang w:val="en-US"/>
        </w:rPr>
        <w:t>1</w:t>
      </w:r>
      <w:r w:rsidR="002A0E0B" w:rsidRPr="00E6011F">
        <w:rPr>
          <w:rFonts w:ascii="Times New Roman" w:hAnsi="Times New Roman" w:cs="Times New Roman"/>
          <w:sz w:val="24"/>
          <w:szCs w:val="24"/>
          <w:lang w:val="en-US"/>
        </w:rPr>
        <w:t>):</w:t>
      </w:r>
      <w:r w:rsidRPr="00E6011F">
        <w:rPr>
          <w:rFonts w:ascii="Times New Roman" w:hAnsi="Times New Roman" w:cs="Times New Roman"/>
          <w:sz w:val="24"/>
          <w:szCs w:val="24"/>
          <w:lang w:val="en-US"/>
        </w:rPr>
        <w:t xml:space="preserve"> 33-46.</w:t>
      </w:r>
    </w:p>
    <w:p w:rsidR="00C04568" w:rsidRPr="00E6011F" w:rsidRDefault="00343082" w:rsidP="00564F3E">
      <w:pPr>
        <w:pStyle w:val="BodyB"/>
        <w:spacing w:line="240" w:lineRule="auto"/>
        <w:jc w:val="both"/>
        <w:rPr>
          <w:rFonts w:ascii="Times New Roman" w:hAnsi="Times New Roman" w:cs="Times New Roman"/>
          <w:sz w:val="24"/>
          <w:szCs w:val="24"/>
          <w:lang w:val="en-US"/>
        </w:rPr>
      </w:pPr>
      <w:r w:rsidRPr="00E6011F">
        <w:rPr>
          <w:rFonts w:ascii="Times New Roman" w:hAnsi="Times New Roman" w:cs="Times New Roman"/>
          <w:sz w:val="24"/>
          <w:szCs w:val="24"/>
          <w:lang w:val="en-US"/>
        </w:rPr>
        <w:t>Howlett, Mich</w:t>
      </w:r>
      <w:r w:rsidR="000E4441" w:rsidRPr="00E6011F">
        <w:rPr>
          <w:rFonts w:ascii="Times New Roman" w:hAnsi="Times New Roman" w:cs="Times New Roman"/>
          <w:sz w:val="24"/>
          <w:szCs w:val="24"/>
          <w:lang w:val="en-US"/>
        </w:rPr>
        <w:t xml:space="preserve">ael, Jonathan Kim y Paul Weaver. </w:t>
      </w:r>
      <w:r w:rsidRPr="00E6011F">
        <w:rPr>
          <w:rFonts w:ascii="Times New Roman" w:hAnsi="Times New Roman" w:cs="Times New Roman"/>
          <w:sz w:val="24"/>
          <w:szCs w:val="24"/>
          <w:lang w:val="en-US"/>
        </w:rPr>
        <w:t xml:space="preserve">2006. “Assessing Instrument Mixes through Program- and Agency-Level Data: Methodological Issues in Contemporary Implementation Research”, </w:t>
      </w:r>
      <w:r w:rsidRPr="00E6011F">
        <w:rPr>
          <w:rFonts w:ascii="Times New Roman" w:hAnsi="Times New Roman" w:cs="Times New Roman"/>
          <w:i/>
          <w:sz w:val="24"/>
          <w:szCs w:val="24"/>
          <w:lang w:val="en-US"/>
        </w:rPr>
        <w:t>Review of Policy Research</w:t>
      </w:r>
      <w:r w:rsidRPr="00E6011F">
        <w:rPr>
          <w:rFonts w:ascii="Times New Roman" w:hAnsi="Times New Roman" w:cs="Times New Roman"/>
          <w:sz w:val="24"/>
          <w:szCs w:val="24"/>
          <w:lang w:val="en-US"/>
        </w:rPr>
        <w:t>,</w:t>
      </w:r>
      <w:r w:rsidR="002A0E0B" w:rsidRPr="00E6011F">
        <w:rPr>
          <w:rFonts w:ascii="Times New Roman" w:hAnsi="Times New Roman" w:cs="Times New Roman"/>
          <w:sz w:val="24"/>
          <w:szCs w:val="24"/>
          <w:lang w:val="en-US"/>
        </w:rPr>
        <w:t xml:space="preserve"> </w:t>
      </w:r>
      <w:r w:rsidRPr="00E6011F">
        <w:rPr>
          <w:rFonts w:ascii="Times New Roman" w:hAnsi="Times New Roman" w:cs="Times New Roman"/>
          <w:sz w:val="24"/>
          <w:szCs w:val="24"/>
          <w:lang w:val="en-US"/>
        </w:rPr>
        <w:t>23</w:t>
      </w:r>
      <w:r w:rsidR="002A0E0B" w:rsidRPr="00E6011F">
        <w:rPr>
          <w:rFonts w:ascii="Times New Roman" w:hAnsi="Times New Roman" w:cs="Times New Roman"/>
          <w:sz w:val="24"/>
          <w:szCs w:val="24"/>
          <w:lang w:val="en-US"/>
        </w:rPr>
        <w:t xml:space="preserve"> (</w:t>
      </w:r>
      <w:r w:rsidRPr="00E6011F">
        <w:rPr>
          <w:rFonts w:ascii="Times New Roman" w:hAnsi="Times New Roman" w:cs="Times New Roman"/>
          <w:sz w:val="24"/>
          <w:szCs w:val="24"/>
          <w:lang w:val="en-US"/>
        </w:rPr>
        <w:t>1</w:t>
      </w:r>
      <w:r w:rsidR="002A0E0B" w:rsidRPr="00E6011F">
        <w:rPr>
          <w:rFonts w:ascii="Times New Roman" w:hAnsi="Times New Roman" w:cs="Times New Roman"/>
          <w:sz w:val="24"/>
          <w:szCs w:val="24"/>
          <w:lang w:val="en-US"/>
        </w:rPr>
        <w:t>):</w:t>
      </w:r>
      <w:r w:rsidRPr="00E6011F">
        <w:rPr>
          <w:rFonts w:ascii="Times New Roman" w:hAnsi="Times New Roman" w:cs="Times New Roman"/>
          <w:sz w:val="24"/>
          <w:szCs w:val="24"/>
          <w:lang w:val="en-US"/>
        </w:rPr>
        <w:t xml:space="preserve"> 129-151.</w:t>
      </w:r>
    </w:p>
    <w:p w:rsidR="00480316" w:rsidRPr="00480316" w:rsidRDefault="00480316" w:rsidP="00480316">
      <w:pPr>
        <w:pStyle w:val="BodyB"/>
        <w:spacing w:line="240" w:lineRule="auto"/>
        <w:jc w:val="both"/>
        <w:rPr>
          <w:rFonts w:ascii="Times New Roman" w:hAnsi="Times New Roman" w:cs="Times New Roman"/>
          <w:color w:val="000000" w:themeColor="text1"/>
          <w:sz w:val="24"/>
          <w:szCs w:val="24"/>
          <w:lang w:val="en-US"/>
        </w:rPr>
      </w:pPr>
      <w:r w:rsidRPr="00E6011F">
        <w:rPr>
          <w:rFonts w:ascii="Times New Roman" w:hAnsi="Times New Roman" w:cs="Times New Roman"/>
          <w:color w:val="000000" w:themeColor="text1"/>
          <w:sz w:val="24"/>
          <w:szCs w:val="24"/>
          <w:lang w:val="en-US"/>
        </w:rPr>
        <w:t xml:space="preserve">Howlett, Michael, Ishani Mukherjee y Joop Koppenjan. 2017. “Policy learning and policy networks in theory and practice: the role of policy brokers in the Indonesian biodiesel policy network”, </w:t>
      </w:r>
      <w:r w:rsidRPr="00E6011F">
        <w:rPr>
          <w:rFonts w:ascii="Times New Roman" w:hAnsi="Times New Roman" w:cs="Times New Roman"/>
          <w:i/>
          <w:color w:val="000000" w:themeColor="text1"/>
          <w:sz w:val="24"/>
          <w:szCs w:val="24"/>
          <w:lang w:val="en-US"/>
        </w:rPr>
        <w:t>Policy and Society</w:t>
      </w:r>
      <w:r w:rsidR="00E6011F" w:rsidRPr="00E6011F">
        <w:rPr>
          <w:rFonts w:ascii="Times New Roman" w:hAnsi="Times New Roman" w:cs="Times New Roman"/>
          <w:i/>
          <w:color w:val="000000" w:themeColor="text1"/>
          <w:sz w:val="24"/>
          <w:szCs w:val="24"/>
          <w:lang w:val="en-US"/>
        </w:rPr>
        <w:t>,</w:t>
      </w:r>
      <w:r w:rsidRPr="00E6011F">
        <w:rPr>
          <w:rFonts w:ascii="Times New Roman" w:hAnsi="Times New Roman" w:cs="Times New Roman"/>
          <w:color w:val="000000" w:themeColor="text1"/>
          <w:sz w:val="24"/>
          <w:szCs w:val="24"/>
          <w:lang w:val="en-US"/>
        </w:rPr>
        <w:t xml:space="preserve"> 36</w:t>
      </w:r>
      <w:r w:rsidR="000966B8">
        <w:rPr>
          <w:rFonts w:ascii="Times New Roman" w:hAnsi="Times New Roman" w:cs="Times New Roman"/>
          <w:color w:val="000000" w:themeColor="text1"/>
          <w:sz w:val="24"/>
          <w:szCs w:val="24"/>
          <w:lang w:val="en-US"/>
        </w:rPr>
        <w:t xml:space="preserve"> </w:t>
      </w:r>
      <w:r w:rsidRPr="00E6011F">
        <w:rPr>
          <w:rFonts w:ascii="Times New Roman" w:hAnsi="Times New Roman" w:cs="Times New Roman"/>
          <w:color w:val="000000" w:themeColor="text1"/>
          <w:sz w:val="24"/>
          <w:szCs w:val="24"/>
          <w:lang w:val="en-US"/>
        </w:rPr>
        <w:t>(2): 233-250.</w:t>
      </w:r>
    </w:p>
    <w:p w:rsidR="00853AD5" w:rsidRPr="0048237A" w:rsidRDefault="00853AD5" w:rsidP="00564F3E">
      <w:pPr>
        <w:pStyle w:val="BodyB"/>
        <w:spacing w:line="240" w:lineRule="auto"/>
        <w:jc w:val="both"/>
        <w:rPr>
          <w:rFonts w:ascii="Times New Roman" w:hAnsi="Times New Roman" w:cs="Times New Roman"/>
          <w:sz w:val="24"/>
          <w:szCs w:val="24"/>
          <w:lang w:val="es-EC"/>
        </w:rPr>
      </w:pPr>
      <w:r w:rsidRPr="0048237A">
        <w:rPr>
          <w:rFonts w:ascii="Times New Roman" w:hAnsi="Times New Roman" w:cs="Times New Roman"/>
          <w:sz w:val="24"/>
          <w:szCs w:val="24"/>
          <w:lang w:val="es-EC"/>
        </w:rPr>
        <w:t>Instituto Nacional de Estadística y Censos</w:t>
      </w:r>
      <w:r w:rsidR="00E072E7" w:rsidRPr="0048237A">
        <w:rPr>
          <w:rFonts w:ascii="Times New Roman" w:hAnsi="Times New Roman" w:cs="Times New Roman"/>
          <w:sz w:val="24"/>
          <w:szCs w:val="24"/>
          <w:lang w:val="es-EC"/>
        </w:rPr>
        <w:t xml:space="preserve"> (INEC</w:t>
      </w:r>
      <w:r w:rsidRPr="0048237A">
        <w:rPr>
          <w:rFonts w:ascii="Times New Roman" w:hAnsi="Times New Roman" w:cs="Times New Roman"/>
          <w:sz w:val="24"/>
          <w:szCs w:val="24"/>
          <w:lang w:val="es-EC"/>
        </w:rPr>
        <w:t>)</w:t>
      </w:r>
      <w:r w:rsidR="007B6BA8" w:rsidRPr="0048237A">
        <w:rPr>
          <w:rFonts w:ascii="Times New Roman" w:hAnsi="Times New Roman" w:cs="Times New Roman"/>
          <w:sz w:val="24"/>
          <w:szCs w:val="24"/>
          <w:lang w:val="es-EC"/>
        </w:rPr>
        <w:t>.</w:t>
      </w:r>
      <w:r w:rsidRPr="0048237A">
        <w:rPr>
          <w:rFonts w:ascii="Times New Roman" w:hAnsi="Times New Roman" w:cs="Times New Roman"/>
          <w:sz w:val="24"/>
          <w:szCs w:val="24"/>
          <w:lang w:val="es-EC"/>
        </w:rPr>
        <w:t xml:space="preserve"> 2007. </w:t>
      </w:r>
      <w:r w:rsidRPr="0048237A">
        <w:rPr>
          <w:rFonts w:ascii="Times New Roman" w:hAnsi="Times New Roman" w:cs="Times New Roman"/>
          <w:i/>
          <w:sz w:val="24"/>
          <w:szCs w:val="24"/>
          <w:lang w:val="es-EC"/>
        </w:rPr>
        <w:t>Encuesta Nacional de Empleo</w:t>
      </w:r>
      <w:r w:rsidR="00AB0292" w:rsidRPr="0048237A">
        <w:rPr>
          <w:rFonts w:ascii="Times New Roman" w:hAnsi="Times New Roman" w:cs="Times New Roman"/>
          <w:i/>
          <w:sz w:val="24"/>
          <w:szCs w:val="24"/>
          <w:lang w:val="es-EC"/>
        </w:rPr>
        <w:t xml:space="preserve">, </w:t>
      </w:r>
      <w:r w:rsidRPr="0048237A">
        <w:rPr>
          <w:rFonts w:ascii="Times New Roman" w:hAnsi="Times New Roman" w:cs="Times New Roman"/>
          <w:i/>
          <w:sz w:val="24"/>
          <w:szCs w:val="24"/>
          <w:lang w:val="es-EC"/>
        </w:rPr>
        <w:t xml:space="preserve"> Desempleo</w:t>
      </w:r>
      <w:r w:rsidR="00AB0292" w:rsidRPr="0048237A">
        <w:rPr>
          <w:rFonts w:ascii="Times New Roman" w:hAnsi="Times New Roman" w:cs="Times New Roman"/>
          <w:i/>
          <w:sz w:val="24"/>
          <w:szCs w:val="24"/>
          <w:lang w:val="es-EC"/>
        </w:rPr>
        <w:t xml:space="preserve"> y Subempleo</w:t>
      </w:r>
      <w:r w:rsidRPr="0048237A">
        <w:rPr>
          <w:rFonts w:ascii="Times New Roman" w:hAnsi="Times New Roman" w:cs="Times New Roman"/>
          <w:sz w:val="24"/>
          <w:szCs w:val="24"/>
          <w:lang w:val="es-EC"/>
        </w:rPr>
        <w:t>.</w:t>
      </w:r>
    </w:p>
    <w:p w:rsidR="001826D0" w:rsidRPr="0048237A" w:rsidRDefault="001826D0" w:rsidP="00564F3E">
      <w:pPr>
        <w:pStyle w:val="BodyB"/>
        <w:spacing w:line="240" w:lineRule="auto"/>
        <w:jc w:val="both"/>
        <w:rPr>
          <w:rFonts w:ascii="Times New Roman" w:hAnsi="Times New Roman" w:cs="Times New Roman"/>
          <w:sz w:val="24"/>
          <w:szCs w:val="24"/>
          <w:lang w:val="es-EC"/>
        </w:rPr>
      </w:pPr>
      <w:r w:rsidRPr="0048237A">
        <w:rPr>
          <w:rFonts w:ascii="Times New Roman" w:hAnsi="Times New Roman" w:cs="Times New Roman"/>
          <w:sz w:val="24"/>
          <w:szCs w:val="24"/>
          <w:lang w:val="es-EC"/>
        </w:rPr>
        <w:t>Instituto Nacional de Estadística y Censos</w:t>
      </w:r>
      <w:r w:rsidR="00E072E7" w:rsidRPr="0048237A">
        <w:rPr>
          <w:rFonts w:ascii="Times New Roman" w:hAnsi="Times New Roman" w:cs="Times New Roman"/>
          <w:sz w:val="24"/>
          <w:szCs w:val="24"/>
          <w:lang w:val="es-EC"/>
        </w:rPr>
        <w:t xml:space="preserve"> (INEC)</w:t>
      </w:r>
      <w:r w:rsidR="007B6BA8" w:rsidRPr="0048237A">
        <w:rPr>
          <w:rFonts w:ascii="Times New Roman" w:hAnsi="Times New Roman" w:cs="Times New Roman"/>
          <w:sz w:val="24"/>
          <w:szCs w:val="24"/>
          <w:lang w:val="es-EC"/>
        </w:rPr>
        <w:t>.</w:t>
      </w:r>
      <w:r w:rsidRPr="0048237A">
        <w:rPr>
          <w:rFonts w:ascii="Times New Roman" w:hAnsi="Times New Roman" w:cs="Times New Roman"/>
          <w:sz w:val="24"/>
          <w:szCs w:val="24"/>
          <w:lang w:val="es-EC"/>
        </w:rPr>
        <w:t xml:space="preserve"> 2014. </w:t>
      </w:r>
      <w:r w:rsidRPr="0048237A">
        <w:rPr>
          <w:rFonts w:ascii="Times New Roman" w:hAnsi="Times New Roman" w:cs="Times New Roman"/>
          <w:i/>
          <w:sz w:val="24"/>
          <w:szCs w:val="24"/>
          <w:lang w:val="es-EC"/>
        </w:rPr>
        <w:t>Encuesta Nacional de Empleo</w:t>
      </w:r>
      <w:r w:rsidR="00AB0292" w:rsidRPr="0048237A">
        <w:rPr>
          <w:rFonts w:ascii="Times New Roman" w:hAnsi="Times New Roman" w:cs="Times New Roman"/>
          <w:i/>
          <w:sz w:val="24"/>
          <w:szCs w:val="24"/>
          <w:lang w:val="es-EC"/>
        </w:rPr>
        <w:t>,</w:t>
      </w:r>
      <w:r w:rsidRPr="0048237A">
        <w:rPr>
          <w:rFonts w:ascii="Times New Roman" w:hAnsi="Times New Roman" w:cs="Times New Roman"/>
          <w:i/>
          <w:sz w:val="24"/>
          <w:szCs w:val="24"/>
          <w:lang w:val="es-EC"/>
        </w:rPr>
        <w:t xml:space="preserve"> Desempleo</w:t>
      </w:r>
      <w:r w:rsidR="00AB0292" w:rsidRPr="0048237A">
        <w:rPr>
          <w:rFonts w:ascii="Times New Roman" w:hAnsi="Times New Roman" w:cs="Times New Roman"/>
          <w:i/>
          <w:sz w:val="24"/>
          <w:szCs w:val="24"/>
          <w:lang w:val="es-EC"/>
        </w:rPr>
        <w:t xml:space="preserve"> y Subempleo</w:t>
      </w:r>
      <w:r w:rsidRPr="0048237A">
        <w:rPr>
          <w:rFonts w:ascii="Times New Roman" w:hAnsi="Times New Roman" w:cs="Times New Roman"/>
          <w:sz w:val="24"/>
          <w:szCs w:val="24"/>
          <w:lang w:val="es-EC"/>
        </w:rPr>
        <w:t>.</w:t>
      </w:r>
    </w:p>
    <w:p w:rsidR="00480316" w:rsidRPr="009966FA" w:rsidRDefault="00480316" w:rsidP="00480316">
      <w:pPr>
        <w:pStyle w:val="BodyB"/>
        <w:spacing w:line="240" w:lineRule="auto"/>
        <w:jc w:val="both"/>
        <w:rPr>
          <w:rFonts w:ascii="Times New Roman" w:eastAsia="Times New Roman" w:hAnsi="Times New Roman" w:cs="Times New Roman"/>
          <w:color w:val="000000" w:themeColor="text1"/>
          <w:sz w:val="24"/>
          <w:szCs w:val="24"/>
          <w:lang w:val="es-EC"/>
        </w:rPr>
      </w:pPr>
      <w:r w:rsidRPr="00A5089D">
        <w:rPr>
          <w:rFonts w:ascii="Times New Roman" w:hAnsi="Times New Roman" w:cs="Times New Roman"/>
          <w:color w:val="000000" w:themeColor="text1"/>
          <w:sz w:val="24"/>
          <w:szCs w:val="24"/>
          <w:lang w:val="nl-NL"/>
        </w:rPr>
        <w:t>Kingdon, John</w:t>
      </w:r>
      <w:r>
        <w:rPr>
          <w:rFonts w:ascii="Times New Roman" w:hAnsi="Times New Roman" w:cs="Times New Roman"/>
          <w:color w:val="000000" w:themeColor="text1"/>
          <w:sz w:val="24"/>
          <w:szCs w:val="24"/>
          <w:lang w:val="nl-NL"/>
        </w:rPr>
        <w:t xml:space="preserve">. </w:t>
      </w:r>
      <w:r w:rsidRPr="00A5089D">
        <w:rPr>
          <w:rFonts w:ascii="Times New Roman" w:hAnsi="Times New Roman" w:cs="Times New Roman"/>
          <w:color w:val="000000" w:themeColor="text1"/>
          <w:sz w:val="24"/>
          <w:szCs w:val="24"/>
          <w:lang w:val="nl-NL"/>
        </w:rPr>
        <w:t xml:space="preserve">2003. </w:t>
      </w:r>
      <w:r w:rsidRPr="00A5089D">
        <w:rPr>
          <w:rFonts w:ascii="Times New Roman" w:hAnsi="Times New Roman" w:cs="Times New Roman"/>
          <w:i/>
          <w:color w:val="000000" w:themeColor="text1"/>
          <w:sz w:val="24"/>
          <w:szCs w:val="24"/>
          <w:lang w:val="nl-NL"/>
        </w:rPr>
        <w:t>Agendas, Alternatives, and Public Policies</w:t>
      </w:r>
      <w:r w:rsidRPr="00A5089D">
        <w:rPr>
          <w:rFonts w:ascii="Times New Roman" w:hAnsi="Times New Roman" w:cs="Times New Roman"/>
          <w:color w:val="000000" w:themeColor="text1"/>
          <w:sz w:val="24"/>
          <w:szCs w:val="24"/>
          <w:lang w:val="nl-NL"/>
        </w:rPr>
        <w:t>. New York: Longman.</w:t>
      </w:r>
    </w:p>
    <w:p w:rsidR="00C04568" w:rsidRDefault="00343082" w:rsidP="00564F3E">
      <w:pPr>
        <w:pStyle w:val="BodyB"/>
        <w:spacing w:line="240" w:lineRule="auto"/>
        <w:jc w:val="both"/>
        <w:rPr>
          <w:rFonts w:ascii="Times New Roman" w:hAnsi="Times New Roman" w:cs="Times New Roman"/>
          <w:sz w:val="24"/>
          <w:szCs w:val="24"/>
          <w:lang w:val="nl-NL"/>
        </w:rPr>
      </w:pPr>
      <w:r w:rsidRPr="0048237A">
        <w:rPr>
          <w:rFonts w:ascii="Times New Roman" w:hAnsi="Times New Roman" w:cs="Times New Roman"/>
          <w:sz w:val="24"/>
          <w:szCs w:val="24"/>
          <w:lang w:val="nl-NL"/>
        </w:rPr>
        <w:t>Klijn, Erik</w:t>
      </w:r>
      <w:r w:rsidR="00BD191D" w:rsidRPr="0048237A">
        <w:rPr>
          <w:rFonts w:ascii="Times New Roman" w:hAnsi="Times New Roman" w:cs="Times New Roman"/>
          <w:sz w:val="24"/>
          <w:szCs w:val="24"/>
          <w:lang w:val="nl-NL"/>
        </w:rPr>
        <w:t>.</w:t>
      </w:r>
      <w:r w:rsidRPr="0048237A">
        <w:rPr>
          <w:rFonts w:ascii="Times New Roman" w:hAnsi="Times New Roman" w:cs="Times New Roman"/>
          <w:sz w:val="24"/>
          <w:szCs w:val="24"/>
          <w:lang w:val="nl-NL"/>
        </w:rPr>
        <w:t xml:space="preserve"> 1998. </w:t>
      </w:r>
      <w:r w:rsidRPr="0048237A">
        <w:rPr>
          <w:rFonts w:ascii="Times New Roman" w:hAnsi="Times New Roman" w:cs="Times New Roman"/>
          <w:i/>
          <w:iCs/>
          <w:sz w:val="24"/>
          <w:szCs w:val="24"/>
          <w:lang w:val="nl-NL"/>
        </w:rPr>
        <w:t>Redes de polí</w:t>
      </w:r>
      <w:r w:rsidRPr="0048237A">
        <w:rPr>
          <w:rFonts w:ascii="Times New Roman" w:hAnsi="Times New Roman" w:cs="Times New Roman"/>
          <w:i/>
          <w:iCs/>
          <w:sz w:val="24"/>
          <w:szCs w:val="24"/>
          <w:lang w:val="pt-PT"/>
        </w:rPr>
        <w:t>ticas p</w:t>
      </w:r>
      <w:r w:rsidRPr="0048237A">
        <w:rPr>
          <w:rFonts w:ascii="Times New Roman" w:hAnsi="Times New Roman" w:cs="Times New Roman"/>
          <w:i/>
          <w:iCs/>
          <w:sz w:val="24"/>
          <w:szCs w:val="24"/>
          <w:lang w:val="nl-NL"/>
        </w:rPr>
        <w:t>úblicas: una visión general</w:t>
      </w:r>
      <w:r w:rsidRPr="0048237A">
        <w:rPr>
          <w:rFonts w:ascii="Times New Roman" w:hAnsi="Times New Roman" w:cs="Times New Roman"/>
          <w:sz w:val="24"/>
          <w:szCs w:val="24"/>
          <w:lang w:val="nl-NL"/>
        </w:rPr>
        <w:t>, Traducido por Mariá</w:t>
      </w:r>
      <w:r w:rsidRPr="0048237A">
        <w:rPr>
          <w:rFonts w:ascii="Times New Roman" w:hAnsi="Times New Roman" w:cs="Times New Roman"/>
          <w:sz w:val="24"/>
          <w:szCs w:val="24"/>
          <w:lang w:val="it-IT"/>
        </w:rPr>
        <w:t>ngela Petrizzo. Londr</w:t>
      </w:r>
      <w:r w:rsidRPr="0048237A">
        <w:rPr>
          <w:rFonts w:ascii="Times New Roman" w:hAnsi="Times New Roman" w:cs="Times New Roman"/>
          <w:sz w:val="24"/>
          <w:szCs w:val="24"/>
          <w:lang w:val="nl-NL"/>
        </w:rPr>
        <w:t>és: SAGE Publications Ltd.</w:t>
      </w:r>
    </w:p>
    <w:p w:rsidR="00480316" w:rsidRPr="00A5089D" w:rsidRDefault="00480316" w:rsidP="00480316">
      <w:pPr>
        <w:pStyle w:val="Sinespaciado"/>
        <w:jc w:val="both"/>
        <w:rPr>
          <w:rFonts w:ascii="Times New Roman" w:hAnsi="Times New Roman" w:cs="Times New Roman"/>
          <w:color w:val="000000" w:themeColor="text1"/>
          <w:sz w:val="24"/>
          <w:szCs w:val="24"/>
          <w:lang w:val="en-US"/>
        </w:rPr>
      </w:pPr>
      <w:r w:rsidRPr="00A5089D">
        <w:rPr>
          <w:rFonts w:ascii="Times New Roman" w:hAnsi="Times New Roman" w:cs="Times New Roman"/>
          <w:color w:val="000000" w:themeColor="text1"/>
          <w:sz w:val="24"/>
          <w:szCs w:val="24"/>
          <w:lang w:val="en-US"/>
        </w:rPr>
        <w:t>Klijn, Eric Hans y Joop Koppenjan</w:t>
      </w:r>
      <w:r>
        <w:rPr>
          <w:rFonts w:ascii="Times New Roman" w:hAnsi="Times New Roman" w:cs="Times New Roman"/>
          <w:color w:val="000000" w:themeColor="text1"/>
          <w:sz w:val="24"/>
          <w:szCs w:val="24"/>
          <w:lang w:val="en-US"/>
        </w:rPr>
        <w:t>.</w:t>
      </w:r>
      <w:r w:rsidRPr="00A5089D">
        <w:rPr>
          <w:rFonts w:ascii="Times New Roman" w:hAnsi="Times New Roman" w:cs="Times New Roman"/>
          <w:color w:val="000000" w:themeColor="text1"/>
          <w:sz w:val="24"/>
          <w:szCs w:val="24"/>
          <w:lang w:val="en-US"/>
        </w:rPr>
        <w:t xml:space="preserve"> 2016. </w:t>
      </w:r>
      <w:r w:rsidRPr="00A5089D">
        <w:rPr>
          <w:rFonts w:ascii="Times New Roman" w:hAnsi="Times New Roman" w:cs="Times New Roman"/>
          <w:i/>
          <w:color w:val="000000" w:themeColor="text1"/>
          <w:sz w:val="24"/>
          <w:szCs w:val="24"/>
          <w:lang w:val="en-US"/>
        </w:rPr>
        <w:t>Governance networks in the public sector</w:t>
      </w:r>
      <w:r w:rsidRPr="00A5089D">
        <w:rPr>
          <w:rFonts w:ascii="Times New Roman" w:hAnsi="Times New Roman" w:cs="Times New Roman"/>
          <w:color w:val="000000" w:themeColor="text1"/>
          <w:sz w:val="24"/>
          <w:szCs w:val="24"/>
          <w:lang w:val="en-US"/>
        </w:rPr>
        <w:t>. Oxon: Routledge.</w:t>
      </w:r>
    </w:p>
    <w:p w:rsidR="00480316" w:rsidRDefault="00480316" w:rsidP="00564F3E">
      <w:pPr>
        <w:pStyle w:val="Sinespaciado"/>
        <w:jc w:val="both"/>
        <w:rPr>
          <w:rFonts w:ascii="Times New Roman" w:hAnsi="Times New Roman" w:cs="Times New Roman"/>
          <w:color w:val="000000" w:themeColor="text1"/>
          <w:sz w:val="24"/>
          <w:szCs w:val="24"/>
          <w:lang w:val="en-US"/>
        </w:rPr>
      </w:pPr>
    </w:p>
    <w:p w:rsidR="00C04568" w:rsidRPr="00A5089D" w:rsidRDefault="00343082" w:rsidP="00564F3E">
      <w:pPr>
        <w:pStyle w:val="Sinespaciado"/>
        <w:jc w:val="both"/>
        <w:rPr>
          <w:rFonts w:ascii="Times New Roman" w:hAnsi="Times New Roman" w:cs="Times New Roman"/>
          <w:color w:val="000000" w:themeColor="text1"/>
          <w:sz w:val="24"/>
          <w:szCs w:val="24"/>
          <w:lang w:val="en-US"/>
        </w:rPr>
      </w:pPr>
      <w:r w:rsidRPr="00A5089D">
        <w:rPr>
          <w:rFonts w:ascii="Times New Roman" w:hAnsi="Times New Roman" w:cs="Times New Roman"/>
          <w:color w:val="000000" w:themeColor="text1"/>
          <w:sz w:val="24"/>
          <w:szCs w:val="24"/>
          <w:lang w:val="en-US"/>
        </w:rPr>
        <w:t>Kisby, Ben</w:t>
      </w:r>
      <w:r w:rsidR="00BD191D" w:rsidRPr="00A5089D">
        <w:rPr>
          <w:rFonts w:ascii="Times New Roman" w:hAnsi="Times New Roman" w:cs="Times New Roman"/>
          <w:color w:val="000000" w:themeColor="text1"/>
          <w:sz w:val="24"/>
          <w:szCs w:val="24"/>
          <w:lang w:val="en-US"/>
        </w:rPr>
        <w:t>.</w:t>
      </w:r>
      <w:r w:rsidRPr="00A5089D">
        <w:rPr>
          <w:rFonts w:ascii="Times New Roman" w:hAnsi="Times New Roman" w:cs="Times New Roman"/>
          <w:color w:val="000000" w:themeColor="text1"/>
          <w:sz w:val="24"/>
          <w:szCs w:val="24"/>
          <w:lang w:val="en-US"/>
        </w:rPr>
        <w:t xml:space="preserve"> 2007. “Analysing policy networks, Towards an ideational approach”, </w:t>
      </w:r>
      <w:r w:rsidRPr="00A5089D">
        <w:rPr>
          <w:rFonts w:ascii="Times New Roman" w:hAnsi="Times New Roman" w:cs="Times New Roman"/>
          <w:i/>
          <w:color w:val="000000" w:themeColor="text1"/>
          <w:sz w:val="24"/>
          <w:szCs w:val="24"/>
          <w:lang w:val="en-US"/>
        </w:rPr>
        <w:t>Policy Studies</w:t>
      </w:r>
      <w:r w:rsidRPr="00A5089D">
        <w:rPr>
          <w:rFonts w:ascii="Times New Roman" w:hAnsi="Times New Roman" w:cs="Times New Roman"/>
          <w:color w:val="000000" w:themeColor="text1"/>
          <w:sz w:val="24"/>
          <w:szCs w:val="24"/>
          <w:lang w:val="en-US"/>
        </w:rPr>
        <w:t>, 28</w:t>
      </w:r>
      <w:r w:rsidR="002A0E0B" w:rsidRPr="00A5089D">
        <w:rPr>
          <w:rFonts w:ascii="Times New Roman" w:hAnsi="Times New Roman" w:cs="Times New Roman"/>
          <w:color w:val="000000" w:themeColor="text1"/>
          <w:sz w:val="24"/>
          <w:szCs w:val="24"/>
          <w:lang w:val="en-US"/>
        </w:rPr>
        <w:t xml:space="preserve"> (</w:t>
      </w:r>
      <w:r w:rsidRPr="00A5089D">
        <w:rPr>
          <w:rFonts w:ascii="Times New Roman" w:hAnsi="Times New Roman" w:cs="Times New Roman"/>
          <w:color w:val="000000" w:themeColor="text1"/>
          <w:sz w:val="24"/>
          <w:szCs w:val="24"/>
          <w:lang w:val="en-US"/>
        </w:rPr>
        <w:t>1</w:t>
      </w:r>
      <w:r w:rsidR="002A0E0B" w:rsidRPr="00A5089D">
        <w:rPr>
          <w:rFonts w:ascii="Times New Roman" w:hAnsi="Times New Roman" w:cs="Times New Roman"/>
          <w:color w:val="000000" w:themeColor="text1"/>
          <w:sz w:val="24"/>
          <w:szCs w:val="24"/>
          <w:lang w:val="en-US"/>
        </w:rPr>
        <w:t>):</w:t>
      </w:r>
      <w:r w:rsidRPr="00A5089D">
        <w:rPr>
          <w:rFonts w:ascii="Times New Roman" w:hAnsi="Times New Roman" w:cs="Times New Roman"/>
          <w:color w:val="000000" w:themeColor="text1"/>
          <w:sz w:val="24"/>
          <w:szCs w:val="24"/>
          <w:lang w:val="en-US"/>
        </w:rPr>
        <w:t xml:space="preserve"> 71-90. </w:t>
      </w:r>
    </w:p>
    <w:p w:rsidR="002A0E0B" w:rsidRPr="0048237A" w:rsidRDefault="002A0E0B" w:rsidP="00564F3E">
      <w:pPr>
        <w:pStyle w:val="Sinespaciado"/>
        <w:jc w:val="both"/>
        <w:rPr>
          <w:rFonts w:ascii="Times New Roman" w:hAnsi="Times New Roman" w:cs="Times New Roman"/>
          <w:sz w:val="24"/>
          <w:szCs w:val="24"/>
          <w:lang w:val="en-US"/>
        </w:rPr>
      </w:pPr>
    </w:p>
    <w:p w:rsidR="00C04568" w:rsidRDefault="00343082" w:rsidP="00564F3E">
      <w:pPr>
        <w:pStyle w:val="BodyB"/>
        <w:spacing w:line="240" w:lineRule="auto"/>
        <w:jc w:val="both"/>
        <w:rPr>
          <w:rFonts w:ascii="Times New Roman" w:hAnsi="Times New Roman" w:cs="Times New Roman"/>
          <w:color w:val="000000" w:themeColor="text1"/>
          <w:sz w:val="24"/>
          <w:szCs w:val="24"/>
          <w:lang w:val="en-US"/>
        </w:rPr>
      </w:pPr>
      <w:r w:rsidRPr="0048237A">
        <w:rPr>
          <w:rFonts w:ascii="Times New Roman" w:hAnsi="Times New Roman" w:cs="Times New Roman"/>
          <w:sz w:val="24"/>
          <w:szCs w:val="24"/>
          <w:lang w:val="nl-NL"/>
        </w:rPr>
        <w:t xml:space="preserve">Knoke, </w:t>
      </w:r>
      <w:r w:rsidRPr="0048237A">
        <w:rPr>
          <w:rFonts w:ascii="Times New Roman" w:hAnsi="Times New Roman" w:cs="Times New Roman"/>
          <w:sz w:val="24"/>
          <w:szCs w:val="24"/>
          <w:lang w:val="en-US"/>
        </w:rPr>
        <w:t>David</w:t>
      </w:r>
      <w:r w:rsidR="00BD191D" w:rsidRPr="0048237A">
        <w:rPr>
          <w:rFonts w:ascii="Times New Roman" w:hAnsi="Times New Roman" w:cs="Times New Roman"/>
          <w:sz w:val="24"/>
          <w:szCs w:val="24"/>
          <w:lang w:val="en-US"/>
        </w:rPr>
        <w:t>.</w:t>
      </w:r>
      <w:r w:rsidRPr="0048237A">
        <w:rPr>
          <w:rFonts w:ascii="Times New Roman" w:hAnsi="Times New Roman" w:cs="Times New Roman"/>
          <w:sz w:val="24"/>
          <w:szCs w:val="24"/>
          <w:lang w:val="en-US"/>
        </w:rPr>
        <w:t xml:space="preserve"> 1993. “Networks a</w:t>
      </w:r>
      <w:r w:rsidR="00BD191D" w:rsidRPr="0048237A">
        <w:rPr>
          <w:rFonts w:ascii="Times New Roman" w:hAnsi="Times New Roman" w:cs="Times New Roman"/>
          <w:sz w:val="24"/>
          <w:szCs w:val="24"/>
          <w:lang w:val="en-US"/>
        </w:rPr>
        <w:t>s political glue”, en Wilson (ed.</w:t>
      </w:r>
      <w:r w:rsidRPr="0048237A">
        <w:rPr>
          <w:rFonts w:ascii="Times New Roman" w:hAnsi="Times New Roman" w:cs="Times New Roman"/>
          <w:sz w:val="24"/>
          <w:szCs w:val="24"/>
          <w:lang w:val="en-US"/>
        </w:rPr>
        <w:t>)</w:t>
      </w:r>
      <w:r w:rsidR="00BD191D" w:rsidRPr="0048237A">
        <w:rPr>
          <w:rFonts w:ascii="Times New Roman" w:hAnsi="Times New Roman" w:cs="Times New Roman"/>
          <w:sz w:val="24"/>
          <w:szCs w:val="24"/>
          <w:lang w:val="en-US"/>
        </w:rPr>
        <w:t>,</w:t>
      </w:r>
      <w:r w:rsidRPr="0048237A">
        <w:rPr>
          <w:rFonts w:ascii="Times New Roman" w:hAnsi="Times New Roman" w:cs="Times New Roman"/>
          <w:sz w:val="24"/>
          <w:szCs w:val="24"/>
          <w:lang w:val="en-US"/>
        </w:rPr>
        <w:t xml:space="preserve"> </w:t>
      </w:r>
      <w:r w:rsidRPr="0048237A">
        <w:rPr>
          <w:rFonts w:ascii="Times New Roman" w:hAnsi="Times New Roman" w:cs="Times New Roman"/>
          <w:i/>
          <w:iCs/>
          <w:sz w:val="24"/>
          <w:szCs w:val="24"/>
          <w:lang w:val="en-US"/>
        </w:rPr>
        <w:t xml:space="preserve">Sociology and the </w:t>
      </w:r>
      <w:r w:rsidRPr="00A5089D">
        <w:rPr>
          <w:rFonts w:ascii="Times New Roman" w:hAnsi="Times New Roman" w:cs="Times New Roman"/>
          <w:i/>
          <w:iCs/>
          <w:color w:val="000000" w:themeColor="text1"/>
          <w:sz w:val="24"/>
          <w:szCs w:val="24"/>
          <w:lang w:val="en-US"/>
        </w:rPr>
        <w:t>public agenda</w:t>
      </w:r>
      <w:r w:rsidRPr="00A5089D">
        <w:rPr>
          <w:rFonts w:ascii="Times New Roman" w:hAnsi="Times New Roman" w:cs="Times New Roman"/>
          <w:color w:val="000000" w:themeColor="text1"/>
          <w:sz w:val="24"/>
          <w:szCs w:val="24"/>
          <w:lang w:val="en-US"/>
        </w:rPr>
        <w:t xml:space="preserve">. London: Sage. </w:t>
      </w:r>
    </w:p>
    <w:p w:rsidR="009966FA" w:rsidRPr="009966FA" w:rsidRDefault="009966FA" w:rsidP="00564F3E">
      <w:pPr>
        <w:pStyle w:val="BodyB"/>
        <w:spacing w:line="240" w:lineRule="auto"/>
        <w:jc w:val="both"/>
        <w:rPr>
          <w:rFonts w:ascii="Times New Roman" w:hAnsi="Times New Roman" w:cs="Times New Roman"/>
          <w:color w:val="000000" w:themeColor="text1"/>
          <w:sz w:val="24"/>
          <w:szCs w:val="24"/>
          <w:lang w:val="en-US"/>
        </w:rPr>
      </w:pPr>
      <w:r w:rsidRPr="009966FA">
        <w:rPr>
          <w:rFonts w:ascii="Times New Roman" w:hAnsi="Times New Roman" w:cs="Times New Roman"/>
          <w:color w:val="000000" w:themeColor="text1"/>
          <w:sz w:val="24"/>
          <w:szCs w:val="24"/>
          <w:lang w:val="es-EC"/>
        </w:rPr>
        <w:t>Knoke, David y Son Yang</w:t>
      </w:r>
      <w:r>
        <w:rPr>
          <w:rFonts w:ascii="Times New Roman" w:hAnsi="Times New Roman" w:cs="Times New Roman"/>
          <w:color w:val="000000" w:themeColor="text1"/>
          <w:sz w:val="24"/>
          <w:szCs w:val="24"/>
          <w:lang w:val="es-EC"/>
        </w:rPr>
        <w:t>. 2008</w:t>
      </w:r>
      <w:r w:rsidRPr="009966FA">
        <w:rPr>
          <w:rFonts w:ascii="Times New Roman" w:hAnsi="Times New Roman" w:cs="Times New Roman"/>
          <w:color w:val="000000" w:themeColor="text1"/>
          <w:sz w:val="24"/>
          <w:szCs w:val="24"/>
          <w:lang w:val="es-EC"/>
        </w:rPr>
        <w:t xml:space="preserve">. </w:t>
      </w:r>
      <w:r w:rsidRPr="009966FA">
        <w:rPr>
          <w:rFonts w:ascii="Times New Roman" w:hAnsi="Times New Roman" w:cs="Times New Roman"/>
          <w:color w:val="000000" w:themeColor="text1"/>
          <w:sz w:val="24"/>
          <w:szCs w:val="24"/>
          <w:lang w:val="en-US"/>
        </w:rPr>
        <w:t>Social network analysis.  London: Sage.</w:t>
      </w:r>
    </w:p>
    <w:p w:rsidR="00584D9C" w:rsidRDefault="00584D9C" w:rsidP="00564F3E">
      <w:pPr>
        <w:pStyle w:val="BodyB"/>
        <w:spacing w:line="240" w:lineRule="auto"/>
        <w:jc w:val="both"/>
        <w:rPr>
          <w:rFonts w:ascii="Times New Roman" w:hAnsi="Times New Roman" w:cs="Times New Roman"/>
          <w:color w:val="000000" w:themeColor="text1"/>
          <w:sz w:val="24"/>
          <w:szCs w:val="24"/>
          <w:lang w:val="en-US"/>
        </w:rPr>
      </w:pPr>
      <w:r w:rsidRPr="00A5089D">
        <w:rPr>
          <w:rFonts w:ascii="Times New Roman" w:hAnsi="Times New Roman" w:cs="Times New Roman"/>
          <w:color w:val="000000" w:themeColor="text1"/>
          <w:sz w:val="24"/>
          <w:szCs w:val="24"/>
          <w:lang w:val="en-US"/>
        </w:rPr>
        <w:t>Lieberman, Ann</w:t>
      </w:r>
      <w:r w:rsidR="00F56334">
        <w:rPr>
          <w:rFonts w:ascii="Times New Roman" w:hAnsi="Times New Roman" w:cs="Times New Roman"/>
          <w:color w:val="000000" w:themeColor="text1"/>
          <w:sz w:val="24"/>
          <w:szCs w:val="24"/>
          <w:lang w:val="en-US"/>
        </w:rPr>
        <w:t>.</w:t>
      </w:r>
      <w:r w:rsidRPr="00A5089D">
        <w:rPr>
          <w:rFonts w:ascii="Times New Roman" w:hAnsi="Times New Roman" w:cs="Times New Roman"/>
          <w:color w:val="000000" w:themeColor="text1"/>
          <w:sz w:val="24"/>
          <w:szCs w:val="24"/>
          <w:lang w:val="en-US"/>
        </w:rPr>
        <w:t xml:space="preserve"> 2000. “Networks as learning communities”</w:t>
      </w:r>
      <w:r w:rsidR="00F56334">
        <w:rPr>
          <w:rFonts w:ascii="Times New Roman" w:hAnsi="Times New Roman" w:cs="Times New Roman"/>
          <w:color w:val="000000" w:themeColor="text1"/>
          <w:sz w:val="24"/>
          <w:szCs w:val="24"/>
          <w:lang w:val="en-US"/>
        </w:rPr>
        <w:t>,</w:t>
      </w:r>
      <w:r w:rsidRPr="00A5089D">
        <w:rPr>
          <w:rFonts w:ascii="Times New Roman" w:hAnsi="Times New Roman" w:cs="Times New Roman"/>
          <w:color w:val="000000" w:themeColor="text1"/>
          <w:sz w:val="24"/>
          <w:szCs w:val="24"/>
          <w:lang w:val="en-US"/>
        </w:rPr>
        <w:t xml:space="preserve"> </w:t>
      </w:r>
      <w:r w:rsidRPr="00A5089D">
        <w:rPr>
          <w:rFonts w:ascii="Times New Roman" w:hAnsi="Times New Roman" w:cs="Times New Roman"/>
          <w:i/>
          <w:color w:val="000000" w:themeColor="text1"/>
          <w:sz w:val="24"/>
          <w:szCs w:val="24"/>
          <w:lang w:val="en-US"/>
        </w:rPr>
        <w:t xml:space="preserve">Journal of Teacher Education, </w:t>
      </w:r>
      <w:r w:rsidRPr="000966B8">
        <w:rPr>
          <w:rFonts w:ascii="Times New Roman" w:hAnsi="Times New Roman" w:cs="Times New Roman"/>
          <w:color w:val="000000" w:themeColor="text1"/>
          <w:sz w:val="24"/>
          <w:szCs w:val="24"/>
          <w:lang w:val="en-US"/>
        </w:rPr>
        <w:t>51: 221-227.</w:t>
      </w:r>
    </w:p>
    <w:p w:rsidR="00047230" w:rsidRPr="00F53AE3" w:rsidRDefault="00F53AE3" w:rsidP="00564F3E">
      <w:pPr>
        <w:pStyle w:val="Sinespaciado"/>
        <w:jc w:val="both"/>
        <w:rPr>
          <w:rFonts w:ascii="Times New Roman" w:hAnsi="Times New Roman" w:cs="Times New Roman"/>
          <w:sz w:val="24"/>
          <w:szCs w:val="24"/>
          <w:lang w:val="en-US"/>
        </w:rPr>
      </w:pPr>
      <w:r w:rsidRPr="00F53AE3">
        <w:rPr>
          <w:rFonts w:ascii="Times New Roman" w:hAnsi="Times New Roman" w:cs="Times New Roman"/>
          <w:sz w:val="24"/>
          <w:szCs w:val="24"/>
          <w:lang w:val="en-US"/>
        </w:rPr>
        <w:t xml:space="preserve">Marsh, David y Rhodes, R.A.W. 1992. “Policy networks in British politics.  A </w:t>
      </w:r>
      <w:r>
        <w:rPr>
          <w:rFonts w:ascii="Times New Roman" w:hAnsi="Times New Roman" w:cs="Times New Roman"/>
          <w:sz w:val="24"/>
          <w:szCs w:val="24"/>
          <w:lang w:val="en-US"/>
        </w:rPr>
        <w:t xml:space="preserve">critique of exiting approaches”, </w:t>
      </w:r>
      <w:r w:rsidRPr="00F53AE3">
        <w:rPr>
          <w:rFonts w:ascii="Times New Roman" w:hAnsi="Times New Roman" w:cs="Times New Roman"/>
          <w:i/>
          <w:sz w:val="24"/>
          <w:szCs w:val="24"/>
          <w:lang w:val="en-US"/>
        </w:rPr>
        <w:t>Ox.ford Scholarship Online</w:t>
      </w:r>
      <w:r w:rsidRPr="00F53AE3">
        <w:rPr>
          <w:rFonts w:ascii="Times New Roman" w:hAnsi="Times New Roman" w:cs="Times New Roman"/>
          <w:sz w:val="24"/>
          <w:szCs w:val="24"/>
          <w:lang w:val="en-US"/>
        </w:rPr>
        <w:t>.</w:t>
      </w:r>
    </w:p>
    <w:p w:rsidR="00C04568" w:rsidRPr="0048237A" w:rsidRDefault="00343082" w:rsidP="00564F3E">
      <w:pPr>
        <w:pStyle w:val="Sinespaciado"/>
        <w:jc w:val="both"/>
        <w:rPr>
          <w:rFonts w:ascii="Times New Roman" w:hAnsi="Times New Roman" w:cs="Times New Roman"/>
          <w:sz w:val="24"/>
          <w:szCs w:val="24"/>
          <w:lang w:val="en-US"/>
        </w:rPr>
      </w:pPr>
      <w:r w:rsidRPr="0048237A">
        <w:rPr>
          <w:rFonts w:ascii="Times New Roman" w:hAnsi="Times New Roman" w:cs="Times New Roman"/>
          <w:sz w:val="24"/>
          <w:szCs w:val="24"/>
          <w:lang w:val="en-US"/>
        </w:rPr>
        <w:lastRenderedPageBreak/>
        <w:t>Marsh, David y Martin Smith</w:t>
      </w:r>
      <w:r w:rsidR="00BD191D" w:rsidRPr="0048237A">
        <w:rPr>
          <w:rFonts w:ascii="Times New Roman" w:hAnsi="Times New Roman" w:cs="Times New Roman"/>
          <w:sz w:val="24"/>
          <w:szCs w:val="24"/>
          <w:lang w:val="en-US"/>
        </w:rPr>
        <w:t>.</w:t>
      </w:r>
      <w:r w:rsidRPr="0048237A">
        <w:rPr>
          <w:rFonts w:ascii="Times New Roman" w:hAnsi="Times New Roman" w:cs="Times New Roman"/>
          <w:sz w:val="24"/>
          <w:szCs w:val="24"/>
          <w:lang w:val="en-US"/>
        </w:rPr>
        <w:t xml:space="preserve"> 2000. “Understanding policy networks: to</w:t>
      </w:r>
      <w:r w:rsidR="004C2B27">
        <w:rPr>
          <w:rFonts w:ascii="Times New Roman" w:hAnsi="Times New Roman" w:cs="Times New Roman"/>
          <w:sz w:val="24"/>
          <w:szCs w:val="24"/>
          <w:lang w:val="en-US"/>
        </w:rPr>
        <w:t xml:space="preserve">wards a dialectical approach”, </w:t>
      </w:r>
      <w:r w:rsidRPr="0048237A">
        <w:rPr>
          <w:rFonts w:ascii="Times New Roman" w:hAnsi="Times New Roman" w:cs="Times New Roman"/>
          <w:i/>
          <w:sz w:val="24"/>
          <w:szCs w:val="24"/>
          <w:lang w:val="en-US"/>
        </w:rPr>
        <w:t>Political Studies</w:t>
      </w:r>
      <w:r w:rsidRPr="0048237A">
        <w:rPr>
          <w:rFonts w:ascii="Times New Roman" w:hAnsi="Times New Roman" w:cs="Times New Roman"/>
          <w:sz w:val="24"/>
          <w:szCs w:val="24"/>
          <w:lang w:val="en-US"/>
        </w:rPr>
        <w:t>, 48</w:t>
      </w:r>
      <w:r w:rsidR="002A0E0B" w:rsidRPr="0048237A">
        <w:rPr>
          <w:rFonts w:ascii="Times New Roman" w:hAnsi="Times New Roman" w:cs="Times New Roman"/>
          <w:sz w:val="24"/>
          <w:szCs w:val="24"/>
          <w:lang w:val="en-US"/>
        </w:rPr>
        <w:t xml:space="preserve">: </w:t>
      </w:r>
      <w:r w:rsidRPr="0048237A">
        <w:rPr>
          <w:rFonts w:ascii="Times New Roman" w:hAnsi="Times New Roman" w:cs="Times New Roman"/>
          <w:sz w:val="24"/>
          <w:szCs w:val="24"/>
          <w:lang w:val="en-US"/>
        </w:rPr>
        <w:t>4- 21.</w:t>
      </w:r>
    </w:p>
    <w:p w:rsidR="00C04568" w:rsidRPr="0048237A" w:rsidRDefault="00C04568" w:rsidP="00564F3E">
      <w:pPr>
        <w:pStyle w:val="Sinespaciado"/>
        <w:jc w:val="both"/>
        <w:rPr>
          <w:rFonts w:ascii="Times New Roman" w:hAnsi="Times New Roman" w:cs="Times New Roman"/>
          <w:sz w:val="24"/>
          <w:szCs w:val="24"/>
          <w:lang w:val="en-US"/>
        </w:rPr>
      </w:pPr>
    </w:p>
    <w:p w:rsidR="00C04568" w:rsidRPr="0048237A" w:rsidRDefault="00BD191D" w:rsidP="00564F3E">
      <w:pPr>
        <w:pStyle w:val="Sinespaciado"/>
        <w:jc w:val="both"/>
        <w:rPr>
          <w:rFonts w:ascii="Times New Roman" w:hAnsi="Times New Roman" w:cs="Times New Roman"/>
          <w:sz w:val="24"/>
          <w:szCs w:val="24"/>
          <w:lang w:val="en-US"/>
        </w:rPr>
      </w:pPr>
      <w:r w:rsidRPr="0048237A">
        <w:rPr>
          <w:rFonts w:ascii="Times New Roman" w:hAnsi="Times New Roman" w:cs="Times New Roman"/>
          <w:sz w:val="24"/>
          <w:szCs w:val="24"/>
          <w:lang w:val="es-EC"/>
        </w:rPr>
        <w:t xml:space="preserve">Méndez, José. </w:t>
      </w:r>
      <w:r w:rsidR="00343082" w:rsidRPr="0048237A">
        <w:rPr>
          <w:rFonts w:ascii="Times New Roman" w:hAnsi="Times New Roman" w:cs="Times New Roman"/>
          <w:sz w:val="24"/>
          <w:szCs w:val="24"/>
          <w:lang w:val="es-EC"/>
        </w:rPr>
        <w:t>2010. “La política pública como variable dependiente: hacia un análisis más integral de las políticas públicas”, en Aguilar (</w:t>
      </w:r>
      <w:r w:rsidRPr="0048237A">
        <w:rPr>
          <w:rFonts w:ascii="Times New Roman" w:hAnsi="Times New Roman" w:cs="Times New Roman"/>
          <w:sz w:val="24"/>
          <w:szCs w:val="24"/>
          <w:lang w:val="es-EC"/>
        </w:rPr>
        <w:t>ed.</w:t>
      </w:r>
      <w:r w:rsidR="00343082" w:rsidRPr="0048237A">
        <w:rPr>
          <w:rFonts w:ascii="Times New Roman" w:hAnsi="Times New Roman" w:cs="Times New Roman"/>
          <w:sz w:val="24"/>
          <w:szCs w:val="24"/>
          <w:lang w:val="es-EC"/>
        </w:rPr>
        <w:t>)</w:t>
      </w:r>
      <w:r w:rsidRPr="0048237A">
        <w:rPr>
          <w:rFonts w:ascii="Times New Roman" w:hAnsi="Times New Roman" w:cs="Times New Roman"/>
          <w:sz w:val="24"/>
          <w:szCs w:val="24"/>
          <w:lang w:val="es-EC"/>
        </w:rPr>
        <w:t>,</w:t>
      </w:r>
      <w:r w:rsidR="00343082" w:rsidRPr="0048237A">
        <w:rPr>
          <w:rFonts w:ascii="Times New Roman" w:hAnsi="Times New Roman" w:cs="Times New Roman"/>
          <w:sz w:val="24"/>
          <w:szCs w:val="24"/>
          <w:lang w:val="es-EC"/>
        </w:rPr>
        <w:t xml:space="preserve"> </w:t>
      </w:r>
      <w:r w:rsidR="00343082" w:rsidRPr="0048237A">
        <w:rPr>
          <w:rFonts w:ascii="Times New Roman" w:hAnsi="Times New Roman" w:cs="Times New Roman"/>
          <w:i/>
          <w:sz w:val="24"/>
          <w:szCs w:val="24"/>
          <w:lang w:val="es-EC"/>
        </w:rPr>
        <w:t>Políticas Públicas</w:t>
      </w:r>
      <w:r w:rsidR="00343082" w:rsidRPr="0048237A">
        <w:rPr>
          <w:rFonts w:ascii="Times New Roman" w:hAnsi="Times New Roman" w:cs="Times New Roman"/>
          <w:sz w:val="24"/>
          <w:szCs w:val="24"/>
          <w:lang w:val="es-EC"/>
        </w:rPr>
        <w:t xml:space="preserve">, 115-150. </w:t>
      </w:r>
      <w:r w:rsidR="00343082" w:rsidRPr="0048237A">
        <w:rPr>
          <w:rFonts w:ascii="Times New Roman" w:hAnsi="Times New Roman" w:cs="Times New Roman"/>
          <w:sz w:val="24"/>
          <w:szCs w:val="24"/>
          <w:lang w:val="en-US"/>
        </w:rPr>
        <w:t>México: Siglo XXI.</w:t>
      </w:r>
    </w:p>
    <w:p w:rsidR="00C04568" w:rsidRPr="0048237A" w:rsidRDefault="00C04568" w:rsidP="00564F3E">
      <w:pPr>
        <w:pStyle w:val="Sinespaciado"/>
        <w:jc w:val="both"/>
        <w:rPr>
          <w:rFonts w:ascii="Times New Roman" w:eastAsia="Times New Roman" w:hAnsi="Times New Roman" w:cs="Times New Roman"/>
          <w:sz w:val="24"/>
          <w:szCs w:val="24"/>
          <w:lang w:val="en-US"/>
        </w:rPr>
      </w:pPr>
    </w:p>
    <w:p w:rsidR="00C04568" w:rsidRPr="00A5089D" w:rsidRDefault="00343082" w:rsidP="00564F3E">
      <w:pPr>
        <w:pStyle w:val="BodyB"/>
        <w:spacing w:line="240" w:lineRule="auto"/>
        <w:jc w:val="both"/>
        <w:rPr>
          <w:rFonts w:ascii="Times New Roman" w:hAnsi="Times New Roman" w:cs="Times New Roman"/>
          <w:color w:val="000000" w:themeColor="text1"/>
          <w:sz w:val="24"/>
          <w:szCs w:val="24"/>
          <w:lang w:val="en-US"/>
        </w:rPr>
      </w:pPr>
      <w:r w:rsidRPr="0048237A">
        <w:rPr>
          <w:rFonts w:ascii="Times New Roman" w:hAnsi="Times New Roman" w:cs="Times New Roman"/>
          <w:sz w:val="24"/>
          <w:szCs w:val="24"/>
          <w:lang w:val="en-US"/>
        </w:rPr>
        <w:t>Montpetit, Éric</w:t>
      </w:r>
      <w:r w:rsidR="00BD191D" w:rsidRPr="0048237A">
        <w:rPr>
          <w:rFonts w:ascii="Times New Roman" w:hAnsi="Times New Roman" w:cs="Times New Roman"/>
          <w:sz w:val="24"/>
          <w:szCs w:val="24"/>
          <w:lang w:val="en-US"/>
        </w:rPr>
        <w:t>.</w:t>
      </w:r>
      <w:r w:rsidRPr="0048237A">
        <w:rPr>
          <w:rFonts w:ascii="Times New Roman" w:hAnsi="Times New Roman" w:cs="Times New Roman"/>
          <w:sz w:val="24"/>
          <w:szCs w:val="24"/>
          <w:lang w:val="en-US"/>
        </w:rPr>
        <w:t xml:space="preserve"> </w:t>
      </w:r>
      <w:r w:rsidRPr="00A5089D">
        <w:rPr>
          <w:rFonts w:ascii="Times New Roman" w:hAnsi="Times New Roman" w:cs="Times New Roman"/>
          <w:color w:val="000000" w:themeColor="text1"/>
          <w:sz w:val="24"/>
          <w:szCs w:val="24"/>
          <w:lang w:val="en-US"/>
        </w:rPr>
        <w:t xml:space="preserve">2005. “A policy network explanation of biotechnology policy differences between the United States and Canada”, </w:t>
      </w:r>
      <w:r w:rsidRPr="00A5089D">
        <w:rPr>
          <w:rFonts w:ascii="Times New Roman" w:hAnsi="Times New Roman" w:cs="Times New Roman"/>
          <w:i/>
          <w:color w:val="000000" w:themeColor="text1"/>
          <w:sz w:val="24"/>
          <w:szCs w:val="24"/>
          <w:lang w:val="en-US"/>
        </w:rPr>
        <w:t>Journal of Public Policy</w:t>
      </w:r>
      <w:r w:rsidRPr="00A5089D">
        <w:rPr>
          <w:rFonts w:ascii="Times New Roman" w:hAnsi="Times New Roman" w:cs="Times New Roman"/>
          <w:color w:val="000000" w:themeColor="text1"/>
          <w:sz w:val="24"/>
          <w:szCs w:val="24"/>
          <w:lang w:val="en-US"/>
        </w:rPr>
        <w:t>, 25</w:t>
      </w:r>
      <w:r w:rsidR="00581F64" w:rsidRPr="00A5089D">
        <w:rPr>
          <w:rFonts w:ascii="Times New Roman" w:hAnsi="Times New Roman" w:cs="Times New Roman"/>
          <w:color w:val="000000" w:themeColor="text1"/>
          <w:sz w:val="24"/>
          <w:szCs w:val="24"/>
          <w:lang w:val="en-US"/>
        </w:rPr>
        <w:t xml:space="preserve"> (</w:t>
      </w:r>
      <w:r w:rsidRPr="00A5089D">
        <w:rPr>
          <w:rFonts w:ascii="Times New Roman" w:hAnsi="Times New Roman" w:cs="Times New Roman"/>
          <w:color w:val="000000" w:themeColor="text1"/>
          <w:sz w:val="24"/>
          <w:szCs w:val="24"/>
          <w:lang w:val="en-US"/>
        </w:rPr>
        <w:t>3</w:t>
      </w:r>
      <w:r w:rsidR="00581F64" w:rsidRPr="00A5089D">
        <w:rPr>
          <w:rFonts w:ascii="Times New Roman" w:hAnsi="Times New Roman" w:cs="Times New Roman"/>
          <w:color w:val="000000" w:themeColor="text1"/>
          <w:sz w:val="24"/>
          <w:szCs w:val="24"/>
          <w:lang w:val="en-US"/>
        </w:rPr>
        <w:t>):</w:t>
      </w:r>
      <w:r w:rsidRPr="00A5089D">
        <w:rPr>
          <w:rFonts w:ascii="Times New Roman" w:hAnsi="Times New Roman" w:cs="Times New Roman"/>
          <w:color w:val="000000" w:themeColor="text1"/>
          <w:sz w:val="24"/>
          <w:szCs w:val="24"/>
          <w:lang w:val="en-US"/>
        </w:rPr>
        <w:t xml:space="preserve"> 339-366.</w:t>
      </w:r>
    </w:p>
    <w:p w:rsidR="00584D9C" w:rsidRPr="00A5089D" w:rsidRDefault="001C0130" w:rsidP="00564F3E">
      <w:pPr>
        <w:pStyle w:val="BodyB"/>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s-ES"/>
        </w:rPr>
        <w:t xml:space="preserve">Ordoñez-Matamoros, Gonzalo. </w:t>
      </w:r>
      <w:r w:rsidR="00584D9C" w:rsidRPr="00A5089D">
        <w:rPr>
          <w:rFonts w:ascii="Times New Roman" w:hAnsi="Times New Roman" w:cs="Times New Roman"/>
          <w:color w:val="000000" w:themeColor="text1"/>
          <w:sz w:val="24"/>
          <w:szCs w:val="24"/>
          <w:lang w:val="es-ES"/>
        </w:rPr>
        <w:t xml:space="preserve">2013. </w:t>
      </w:r>
      <w:r w:rsidR="00584D9C" w:rsidRPr="00A5089D">
        <w:rPr>
          <w:rFonts w:ascii="Times New Roman" w:hAnsi="Times New Roman" w:cs="Times New Roman"/>
          <w:i/>
          <w:color w:val="000000" w:themeColor="text1"/>
          <w:sz w:val="24"/>
          <w:szCs w:val="24"/>
          <w:lang w:val="es-ES"/>
        </w:rPr>
        <w:t>Manual de análisis y diseño de políticas públicas.</w:t>
      </w:r>
      <w:r w:rsidR="00584D9C" w:rsidRPr="00A5089D">
        <w:rPr>
          <w:rFonts w:ascii="Times New Roman" w:hAnsi="Times New Roman" w:cs="Times New Roman"/>
          <w:color w:val="000000" w:themeColor="text1"/>
          <w:sz w:val="24"/>
          <w:szCs w:val="24"/>
          <w:lang w:val="es-ES"/>
        </w:rPr>
        <w:t xml:space="preserve"> </w:t>
      </w:r>
      <w:r w:rsidR="00584D9C" w:rsidRPr="00A5089D">
        <w:rPr>
          <w:rFonts w:ascii="Times New Roman" w:hAnsi="Times New Roman" w:cs="Times New Roman"/>
          <w:color w:val="000000" w:themeColor="text1"/>
          <w:sz w:val="24"/>
          <w:szCs w:val="24"/>
          <w:lang w:val="en-US"/>
        </w:rPr>
        <w:t>Bogotá: Universidad Externado de Colombia.</w:t>
      </w:r>
    </w:p>
    <w:p w:rsidR="00EE2746" w:rsidRPr="0048237A" w:rsidRDefault="00EE2746" w:rsidP="00564F3E">
      <w:pPr>
        <w:pStyle w:val="BodyB"/>
        <w:spacing w:line="240" w:lineRule="auto"/>
        <w:jc w:val="both"/>
        <w:rPr>
          <w:rFonts w:ascii="Times New Roman" w:hAnsi="Times New Roman" w:cs="Times New Roman"/>
          <w:sz w:val="24"/>
          <w:szCs w:val="24"/>
          <w:lang w:val="en-US"/>
        </w:rPr>
      </w:pPr>
      <w:r w:rsidRPr="00A5089D">
        <w:rPr>
          <w:rFonts w:ascii="Times New Roman" w:hAnsi="Times New Roman" w:cs="Times New Roman"/>
          <w:color w:val="000000" w:themeColor="text1"/>
          <w:sz w:val="24"/>
          <w:szCs w:val="24"/>
          <w:lang w:val="en-US"/>
        </w:rPr>
        <w:t xml:space="preserve">Rayner, Jeremy. 2009. “Understanding </w:t>
      </w:r>
      <w:r w:rsidRPr="0048237A">
        <w:rPr>
          <w:rFonts w:ascii="Times New Roman" w:hAnsi="Times New Roman" w:cs="Times New Roman"/>
          <w:sz w:val="24"/>
          <w:szCs w:val="24"/>
          <w:lang w:val="en-US"/>
        </w:rPr>
        <w:t xml:space="preserve">policy change as a historical problem”, </w:t>
      </w:r>
      <w:r w:rsidRPr="0048237A">
        <w:rPr>
          <w:rFonts w:ascii="Times New Roman" w:hAnsi="Times New Roman" w:cs="Times New Roman"/>
          <w:i/>
          <w:sz w:val="24"/>
          <w:szCs w:val="24"/>
          <w:lang w:val="en-US"/>
        </w:rPr>
        <w:t>Journal of Comparative Policy Analysis: Research and Practice</w:t>
      </w:r>
      <w:r w:rsidRPr="0048237A">
        <w:rPr>
          <w:rFonts w:ascii="Times New Roman" w:hAnsi="Times New Roman" w:cs="Times New Roman"/>
          <w:sz w:val="24"/>
          <w:szCs w:val="24"/>
          <w:lang w:val="en-US"/>
        </w:rPr>
        <w:t>, 11</w:t>
      </w:r>
      <w:r w:rsidR="00E20B1B" w:rsidRPr="0048237A">
        <w:rPr>
          <w:rFonts w:ascii="Times New Roman" w:hAnsi="Times New Roman" w:cs="Times New Roman"/>
          <w:sz w:val="24"/>
          <w:szCs w:val="24"/>
          <w:lang w:val="en-US"/>
        </w:rPr>
        <w:t xml:space="preserve"> (</w:t>
      </w:r>
      <w:r w:rsidRPr="0048237A">
        <w:rPr>
          <w:rFonts w:ascii="Times New Roman" w:hAnsi="Times New Roman" w:cs="Times New Roman"/>
          <w:sz w:val="24"/>
          <w:szCs w:val="24"/>
          <w:lang w:val="en-US"/>
        </w:rPr>
        <w:t>1</w:t>
      </w:r>
      <w:r w:rsidR="00E20B1B" w:rsidRPr="0048237A">
        <w:rPr>
          <w:rFonts w:ascii="Times New Roman" w:hAnsi="Times New Roman" w:cs="Times New Roman"/>
          <w:sz w:val="24"/>
          <w:szCs w:val="24"/>
          <w:lang w:val="en-US"/>
        </w:rPr>
        <w:t>)</w:t>
      </w:r>
      <w:r w:rsidRPr="0048237A">
        <w:rPr>
          <w:rFonts w:ascii="Times New Roman" w:hAnsi="Times New Roman" w:cs="Times New Roman"/>
          <w:sz w:val="24"/>
          <w:szCs w:val="24"/>
          <w:lang w:val="en-US"/>
        </w:rPr>
        <w:t>: 83-96.</w:t>
      </w:r>
    </w:p>
    <w:p w:rsidR="00C04568" w:rsidRPr="0048237A" w:rsidRDefault="00952348" w:rsidP="00564F3E">
      <w:pPr>
        <w:pStyle w:val="Sinespaciado"/>
        <w:jc w:val="both"/>
        <w:rPr>
          <w:rFonts w:ascii="Times New Roman" w:hAnsi="Times New Roman" w:cs="Times New Roman"/>
          <w:sz w:val="24"/>
          <w:szCs w:val="24"/>
          <w:lang w:val="en-US"/>
        </w:rPr>
      </w:pPr>
      <w:r w:rsidRPr="0048237A">
        <w:rPr>
          <w:rFonts w:ascii="Times New Roman" w:hAnsi="Times New Roman" w:cs="Times New Roman"/>
          <w:sz w:val="24"/>
          <w:szCs w:val="24"/>
          <w:lang w:val="en-US"/>
        </w:rPr>
        <w:t xml:space="preserve">Real-Dato, José. </w:t>
      </w:r>
      <w:r w:rsidR="00343082" w:rsidRPr="0048237A">
        <w:rPr>
          <w:rFonts w:ascii="Times New Roman" w:hAnsi="Times New Roman" w:cs="Times New Roman"/>
          <w:sz w:val="24"/>
          <w:szCs w:val="24"/>
          <w:lang w:val="en-US"/>
        </w:rPr>
        <w:t xml:space="preserve">2009. “Mechanisms of policy change: A proposal for a synthetic explanatory framework”, </w:t>
      </w:r>
      <w:r w:rsidR="00343082" w:rsidRPr="0048237A">
        <w:rPr>
          <w:rFonts w:ascii="Times New Roman" w:hAnsi="Times New Roman" w:cs="Times New Roman"/>
          <w:i/>
          <w:sz w:val="24"/>
          <w:szCs w:val="24"/>
          <w:lang w:val="en-US"/>
        </w:rPr>
        <w:t>Journal of Comparative Policy Analysis: Research and Practice</w:t>
      </w:r>
      <w:r w:rsidR="00343082" w:rsidRPr="0048237A">
        <w:rPr>
          <w:rFonts w:ascii="Times New Roman" w:hAnsi="Times New Roman" w:cs="Times New Roman"/>
          <w:sz w:val="24"/>
          <w:szCs w:val="24"/>
          <w:lang w:val="en-US"/>
        </w:rPr>
        <w:t>, 11</w:t>
      </w:r>
      <w:r w:rsidRPr="0048237A">
        <w:rPr>
          <w:rFonts w:ascii="Times New Roman" w:hAnsi="Times New Roman" w:cs="Times New Roman"/>
          <w:sz w:val="24"/>
          <w:szCs w:val="24"/>
          <w:lang w:val="en-US"/>
        </w:rPr>
        <w:t xml:space="preserve"> (</w:t>
      </w:r>
      <w:r w:rsidR="00343082" w:rsidRPr="0048237A">
        <w:rPr>
          <w:rFonts w:ascii="Times New Roman" w:hAnsi="Times New Roman" w:cs="Times New Roman"/>
          <w:sz w:val="24"/>
          <w:szCs w:val="24"/>
          <w:lang w:val="en-US"/>
        </w:rPr>
        <w:t>1</w:t>
      </w:r>
      <w:r w:rsidRPr="0048237A">
        <w:rPr>
          <w:rFonts w:ascii="Times New Roman" w:hAnsi="Times New Roman" w:cs="Times New Roman"/>
          <w:sz w:val="24"/>
          <w:szCs w:val="24"/>
          <w:lang w:val="en-US"/>
        </w:rPr>
        <w:t xml:space="preserve">): </w:t>
      </w:r>
      <w:r w:rsidR="00343082" w:rsidRPr="0048237A">
        <w:rPr>
          <w:rFonts w:ascii="Times New Roman" w:hAnsi="Times New Roman" w:cs="Times New Roman"/>
          <w:sz w:val="24"/>
          <w:szCs w:val="24"/>
          <w:lang w:val="en-US"/>
        </w:rPr>
        <w:t>117-143.</w:t>
      </w:r>
    </w:p>
    <w:p w:rsidR="00C04568" w:rsidRPr="0048237A" w:rsidRDefault="00C04568" w:rsidP="00564F3E">
      <w:pPr>
        <w:pStyle w:val="Sinespaciado"/>
        <w:jc w:val="both"/>
        <w:rPr>
          <w:rFonts w:ascii="Times New Roman" w:eastAsia="Times New Roman" w:hAnsi="Times New Roman" w:cs="Times New Roman"/>
          <w:sz w:val="24"/>
          <w:szCs w:val="24"/>
          <w:lang w:val="en-US"/>
        </w:rPr>
      </w:pPr>
    </w:p>
    <w:p w:rsidR="00C04568" w:rsidRPr="00A5089D" w:rsidRDefault="00952348" w:rsidP="00564F3E">
      <w:pPr>
        <w:pStyle w:val="Sinespaciado"/>
        <w:tabs>
          <w:tab w:val="left" w:pos="567"/>
        </w:tabs>
        <w:jc w:val="both"/>
        <w:rPr>
          <w:rFonts w:ascii="Times New Roman" w:eastAsia="Times New Roman" w:hAnsi="Times New Roman" w:cs="Times New Roman"/>
          <w:color w:val="000000" w:themeColor="text1"/>
          <w:sz w:val="24"/>
          <w:szCs w:val="24"/>
          <w:lang w:val="en-US"/>
        </w:rPr>
      </w:pPr>
      <w:r w:rsidRPr="00A5089D">
        <w:rPr>
          <w:rFonts w:ascii="Times New Roman" w:hAnsi="Times New Roman" w:cs="Times New Roman"/>
          <w:color w:val="000000" w:themeColor="text1"/>
          <w:sz w:val="24"/>
          <w:szCs w:val="24"/>
          <w:lang w:val="en-US"/>
        </w:rPr>
        <w:t xml:space="preserve">Richardson, Jeremy. </w:t>
      </w:r>
      <w:r w:rsidR="00343082" w:rsidRPr="00A5089D">
        <w:rPr>
          <w:rFonts w:ascii="Times New Roman" w:hAnsi="Times New Roman" w:cs="Times New Roman"/>
          <w:color w:val="000000" w:themeColor="text1"/>
          <w:sz w:val="24"/>
          <w:szCs w:val="24"/>
          <w:lang w:val="en-US"/>
        </w:rPr>
        <w:t xml:space="preserve">2000. “Government, Interest Groups and Policy Change”, </w:t>
      </w:r>
      <w:r w:rsidR="00343082" w:rsidRPr="00A5089D">
        <w:rPr>
          <w:rFonts w:ascii="Times New Roman" w:hAnsi="Times New Roman" w:cs="Times New Roman"/>
          <w:i/>
          <w:iCs/>
          <w:color w:val="000000" w:themeColor="text1"/>
          <w:sz w:val="24"/>
          <w:szCs w:val="24"/>
          <w:lang w:val="en-US"/>
        </w:rPr>
        <w:t>Political Studies</w:t>
      </w:r>
      <w:r w:rsidR="00343082" w:rsidRPr="00A5089D">
        <w:rPr>
          <w:rFonts w:ascii="Times New Roman" w:hAnsi="Times New Roman" w:cs="Times New Roman"/>
          <w:color w:val="000000" w:themeColor="text1"/>
          <w:sz w:val="24"/>
          <w:szCs w:val="24"/>
          <w:lang w:val="en-US"/>
        </w:rPr>
        <w:t>, 48</w:t>
      </w:r>
      <w:r w:rsidRPr="00A5089D">
        <w:rPr>
          <w:rFonts w:ascii="Times New Roman" w:hAnsi="Times New Roman" w:cs="Times New Roman"/>
          <w:color w:val="000000" w:themeColor="text1"/>
          <w:sz w:val="24"/>
          <w:szCs w:val="24"/>
          <w:lang w:val="en-US"/>
        </w:rPr>
        <w:t>:</w:t>
      </w:r>
      <w:r w:rsidR="00343082" w:rsidRPr="00A5089D">
        <w:rPr>
          <w:rFonts w:ascii="Times New Roman" w:hAnsi="Times New Roman" w:cs="Times New Roman"/>
          <w:color w:val="000000" w:themeColor="text1"/>
          <w:sz w:val="24"/>
          <w:szCs w:val="24"/>
          <w:lang w:val="en-US"/>
        </w:rPr>
        <w:t xml:space="preserve"> 1006-1025.</w:t>
      </w:r>
    </w:p>
    <w:p w:rsidR="00C04568" w:rsidRPr="00A5089D" w:rsidRDefault="00C04568" w:rsidP="00564F3E">
      <w:pPr>
        <w:pStyle w:val="Sinespaciado"/>
        <w:tabs>
          <w:tab w:val="left" w:pos="567"/>
        </w:tabs>
        <w:jc w:val="both"/>
        <w:rPr>
          <w:rFonts w:ascii="Times New Roman" w:eastAsia="Times New Roman" w:hAnsi="Times New Roman" w:cs="Times New Roman"/>
          <w:color w:val="000000" w:themeColor="text1"/>
          <w:sz w:val="24"/>
          <w:szCs w:val="24"/>
          <w:lang w:val="en-US"/>
        </w:rPr>
      </w:pPr>
    </w:p>
    <w:p w:rsidR="00584D9C" w:rsidRPr="00A5089D" w:rsidRDefault="00480316" w:rsidP="00564F3E">
      <w:pPr>
        <w:pStyle w:val="Sinespaciado"/>
        <w:tabs>
          <w:tab w:val="left" w:pos="567"/>
        </w:tabs>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Sabatier, Pau.</w:t>
      </w:r>
      <w:r w:rsidR="00584D9C" w:rsidRPr="00A5089D">
        <w:rPr>
          <w:rFonts w:ascii="Times New Roman" w:eastAsia="Times New Roman" w:hAnsi="Times New Roman" w:cs="Times New Roman"/>
          <w:color w:val="000000" w:themeColor="text1"/>
          <w:sz w:val="24"/>
          <w:szCs w:val="24"/>
          <w:lang w:val="en-US"/>
        </w:rPr>
        <w:t xml:space="preserve"> 1999. “The Advocacy Coalition Framework: An Assessment” en Paul Sabatier (ed.) </w:t>
      </w:r>
      <w:r w:rsidR="00584D9C" w:rsidRPr="00A5089D">
        <w:rPr>
          <w:rFonts w:ascii="Times New Roman" w:eastAsia="Times New Roman" w:hAnsi="Times New Roman" w:cs="Times New Roman"/>
          <w:i/>
          <w:color w:val="000000" w:themeColor="text1"/>
          <w:sz w:val="24"/>
          <w:szCs w:val="24"/>
          <w:lang w:val="en-US"/>
        </w:rPr>
        <w:t>Theories of the policy process</w:t>
      </w:r>
      <w:r w:rsidR="00584D9C" w:rsidRPr="00A5089D">
        <w:rPr>
          <w:rFonts w:ascii="Times New Roman" w:eastAsia="Times New Roman" w:hAnsi="Times New Roman" w:cs="Times New Roman"/>
          <w:color w:val="000000" w:themeColor="text1"/>
          <w:sz w:val="24"/>
          <w:szCs w:val="24"/>
          <w:lang w:val="en-US"/>
        </w:rPr>
        <w:t>. Boulder: Westview Point Boulder: 117-166.</w:t>
      </w:r>
    </w:p>
    <w:p w:rsidR="00584D9C" w:rsidRPr="00A5089D" w:rsidRDefault="00584D9C" w:rsidP="00564F3E">
      <w:pPr>
        <w:pStyle w:val="Sinespaciado"/>
        <w:tabs>
          <w:tab w:val="left" w:pos="567"/>
        </w:tabs>
        <w:jc w:val="both"/>
        <w:rPr>
          <w:rFonts w:ascii="Times New Roman" w:eastAsia="Times New Roman" w:hAnsi="Times New Roman" w:cs="Times New Roman"/>
          <w:color w:val="000000" w:themeColor="text1"/>
          <w:sz w:val="24"/>
          <w:szCs w:val="24"/>
          <w:lang w:val="en-US"/>
        </w:rPr>
      </w:pPr>
    </w:p>
    <w:p w:rsidR="00C04568" w:rsidRPr="0048237A" w:rsidRDefault="00343082" w:rsidP="00564F3E">
      <w:pPr>
        <w:pStyle w:val="Sinespaciado"/>
        <w:tabs>
          <w:tab w:val="left" w:pos="567"/>
        </w:tabs>
        <w:jc w:val="both"/>
        <w:rPr>
          <w:rFonts w:ascii="Times New Roman" w:hAnsi="Times New Roman" w:cs="Times New Roman"/>
          <w:sz w:val="24"/>
          <w:szCs w:val="24"/>
          <w:lang w:val="es-EC"/>
        </w:rPr>
      </w:pPr>
      <w:r w:rsidRPr="00A5089D">
        <w:rPr>
          <w:rFonts w:ascii="Times New Roman" w:hAnsi="Times New Roman" w:cs="Times New Roman"/>
          <w:color w:val="000000" w:themeColor="text1"/>
          <w:sz w:val="24"/>
          <w:szCs w:val="24"/>
          <w:lang w:val="en-US"/>
        </w:rPr>
        <w:t>Sanz, Luis</w:t>
      </w:r>
      <w:r w:rsidR="006E1A45" w:rsidRPr="00A5089D">
        <w:rPr>
          <w:rFonts w:ascii="Times New Roman" w:hAnsi="Times New Roman" w:cs="Times New Roman"/>
          <w:color w:val="000000" w:themeColor="text1"/>
          <w:sz w:val="24"/>
          <w:szCs w:val="24"/>
          <w:lang w:val="en-US"/>
        </w:rPr>
        <w:t>.</w:t>
      </w:r>
      <w:r w:rsidRPr="00A5089D">
        <w:rPr>
          <w:rFonts w:ascii="Times New Roman" w:hAnsi="Times New Roman" w:cs="Times New Roman"/>
          <w:color w:val="000000" w:themeColor="text1"/>
          <w:sz w:val="24"/>
          <w:szCs w:val="24"/>
          <w:lang w:val="en-US"/>
        </w:rPr>
        <w:t xml:space="preserve"> 2003. </w:t>
      </w:r>
      <w:r w:rsidRPr="00A5089D">
        <w:rPr>
          <w:rFonts w:ascii="Times New Roman" w:hAnsi="Times New Roman" w:cs="Times New Roman"/>
          <w:color w:val="000000" w:themeColor="text1"/>
          <w:sz w:val="24"/>
          <w:szCs w:val="24"/>
          <w:lang w:val="es-EC"/>
        </w:rPr>
        <w:t xml:space="preserve">“Análisis de </w:t>
      </w:r>
      <w:r w:rsidRPr="0048237A">
        <w:rPr>
          <w:rFonts w:ascii="Times New Roman" w:hAnsi="Times New Roman" w:cs="Times New Roman"/>
          <w:sz w:val="24"/>
          <w:szCs w:val="24"/>
          <w:lang w:val="es-EC"/>
        </w:rPr>
        <w:t xml:space="preserve">redes sociales: o cómo representar las estructuras sociales subyacentes”, </w:t>
      </w:r>
      <w:r w:rsidRPr="0048237A">
        <w:rPr>
          <w:rFonts w:ascii="Times New Roman" w:hAnsi="Times New Roman" w:cs="Times New Roman"/>
          <w:i/>
          <w:sz w:val="24"/>
          <w:szCs w:val="24"/>
          <w:lang w:val="es-EC"/>
        </w:rPr>
        <w:t>Apuntes de Ciencia y Tecnología</w:t>
      </w:r>
      <w:r w:rsidRPr="0048237A">
        <w:rPr>
          <w:rFonts w:ascii="Times New Roman" w:hAnsi="Times New Roman" w:cs="Times New Roman"/>
          <w:sz w:val="24"/>
          <w:szCs w:val="24"/>
          <w:lang w:val="es-EC"/>
        </w:rPr>
        <w:t>. Madrid: Unidad de Políticas Comparadas CSIC.</w:t>
      </w:r>
    </w:p>
    <w:p w:rsidR="00C04568" w:rsidRPr="0048237A" w:rsidRDefault="00C04568" w:rsidP="00564F3E">
      <w:pPr>
        <w:pStyle w:val="Sinespaciado"/>
        <w:tabs>
          <w:tab w:val="left" w:pos="567"/>
        </w:tabs>
        <w:jc w:val="both"/>
        <w:rPr>
          <w:rFonts w:ascii="Times New Roman" w:eastAsia="Times New Roman" w:hAnsi="Times New Roman" w:cs="Times New Roman"/>
          <w:sz w:val="24"/>
          <w:szCs w:val="24"/>
        </w:rPr>
      </w:pPr>
    </w:p>
    <w:p w:rsidR="00C04568" w:rsidRPr="0048237A" w:rsidRDefault="00343082" w:rsidP="00564F3E">
      <w:pPr>
        <w:pStyle w:val="Sinespaciado"/>
        <w:tabs>
          <w:tab w:val="left" w:pos="567"/>
        </w:tabs>
        <w:jc w:val="both"/>
        <w:rPr>
          <w:rFonts w:ascii="Times New Roman" w:hAnsi="Times New Roman" w:cs="Times New Roman"/>
          <w:sz w:val="24"/>
          <w:szCs w:val="24"/>
          <w:lang w:val="es-EC"/>
        </w:rPr>
      </w:pPr>
      <w:r w:rsidRPr="0048237A">
        <w:rPr>
          <w:rFonts w:ascii="Times New Roman" w:hAnsi="Times New Roman" w:cs="Times New Roman"/>
          <w:sz w:val="24"/>
          <w:szCs w:val="24"/>
          <w:lang w:val="es-EC"/>
        </w:rPr>
        <w:t>Secretaría Nacional de Planifi</w:t>
      </w:r>
      <w:r w:rsidR="007B6BA8" w:rsidRPr="0048237A">
        <w:rPr>
          <w:rFonts w:ascii="Times New Roman" w:hAnsi="Times New Roman" w:cs="Times New Roman"/>
          <w:sz w:val="24"/>
          <w:szCs w:val="24"/>
          <w:lang w:val="es-EC"/>
        </w:rPr>
        <w:t xml:space="preserve">cación y Desarrollo (SENPLADES). </w:t>
      </w:r>
      <w:r w:rsidRPr="0048237A">
        <w:rPr>
          <w:rFonts w:ascii="Times New Roman" w:hAnsi="Times New Roman" w:cs="Times New Roman"/>
          <w:sz w:val="24"/>
          <w:szCs w:val="24"/>
          <w:lang w:val="es-EC"/>
        </w:rPr>
        <w:t xml:space="preserve">2013. </w:t>
      </w:r>
      <w:r w:rsidRPr="0048237A">
        <w:rPr>
          <w:rFonts w:ascii="Times New Roman" w:hAnsi="Times New Roman" w:cs="Times New Roman"/>
          <w:i/>
          <w:sz w:val="24"/>
          <w:szCs w:val="24"/>
          <w:lang w:val="es-EC"/>
        </w:rPr>
        <w:t>Plan Nacional para el Buen Vivir 2013-2017</w:t>
      </w:r>
      <w:r w:rsidRPr="0048237A">
        <w:rPr>
          <w:rFonts w:ascii="Times New Roman" w:hAnsi="Times New Roman" w:cs="Times New Roman"/>
          <w:sz w:val="24"/>
          <w:szCs w:val="24"/>
          <w:lang w:val="es-EC"/>
        </w:rPr>
        <w:t>. Quito: El Telégrafo.</w:t>
      </w:r>
    </w:p>
    <w:p w:rsidR="00C04568" w:rsidRPr="0048237A" w:rsidRDefault="00C04568" w:rsidP="00564F3E">
      <w:pPr>
        <w:pStyle w:val="Sinespaciado"/>
        <w:tabs>
          <w:tab w:val="left" w:pos="567"/>
        </w:tabs>
        <w:jc w:val="both"/>
        <w:rPr>
          <w:rFonts w:ascii="Times New Roman" w:eastAsia="Times New Roman" w:hAnsi="Times New Roman" w:cs="Times New Roman"/>
          <w:sz w:val="24"/>
          <w:szCs w:val="24"/>
        </w:rPr>
      </w:pPr>
    </w:p>
    <w:p w:rsidR="00C04568" w:rsidRPr="00CD1200" w:rsidRDefault="00343082" w:rsidP="00564F3E">
      <w:pPr>
        <w:pStyle w:val="Sinespaciado"/>
        <w:tabs>
          <w:tab w:val="left" w:pos="567"/>
        </w:tabs>
        <w:jc w:val="both"/>
        <w:rPr>
          <w:rFonts w:ascii="Times New Roman" w:hAnsi="Times New Roman" w:cs="Times New Roman"/>
          <w:sz w:val="24"/>
          <w:szCs w:val="24"/>
          <w:lang w:val="es-EC"/>
        </w:rPr>
      </w:pPr>
      <w:r w:rsidRPr="00CD1200">
        <w:rPr>
          <w:rFonts w:ascii="Times New Roman" w:hAnsi="Times New Roman" w:cs="Times New Roman"/>
          <w:sz w:val="24"/>
          <w:szCs w:val="24"/>
          <w:lang w:val="es-EC"/>
        </w:rPr>
        <w:t>Secretaría Nacional de Planificación y Desarrollo (SENPLADES)</w:t>
      </w:r>
      <w:r w:rsidR="007B6BA8" w:rsidRPr="00CD1200">
        <w:rPr>
          <w:rFonts w:ascii="Times New Roman" w:hAnsi="Times New Roman" w:cs="Times New Roman"/>
          <w:sz w:val="24"/>
          <w:szCs w:val="24"/>
          <w:lang w:val="es-EC"/>
        </w:rPr>
        <w:t xml:space="preserve">. </w:t>
      </w:r>
      <w:r w:rsidRPr="00CD1200">
        <w:rPr>
          <w:rFonts w:ascii="Times New Roman" w:hAnsi="Times New Roman" w:cs="Times New Roman"/>
          <w:sz w:val="24"/>
          <w:szCs w:val="24"/>
          <w:lang w:val="es-EC"/>
        </w:rPr>
        <w:t xml:space="preserve">2014a. </w:t>
      </w:r>
      <w:r w:rsidRPr="00CD1200">
        <w:rPr>
          <w:rFonts w:ascii="Times New Roman" w:hAnsi="Times New Roman" w:cs="Times New Roman"/>
          <w:i/>
          <w:sz w:val="24"/>
          <w:szCs w:val="24"/>
          <w:lang w:val="es-EC"/>
        </w:rPr>
        <w:t>Agua potable y alcantarillado para erradicar la pobreza en el Ecuador</w:t>
      </w:r>
      <w:r w:rsidRPr="00CD1200">
        <w:rPr>
          <w:rFonts w:ascii="Times New Roman" w:hAnsi="Times New Roman" w:cs="Times New Roman"/>
          <w:sz w:val="24"/>
          <w:szCs w:val="24"/>
          <w:lang w:val="es-EC"/>
        </w:rPr>
        <w:t>.</w:t>
      </w:r>
      <w:r w:rsidR="006F1DC5" w:rsidRPr="00CD1200">
        <w:rPr>
          <w:rFonts w:ascii="Times New Roman" w:hAnsi="Times New Roman" w:cs="Times New Roman"/>
          <w:sz w:val="24"/>
          <w:szCs w:val="24"/>
          <w:lang w:val="es-EC"/>
        </w:rPr>
        <w:t xml:space="preserve"> Quito. </w:t>
      </w:r>
    </w:p>
    <w:p w:rsidR="00C04568" w:rsidRPr="00CD1200" w:rsidRDefault="00C04568" w:rsidP="00564F3E">
      <w:pPr>
        <w:pStyle w:val="Sinespaciado"/>
        <w:tabs>
          <w:tab w:val="left" w:pos="567"/>
        </w:tabs>
        <w:jc w:val="both"/>
        <w:rPr>
          <w:rFonts w:ascii="Times New Roman" w:eastAsia="Times New Roman" w:hAnsi="Times New Roman" w:cs="Times New Roman"/>
          <w:sz w:val="24"/>
          <w:szCs w:val="24"/>
        </w:rPr>
      </w:pPr>
    </w:p>
    <w:p w:rsidR="00C04568" w:rsidRPr="00CD1200" w:rsidRDefault="00343082" w:rsidP="00564F3E">
      <w:pPr>
        <w:pStyle w:val="Sinespaciado"/>
        <w:tabs>
          <w:tab w:val="left" w:pos="567"/>
        </w:tabs>
        <w:jc w:val="both"/>
        <w:rPr>
          <w:rFonts w:ascii="Times New Roman" w:hAnsi="Times New Roman" w:cs="Times New Roman"/>
          <w:sz w:val="24"/>
          <w:szCs w:val="24"/>
          <w:lang w:val="es-EC"/>
        </w:rPr>
      </w:pPr>
      <w:r w:rsidRPr="00CD1200">
        <w:rPr>
          <w:rFonts w:ascii="Times New Roman" w:hAnsi="Times New Roman" w:cs="Times New Roman"/>
          <w:sz w:val="24"/>
          <w:szCs w:val="24"/>
          <w:lang w:val="es-EC"/>
        </w:rPr>
        <w:t>Secretaría Nacional de Planificación y Desarrollo (SENPLADES)</w:t>
      </w:r>
      <w:r w:rsidR="007B6BA8" w:rsidRPr="00CD1200">
        <w:rPr>
          <w:rFonts w:ascii="Times New Roman" w:hAnsi="Times New Roman" w:cs="Times New Roman"/>
          <w:sz w:val="24"/>
          <w:szCs w:val="24"/>
          <w:lang w:val="es-EC"/>
        </w:rPr>
        <w:t>.</w:t>
      </w:r>
      <w:r w:rsidRPr="00CD1200">
        <w:rPr>
          <w:rFonts w:ascii="Times New Roman" w:hAnsi="Times New Roman" w:cs="Times New Roman"/>
          <w:sz w:val="24"/>
          <w:szCs w:val="24"/>
          <w:lang w:val="es-EC"/>
        </w:rPr>
        <w:t xml:space="preserve"> 2014b. </w:t>
      </w:r>
      <w:r w:rsidRPr="00CD1200">
        <w:rPr>
          <w:rFonts w:ascii="Times New Roman" w:hAnsi="Times New Roman" w:cs="Times New Roman"/>
          <w:i/>
          <w:sz w:val="24"/>
          <w:szCs w:val="24"/>
          <w:lang w:val="es-EC"/>
        </w:rPr>
        <w:t>Erradicación de la pobreza: agua y saneamiento</w:t>
      </w:r>
      <w:r w:rsidRPr="00CD1200">
        <w:rPr>
          <w:rFonts w:ascii="Times New Roman" w:hAnsi="Times New Roman" w:cs="Times New Roman"/>
          <w:sz w:val="24"/>
          <w:szCs w:val="24"/>
          <w:lang w:val="es-EC"/>
        </w:rPr>
        <w:t>.  Documento de trabajo no publicado. Quito.</w:t>
      </w:r>
    </w:p>
    <w:p w:rsidR="00C04568" w:rsidRPr="00CD1200" w:rsidRDefault="00C04568" w:rsidP="00564F3E">
      <w:pPr>
        <w:pStyle w:val="Sinespaciado"/>
        <w:tabs>
          <w:tab w:val="left" w:pos="567"/>
        </w:tabs>
        <w:jc w:val="both"/>
        <w:rPr>
          <w:rFonts w:ascii="Times New Roman" w:hAnsi="Times New Roman" w:cs="Times New Roman"/>
          <w:sz w:val="24"/>
          <w:szCs w:val="24"/>
          <w:lang w:val="es-EC"/>
        </w:rPr>
      </w:pPr>
    </w:p>
    <w:p w:rsidR="00C04568" w:rsidRPr="00CD1200" w:rsidRDefault="00343082" w:rsidP="00564F3E">
      <w:pPr>
        <w:pStyle w:val="Sinespaciado"/>
        <w:tabs>
          <w:tab w:val="left" w:pos="567"/>
        </w:tabs>
        <w:jc w:val="both"/>
        <w:rPr>
          <w:rFonts w:ascii="Times New Roman" w:hAnsi="Times New Roman" w:cs="Times New Roman"/>
          <w:sz w:val="24"/>
          <w:szCs w:val="24"/>
          <w:lang w:val="es-EC"/>
        </w:rPr>
      </w:pPr>
      <w:r w:rsidRPr="00CD1200">
        <w:rPr>
          <w:rFonts w:ascii="Times New Roman" w:hAnsi="Times New Roman" w:cs="Times New Roman"/>
          <w:sz w:val="24"/>
          <w:szCs w:val="24"/>
          <w:lang w:val="es-EC"/>
        </w:rPr>
        <w:t>Secretaría Nacional de Planificación y Desarrollo (SENPLADES)</w:t>
      </w:r>
      <w:r w:rsidR="007B6BA8" w:rsidRPr="00CD1200">
        <w:rPr>
          <w:rFonts w:ascii="Times New Roman" w:hAnsi="Times New Roman" w:cs="Times New Roman"/>
          <w:sz w:val="24"/>
          <w:szCs w:val="24"/>
          <w:lang w:val="es-EC"/>
        </w:rPr>
        <w:t>.</w:t>
      </w:r>
      <w:r w:rsidRPr="00CD1200">
        <w:rPr>
          <w:rFonts w:ascii="Times New Roman" w:hAnsi="Times New Roman" w:cs="Times New Roman"/>
          <w:sz w:val="24"/>
          <w:szCs w:val="24"/>
          <w:lang w:val="es-EC"/>
        </w:rPr>
        <w:t xml:space="preserve"> 2014c. </w:t>
      </w:r>
      <w:r w:rsidRPr="00CD1200">
        <w:rPr>
          <w:rFonts w:ascii="Times New Roman" w:hAnsi="Times New Roman" w:cs="Times New Roman"/>
          <w:i/>
          <w:sz w:val="24"/>
          <w:szCs w:val="24"/>
          <w:lang w:val="es-EC"/>
        </w:rPr>
        <w:t>Metodología de cálculo de la nueva meta para agua y alcantarillado</w:t>
      </w:r>
      <w:r w:rsidRPr="00CD1200">
        <w:rPr>
          <w:rFonts w:ascii="Times New Roman" w:hAnsi="Times New Roman" w:cs="Times New Roman"/>
          <w:sz w:val="24"/>
          <w:szCs w:val="24"/>
          <w:lang w:val="es-EC"/>
        </w:rPr>
        <w:t>. Documento de trabajo no publicado.</w:t>
      </w:r>
    </w:p>
    <w:p w:rsidR="00C04568" w:rsidRPr="00CD1200" w:rsidRDefault="00C04568" w:rsidP="00564F3E">
      <w:pPr>
        <w:pStyle w:val="Sinespaciado"/>
        <w:tabs>
          <w:tab w:val="left" w:pos="567"/>
        </w:tabs>
        <w:jc w:val="both"/>
        <w:rPr>
          <w:rFonts w:ascii="Times New Roman" w:hAnsi="Times New Roman" w:cs="Times New Roman"/>
          <w:sz w:val="24"/>
          <w:szCs w:val="24"/>
          <w:lang w:val="es-EC"/>
        </w:rPr>
      </w:pPr>
    </w:p>
    <w:p w:rsidR="00C04568" w:rsidRPr="0048237A" w:rsidRDefault="00343082" w:rsidP="00564F3E">
      <w:pPr>
        <w:pStyle w:val="Sinespaciado"/>
        <w:tabs>
          <w:tab w:val="left" w:pos="567"/>
        </w:tabs>
        <w:jc w:val="both"/>
        <w:rPr>
          <w:rFonts w:ascii="Times New Roman" w:hAnsi="Times New Roman" w:cs="Times New Roman"/>
          <w:sz w:val="24"/>
          <w:szCs w:val="24"/>
          <w:lang w:val="es-EC"/>
        </w:rPr>
      </w:pPr>
      <w:r w:rsidRPr="00CD1200">
        <w:rPr>
          <w:rFonts w:ascii="Times New Roman" w:hAnsi="Times New Roman" w:cs="Times New Roman"/>
          <w:sz w:val="24"/>
          <w:szCs w:val="24"/>
          <w:lang w:val="es-EC"/>
        </w:rPr>
        <w:t>Secretaría Nacional de Planificación y Desarrollo (SENPLADES)</w:t>
      </w:r>
      <w:r w:rsidR="007B6BA8" w:rsidRPr="00CD1200">
        <w:rPr>
          <w:rFonts w:ascii="Times New Roman" w:hAnsi="Times New Roman" w:cs="Times New Roman"/>
          <w:sz w:val="24"/>
          <w:szCs w:val="24"/>
          <w:lang w:val="es-EC"/>
        </w:rPr>
        <w:t>.</w:t>
      </w:r>
      <w:r w:rsidRPr="00CD1200">
        <w:rPr>
          <w:rFonts w:ascii="Times New Roman" w:hAnsi="Times New Roman" w:cs="Times New Roman"/>
          <w:sz w:val="24"/>
          <w:szCs w:val="24"/>
          <w:lang w:val="es-EC"/>
        </w:rPr>
        <w:t xml:space="preserve"> 2014</w:t>
      </w:r>
      <w:r w:rsidR="004C2B27" w:rsidRPr="00CD1200">
        <w:rPr>
          <w:rFonts w:ascii="Times New Roman" w:hAnsi="Times New Roman" w:cs="Times New Roman"/>
          <w:sz w:val="24"/>
          <w:szCs w:val="24"/>
          <w:lang w:val="es-EC"/>
        </w:rPr>
        <w:t>d</w:t>
      </w:r>
      <w:r w:rsidRPr="00CD1200">
        <w:rPr>
          <w:rFonts w:ascii="Times New Roman" w:hAnsi="Times New Roman" w:cs="Times New Roman"/>
          <w:sz w:val="24"/>
          <w:szCs w:val="24"/>
          <w:lang w:val="es-EC"/>
        </w:rPr>
        <w:t xml:space="preserve">. </w:t>
      </w:r>
      <w:r w:rsidRPr="00CD1200">
        <w:rPr>
          <w:rFonts w:ascii="Times New Roman" w:hAnsi="Times New Roman" w:cs="Times New Roman"/>
          <w:i/>
          <w:sz w:val="24"/>
          <w:szCs w:val="24"/>
          <w:lang w:val="es-EC"/>
        </w:rPr>
        <w:t>Estrategia Nacional para la Igualdad y la Erradicación de la Pobreza</w:t>
      </w:r>
      <w:r w:rsidRPr="00CD1200">
        <w:rPr>
          <w:rFonts w:ascii="Times New Roman" w:hAnsi="Times New Roman" w:cs="Times New Roman"/>
          <w:sz w:val="24"/>
          <w:szCs w:val="24"/>
          <w:lang w:val="es-EC"/>
        </w:rPr>
        <w:t>. Quito: El Telégrafo.</w:t>
      </w:r>
    </w:p>
    <w:p w:rsidR="00C04568" w:rsidRPr="0048237A" w:rsidRDefault="00C04568" w:rsidP="00564F3E">
      <w:pPr>
        <w:pStyle w:val="Sinespaciado"/>
        <w:tabs>
          <w:tab w:val="left" w:pos="567"/>
        </w:tabs>
        <w:jc w:val="both"/>
        <w:rPr>
          <w:rFonts w:ascii="Times New Roman" w:hAnsi="Times New Roman" w:cs="Times New Roman"/>
          <w:sz w:val="24"/>
          <w:szCs w:val="24"/>
          <w:lang w:val="es-EC"/>
        </w:rPr>
      </w:pPr>
    </w:p>
    <w:p w:rsidR="00C04568" w:rsidRPr="00A5089D" w:rsidRDefault="00343082" w:rsidP="00564F3E">
      <w:pPr>
        <w:pStyle w:val="Sinespaciado"/>
        <w:tabs>
          <w:tab w:val="left" w:pos="567"/>
        </w:tabs>
        <w:jc w:val="both"/>
        <w:rPr>
          <w:rFonts w:ascii="Times New Roman" w:hAnsi="Times New Roman" w:cs="Times New Roman"/>
          <w:color w:val="000000" w:themeColor="text1"/>
          <w:sz w:val="24"/>
          <w:szCs w:val="24"/>
          <w:lang w:val="en-US"/>
        </w:rPr>
      </w:pPr>
      <w:r w:rsidRPr="00A5089D">
        <w:rPr>
          <w:rFonts w:ascii="Times New Roman" w:hAnsi="Times New Roman" w:cs="Times New Roman"/>
          <w:color w:val="000000" w:themeColor="text1"/>
          <w:sz w:val="24"/>
          <w:szCs w:val="24"/>
          <w:lang w:val="es-EC"/>
        </w:rPr>
        <w:t>Secretaría Nacional del Agua (SENAGUA)</w:t>
      </w:r>
      <w:r w:rsidR="007B6BA8" w:rsidRPr="00A5089D">
        <w:rPr>
          <w:rFonts w:ascii="Times New Roman" w:hAnsi="Times New Roman" w:cs="Times New Roman"/>
          <w:color w:val="000000" w:themeColor="text1"/>
          <w:sz w:val="24"/>
          <w:szCs w:val="24"/>
          <w:lang w:val="es-EC"/>
        </w:rPr>
        <w:t>.</w:t>
      </w:r>
      <w:r w:rsidRPr="00A5089D">
        <w:rPr>
          <w:rFonts w:ascii="Times New Roman" w:hAnsi="Times New Roman" w:cs="Times New Roman"/>
          <w:color w:val="000000" w:themeColor="text1"/>
          <w:sz w:val="24"/>
          <w:szCs w:val="24"/>
          <w:lang w:val="es-EC"/>
        </w:rPr>
        <w:t xml:space="preserve"> 2015</w:t>
      </w:r>
      <w:r w:rsidR="00096CE7" w:rsidRPr="00A5089D">
        <w:rPr>
          <w:rFonts w:ascii="Times New Roman" w:hAnsi="Times New Roman" w:cs="Times New Roman"/>
          <w:color w:val="000000" w:themeColor="text1"/>
          <w:sz w:val="24"/>
          <w:szCs w:val="24"/>
          <w:lang w:val="es-EC"/>
        </w:rPr>
        <w:t xml:space="preserve">. </w:t>
      </w:r>
      <w:r w:rsidRPr="00A5089D">
        <w:rPr>
          <w:rFonts w:ascii="Times New Roman" w:hAnsi="Times New Roman" w:cs="Times New Roman"/>
          <w:i/>
          <w:color w:val="000000" w:themeColor="text1"/>
          <w:sz w:val="24"/>
          <w:szCs w:val="24"/>
          <w:lang w:val="es-EC"/>
        </w:rPr>
        <w:t>Estrategia Nacional de Agua y Saneamiento</w:t>
      </w:r>
      <w:r w:rsidRPr="00A5089D">
        <w:rPr>
          <w:rFonts w:ascii="Times New Roman" w:hAnsi="Times New Roman" w:cs="Times New Roman"/>
          <w:color w:val="000000" w:themeColor="text1"/>
          <w:sz w:val="24"/>
          <w:szCs w:val="24"/>
          <w:lang w:val="es-EC"/>
        </w:rPr>
        <w:t xml:space="preserve">. </w:t>
      </w:r>
      <w:r w:rsidRPr="00A5089D">
        <w:rPr>
          <w:rFonts w:ascii="Times New Roman" w:hAnsi="Times New Roman" w:cs="Times New Roman"/>
          <w:color w:val="000000" w:themeColor="text1"/>
          <w:sz w:val="24"/>
          <w:szCs w:val="24"/>
          <w:lang w:val="en-US"/>
        </w:rPr>
        <w:t xml:space="preserve">Quito. </w:t>
      </w:r>
    </w:p>
    <w:p w:rsidR="00CC08D6" w:rsidRPr="00A5089D" w:rsidRDefault="00CC08D6" w:rsidP="00564F3E">
      <w:pPr>
        <w:pStyle w:val="Sinespaciado"/>
        <w:tabs>
          <w:tab w:val="left" w:pos="567"/>
        </w:tabs>
        <w:jc w:val="both"/>
        <w:rPr>
          <w:rFonts w:ascii="Times New Roman" w:hAnsi="Times New Roman" w:cs="Times New Roman"/>
          <w:color w:val="000000" w:themeColor="text1"/>
          <w:sz w:val="24"/>
          <w:szCs w:val="24"/>
          <w:lang w:val="en-US"/>
        </w:rPr>
      </w:pPr>
    </w:p>
    <w:p w:rsidR="00CC08D6" w:rsidRPr="00480316" w:rsidRDefault="00CC08D6" w:rsidP="00564F3E">
      <w:pPr>
        <w:pStyle w:val="Sinespaciado"/>
        <w:tabs>
          <w:tab w:val="left" w:pos="567"/>
        </w:tabs>
        <w:jc w:val="both"/>
        <w:rPr>
          <w:rFonts w:ascii="Times New Roman" w:hAnsi="Times New Roman" w:cs="Times New Roman"/>
          <w:color w:val="000000" w:themeColor="text1"/>
          <w:sz w:val="24"/>
          <w:szCs w:val="24"/>
          <w:lang w:val="en-US"/>
        </w:rPr>
      </w:pPr>
      <w:r w:rsidRPr="00E6011F">
        <w:rPr>
          <w:rFonts w:ascii="Times New Roman" w:hAnsi="Times New Roman" w:cs="Times New Roman"/>
          <w:color w:val="000000" w:themeColor="text1"/>
          <w:sz w:val="24"/>
          <w:szCs w:val="24"/>
          <w:lang w:val="en-US"/>
        </w:rPr>
        <w:lastRenderedPageBreak/>
        <w:t>Zittoun, Philippe</w:t>
      </w:r>
      <w:r w:rsidR="00480316" w:rsidRPr="00E6011F">
        <w:rPr>
          <w:rFonts w:ascii="Times New Roman" w:hAnsi="Times New Roman" w:cs="Times New Roman"/>
          <w:color w:val="000000" w:themeColor="text1"/>
          <w:sz w:val="24"/>
          <w:szCs w:val="24"/>
          <w:lang w:val="en-US"/>
        </w:rPr>
        <w:t>.</w:t>
      </w:r>
      <w:r w:rsidRPr="00E6011F">
        <w:rPr>
          <w:rFonts w:ascii="Times New Roman" w:hAnsi="Times New Roman" w:cs="Times New Roman"/>
          <w:color w:val="000000" w:themeColor="text1"/>
          <w:sz w:val="24"/>
          <w:szCs w:val="24"/>
          <w:lang w:val="en-US"/>
        </w:rPr>
        <w:t xml:space="preserve"> 2009. “Understanding Policy Change as a Discursive Problem”</w:t>
      </w:r>
      <w:r w:rsidR="00480316" w:rsidRPr="00E6011F">
        <w:rPr>
          <w:rFonts w:ascii="Times New Roman" w:hAnsi="Times New Roman" w:cs="Times New Roman"/>
          <w:color w:val="000000" w:themeColor="text1"/>
          <w:sz w:val="24"/>
          <w:szCs w:val="24"/>
          <w:lang w:val="en-US"/>
        </w:rPr>
        <w:t>,</w:t>
      </w:r>
      <w:r w:rsidRPr="00E6011F">
        <w:rPr>
          <w:rFonts w:ascii="Times New Roman" w:hAnsi="Times New Roman" w:cs="Times New Roman"/>
          <w:color w:val="000000" w:themeColor="text1"/>
          <w:sz w:val="24"/>
          <w:szCs w:val="24"/>
          <w:lang w:val="en-US"/>
        </w:rPr>
        <w:t xml:space="preserve"> </w:t>
      </w:r>
      <w:r w:rsidRPr="00E6011F">
        <w:rPr>
          <w:rFonts w:ascii="Times New Roman" w:hAnsi="Times New Roman" w:cs="Times New Roman"/>
          <w:i/>
          <w:color w:val="000000" w:themeColor="text1"/>
          <w:sz w:val="24"/>
          <w:szCs w:val="24"/>
          <w:lang w:val="en-US"/>
        </w:rPr>
        <w:t>Journal of Comparative Policy Analysis: Research and Practice</w:t>
      </w:r>
      <w:r w:rsidR="00E6011F" w:rsidRPr="00E6011F">
        <w:rPr>
          <w:rFonts w:ascii="Times New Roman" w:hAnsi="Times New Roman" w:cs="Times New Roman"/>
          <w:i/>
          <w:color w:val="000000" w:themeColor="text1"/>
          <w:sz w:val="24"/>
          <w:szCs w:val="24"/>
          <w:lang w:val="en-US"/>
        </w:rPr>
        <w:t>,</w:t>
      </w:r>
      <w:r w:rsidR="005A2335" w:rsidRPr="00E6011F">
        <w:rPr>
          <w:rFonts w:ascii="Times New Roman" w:hAnsi="Times New Roman" w:cs="Times New Roman"/>
          <w:color w:val="000000" w:themeColor="text1"/>
          <w:sz w:val="24"/>
          <w:szCs w:val="24"/>
          <w:lang w:val="en-US"/>
        </w:rPr>
        <w:t xml:space="preserve"> 11(1): 65-82.</w:t>
      </w:r>
    </w:p>
    <w:p w:rsidR="00C04568" w:rsidRPr="00480316" w:rsidRDefault="00C04568" w:rsidP="00564F3E">
      <w:pPr>
        <w:pStyle w:val="Sinespaciado"/>
        <w:jc w:val="both"/>
        <w:rPr>
          <w:rFonts w:ascii="Times New Roman" w:eastAsia="Times New Roman" w:hAnsi="Times New Roman" w:cs="Times New Roman"/>
          <w:sz w:val="24"/>
          <w:szCs w:val="24"/>
          <w:lang w:val="en-US"/>
        </w:rPr>
      </w:pPr>
    </w:p>
    <w:p w:rsidR="00CD1200" w:rsidRPr="005965EB" w:rsidRDefault="00CD1200" w:rsidP="00CD1200">
      <w:pPr>
        <w:jc w:val="both"/>
        <w:rPr>
          <w:b/>
          <w:bCs/>
          <w:lang w:val="es-EC"/>
        </w:rPr>
      </w:pPr>
      <w:r w:rsidRPr="005965EB">
        <w:rPr>
          <w:b/>
          <w:bCs/>
          <w:lang w:val="es-EC"/>
        </w:rPr>
        <w:t>Documentos</w:t>
      </w:r>
    </w:p>
    <w:p w:rsidR="00CD1200" w:rsidRDefault="00CD1200" w:rsidP="00564F3E">
      <w:pPr>
        <w:pStyle w:val="Sinespaciado"/>
        <w:jc w:val="both"/>
        <w:rPr>
          <w:rFonts w:ascii="Times New Roman" w:eastAsia="Times New Roman" w:hAnsi="Times New Roman" w:cs="Times New Roman"/>
          <w:sz w:val="24"/>
          <w:szCs w:val="24"/>
        </w:rPr>
      </w:pPr>
    </w:p>
    <w:p w:rsidR="00CD1200" w:rsidRPr="0048237A" w:rsidRDefault="00CD1200" w:rsidP="00CD1200">
      <w:pPr>
        <w:pStyle w:val="Sinespaciado"/>
        <w:jc w:val="both"/>
        <w:rPr>
          <w:rFonts w:ascii="Times New Roman" w:eastAsia="Times New Roman" w:hAnsi="Times New Roman" w:cs="Times New Roman"/>
          <w:sz w:val="24"/>
          <w:szCs w:val="24"/>
          <w:lang w:val="es-EC"/>
        </w:rPr>
      </w:pPr>
      <w:r w:rsidRPr="0048237A">
        <w:rPr>
          <w:rFonts w:ascii="Times New Roman" w:hAnsi="Times New Roman" w:cs="Times New Roman"/>
          <w:sz w:val="24"/>
          <w:szCs w:val="24"/>
          <w:lang w:val="es-EC"/>
        </w:rPr>
        <w:t xml:space="preserve">Código Orgánico de Organización Territorial Autonomía y Descentralización. 2011. </w:t>
      </w:r>
    </w:p>
    <w:p w:rsidR="00CD1200" w:rsidRPr="0048237A" w:rsidRDefault="00CD1200" w:rsidP="00CD1200">
      <w:pPr>
        <w:pStyle w:val="Sinespaciado"/>
        <w:jc w:val="both"/>
        <w:rPr>
          <w:rFonts w:ascii="Times New Roman" w:eastAsia="Times New Roman" w:hAnsi="Times New Roman" w:cs="Times New Roman"/>
          <w:sz w:val="24"/>
          <w:szCs w:val="24"/>
          <w:lang w:val="es-EC"/>
        </w:rPr>
      </w:pPr>
      <w:r w:rsidRPr="0048237A">
        <w:rPr>
          <w:rFonts w:ascii="Times New Roman" w:hAnsi="Times New Roman" w:cs="Times New Roman"/>
          <w:sz w:val="24"/>
          <w:szCs w:val="24"/>
          <w:lang w:val="es-EC"/>
        </w:rPr>
        <w:t xml:space="preserve"> </w:t>
      </w:r>
    </w:p>
    <w:p w:rsidR="00CD1200" w:rsidRPr="0048237A" w:rsidRDefault="00CD1200" w:rsidP="00CD1200">
      <w:pPr>
        <w:pStyle w:val="Sinespaciado"/>
        <w:jc w:val="both"/>
        <w:rPr>
          <w:rFonts w:ascii="Times New Roman" w:eastAsia="Times New Roman" w:hAnsi="Times New Roman" w:cs="Times New Roman"/>
          <w:sz w:val="24"/>
          <w:szCs w:val="24"/>
        </w:rPr>
      </w:pPr>
      <w:r w:rsidRPr="0048237A">
        <w:rPr>
          <w:rFonts w:ascii="Times New Roman" w:hAnsi="Times New Roman" w:cs="Times New Roman"/>
          <w:sz w:val="24"/>
          <w:szCs w:val="24"/>
        </w:rPr>
        <w:t>Constitución de la República del Ecuador. 2008.</w:t>
      </w:r>
    </w:p>
    <w:p w:rsidR="00CD1200" w:rsidRPr="0048237A" w:rsidRDefault="00CD1200" w:rsidP="00564F3E">
      <w:pPr>
        <w:pStyle w:val="Sinespaciado"/>
        <w:jc w:val="both"/>
        <w:rPr>
          <w:rFonts w:ascii="Times New Roman" w:eastAsia="Times New Roman" w:hAnsi="Times New Roman" w:cs="Times New Roman"/>
          <w:sz w:val="24"/>
          <w:szCs w:val="24"/>
        </w:rPr>
      </w:pPr>
    </w:p>
    <w:p w:rsidR="00C04568" w:rsidRDefault="00343082" w:rsidP="00564F3E">
      <w:pPr>
        <w:pStyle w:val="Sinespaciado"/>
        <w:jc w:val="both"/>
        <w:rPr>
          <w:rFonts w:ascii="Times New Roman" w:hAnsi="Times New Roman" w:cs="Times New Roman"/>
          <w:sz w:val="24"/>
          <w:szCs w:val="24"/>
        </w:rPr>
      </w:pPr>
      <w:r w:rsidRPr="0048237A">
        <w:rPr>
          <w:rFonts w:ascii="Times New Roman" w:hAnsi="Times New Roman" w:cs="Times New Roman"/>
          <w:iCs/>
          <w:sz w:val="24"/>
          <w:szCs w:val="24"/>
        </w:rPr>
        <w:t>Texto Unificado de Legislación Ambiental Secundaria</w:t>
      </w:r>
      <w:r w:rsidR="00096CE7" w:rsidRPr="0048237A">
        <w:rPr>
          <w:rFonts w:ascii="Times New Roman" w:hAnsi="Times New Roman" w:cs="Times New Roman"/>
          <w:sz w:val="24"/>
          <w:szCs w:val="24"/>
        </w:rPr>
        <w:t>. 2006.</w:t>
      </w:r>
    </w:p>
    <w:p w:rsidR="00025EBA" w:rsidRDefault="00025EBA" w:rsidP="00564F3E">
      <w:pPr>
        <w:pStyle w:val="Sinespaciado"/>
        <w:jc w:val="both"/>
        <w:rPr>
          <w:rFonts w:ascii="Times New Roman" w:hAnsi="Times New Roman" w:cs="Times New Roman"/>
          <w:sz w:val="24"/>
          <w:szCs w:val="24"/>
        </w:rPr>
      </w:pPr>
    </w:p>
    <w:p w:rsidR="00025EBA" w:rsidRPr="00025EBA" w:rsidRDefault="00025EBA" w:rsidP="00564F3E">
      <w:pPr>
        <w:pStyle w:val="Sinespaciado"/>
        <w:jc w:val="both"/>
        <w:rPr>
          <w:rFonts w:ascii="Times New Roman" w:hAnsi="Times New Roman" w:cs="Times New Roman"/>
          <w:b/>
          <w:sz w:val="24"/>
          <w:szCs w:val="24"/>
        </w:rPr>
      </w:pPr>
      <w:r w:rsidRPr="00025EBA">
        <w:rPr>
          <w:rFonts w:ascii="Times New Roman" w:hAnsi="Times New Roman" w:cs="Times New Roman"/>
          <w:b/>
          <w:sz w:val="24"/>
          <w:szCs w:val="24"/>
        </w:rPr>
        <w:t>Entrevistas</w:t>
      </w:r>
    </w:p>
    <w:p w:rsidR="00025EBA" w:rsidRDefault="00025EBA" w:rsidP="00564F3E">
      <w:pPr>
        <w:pStyle w:val="Sinespaciado"/>
        <w:jc w:val="both"/>
        <w:rPr>
          <w:rFonts w:ascii="Times New Roman" w:hAnsi="Times New Roman" w:cs="Times New Roman"/>
          <w:sz w:val="24"/>
          <w:szCs w:val="24"/>
        </w:rPr>
      </w:pPr>
    </w:p>
    <w:p w:rsidR="00025EBA" w:rsidRPr="0048237A" w:rsidRDefault="00025EBA" w:rsidP="00025EBA">
      <w:pPr>
        <w:pStyle w:val="BodyB"/>
        <w:spacing w:line="240" w:lineRule="auto"/>
        <w:jc w:val="both"/>
        <w:rPr>
          <w:rFonts w:ascii="Times New Roman" w:eastAsia="Times New Roman" w:hAnsi="Times New Roman" w:cs="Times New Roman"/>
          <w:sz w:val="24"/>
          <w:szCs w:val="24"/>
        </w:rPr>
      </w:pPr>
      <w:r w:rsidRPr="0048237A">
        <w:rPr>
          <w:rFonts w:ascii="Times New Roman" w:hAnsi="Times New Roman" w:cs="Times New Roman"/>
          <w:sz w:val="24"/>
          <w:szCs w:val="24"/>
        </w:rPr>
        <w:t xml:space="preserve">Entrevista actor clave Asociación de Municipalidades del Ecuador (EACA). 2016. </w:t>
      </w:r>
      <w:r w:rsidRPr="0048237A">
        <w:rPr>
          <w:rFonts w:ascii="Times New Roman" w:hAnsi="Times New Roman" w:cs="Times New Roman"/>
          <w:i/>
          <w:iCs/>
          <w:sz w:val="24"/>
          <w:szCs w:val="24"/>
        </w:rPr>
        <w:t xml:space="preserve">Entrevista realizada a María Fernanda Maldonado, ex Directora Ejecutiva. </w:t>
      </w:r>
      <w:r w:rsidRPr="0048237A">
        <w:rPr>
          <w:rFonts w:ascii="Times New Roman" w:hAnsi="Times New Roman" w:cs="Times New Roman"/>
          <w:sz w:val="24"/>
          <w:szCs w:val="24"/>
        </w:rPr>
        <w:t>Entrevista realizada el 2</w:t>
      </w:r>
      <w:r w:rsidRPr="0048237A">
        <w:rPr>
          <w:rFonts w:ascii="Times New Roman" w:hAnsi="Times New Roman" w:cs="Times New Roman"/>
          <w:kern w:val="36"/>
          <w:sz w:val="24"/>
          <w:szCs w:val="24"/>
        </w:rPr>
        <w:t>5 de febrero de 2016.</w:t>
      </w:r>
    </w:p>
    <w:p w:rsidR="00025EBA" w:rsidRPr="0048237A" w:rsidRDefault="00025EBA" w:rsidP="00025EBA">
      <w:pPr>
        <w:pStyle w:val="BodyB"/>
        <w:spacing w:line="240" w:lineRule="auto"/>
        <w:jc w:val="both"/>
        <w:rPr>
          <w:rFonts w:ascii="Times New Roman" w:eastAsia="Times New Roman" w:hAnsi="Times New Roman" w:cs="Times New Roman"/>
          <w:kern w:val="36"/>
          <w:sz w:val="24"/>
          <w:szCs w:val="24"/>
        </w:rPr>
      </w:pPr>
      <w:r w:rsidRPr="0048237A">
        <w:rPr>
          <w:rFonts w:ascii="Times New Roman" w:hAnsi="Times New Roman" w:cs="Times New Roman"/>
          <w:sz w:val="24"/>
          <w:szCs w:val="24"/>
        </w:rPr>
        <w:t xml:space="preserve">Entrevista actor clave Secretaría Nacional del Agua. (EACS). 2016. </w:t>
      </w:r>
      <w:r w:rsidRPr="0048237A">
        <w:rPr>
          <w:rFonts w:ascii="Times New Roman" w:hAnsi="Times New Roman" w:cs="Times New Roman"/>
          <w:i/>
          <w:iCs/>
          <w:sz w:val="24"/>
          <w:szCs w:val="24"/>
        </w:rPr>
        <w:t xml:space="preserve">Entrevista realizada a Patricia Aguilar, </w:t>
      </w:r>
      <w:r w:rsidRPr="0048237A">
        <w:rPr>
          <w:rFonts w:ascii="Times New Roman" w:hAnsi="Times New Roman" w:cs="Times New Roman"/>
          <w:sz w:val="24"/>
          <w:szCs w:val="24"/>
        </w:rPr>
        <w:t xml:space="preserve">especialista de Fortalecimiento a la Descentralización de Servicios de Agua Potable y Saneamiento. Entrevista realizada el </w:t>
      </w:r>
      <w:r w:rsidRPr="0048237A">
        <w:rPr>
          <w:rFonts w:ascii="Times New Roman" w:hAnsi="Times New Roman" w:cs="Times New Roman"/>
          <w:kern w:val="36"/>
          <w:sz w:val="24"/>
          <w:szCs w:val="24"/>
        </w:rPr>
        <w:t>18 de marzo de 2016.</w:t>
      </w:r>
    </w:p>
    <w:p w:rsidR="00025EBA" w:rsidRPr="00537D1E" w:rsidRDefault="00025EBA" w:rsidP="00564F3E">
      <w:pPr>
        <w:pStyle w:val="Sinespaciado"/>
        <w:jc w:val="both"/>
        <w:rPr>
          <w:rFonts w:ascii="Times New Roman" w:hAnsi="Times New Roman" w:cs="Times New Roman"/>
          <w:sz w:val="24"/>
          <w:szCs w:val="24"/>
        </w:rPr>
      </w:pPr>
    </w:p>
    <w:sectPr w:rsidR="00025EBA" w:rsidRPr="00537D1E">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7E8" w:rsidRDefault="00CE47E8">
      <w:r>
        <w:separator/>
      </w:r>
    </w:p>
  </w:endnote>
  <w:endnote w:type="continuationSeparator" w:id="0">
    <w:p w:rsidR="00CE47E8" w:rsidRDefault="00CE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7E8" w:rsidRDefault="00CE47E8">
      <w:r>
        <w:separator/>
      </w:r>
    </w:p>
  </w:footnote>
  <w:footnote w:type="continuationSeparator" w:id="0">
    <w:p w:rsidR="00CE47E8" w:rsidRDefault="00CE47E8">
      <w:r>
        <w:continuationSeparator/>
      </w:r>
    </w:p>
  </w:footnote>
  <w:footnote w:type="continuationNotice" w:id="1">
    <w:p w:rsidR="00CE47E8" w:rsidRDefault="00CE47E8"/>
  </w:footnote>
  <w:footnote w:id="2">
    <w:p w:rsidR="00480316" w:rsidRPr="00A31DB1" w:rsidRDefault="00480316">
      <w:pPr>
        <w:pStyle w:val="Textocomentario"/>
        <w:jc w:val="both"/>
        <w:rPr>
          <w:lang w:val="es-EC"/>
        </w:rPr>
      </w:pPr>
      <w:r w:rsidRPr="00847E70">
        <w:rPr>
          <w:color w:val="000000" w:themeColor="text1"/>
          <w:u w:color="0432FF"/>
          <w:vertAlign w:val="superscript"/>
        </w:rPr>
        <w:footnoteRef/>
      </w:r>
      <w:r w:rsidRPr="00847E70">
        <w:rPr>
          <w:color w:val="000000" w:themeColor="text1"/>
          <w:u w:color="FF0000"/>
          <w:lang w:val="es-EC"/>
        </w:rPr>
        <w:t xml:space="preserve"> E</w:t>
      </w:r>
      <w:r w:rsidRPr="00847E70">
        <w:rPr>
          <w:color w:val="000000" w:themeColor="text1"/>
          <w:u w:color="0432FF"/>
          <w:lang w:val="es-EC"/>
        </w:rPr>
        <w:t xml:space="preserve">n términos de Marsh y Smith: “la autoridad </w:t>
      </w:r>
      <w:r w:rsidRPr="00847E70">
        <w:rPr>
          <w:color w:val="000000" w:themeColor="text1"/>
          <w:u w:color="0432FF"/>
          <w:lang w:val="es-ES_tradnl"/>
        </w:rPr>
        <w:t>política, probablemente, es la más importante restricción; siendo difícil, aunque no imposible, ignorar la presión política directa para el cambio” (Marsh y Smith</w:t>
      </w:r>
      <w:r>
        <w:rPr>
          <w:color w:val="000000" w:themeColor="text1"/>
          <w:u w:color="0432FF"/>
          <w:lang w:val="es-ES_tradnl"/>
        </w:rPr>
        <w:t>,</w:t>
      </w:r>
      <w:r w:rsidRPr="00847E70">
        <w:rPr>
          <w:color w:val="000000" w:themeColor="text1"/>
          <w:u w:color="0432FF"/>
          <w:lang w:val="es-ES_tradnl"/>
        </w:rPr>
        <w:t xml:space="preserve"> 200</w:t>
      </w:r>
      <w:r>
        <w:rPr>
          <w:color w:val="000000" w:themeColor="text1"/>
          <w:u w:color="0432FF"/>
          <w:lang w:val="es-ES_tradnl"/>
        </w:rPr>
        <w:t>0:</w:t>
      </w:r>
      <w:r w:rsidRPr="00847E70">
        <w:rPr>
          <w:color w:val="000000" w:themeColor="text1"/>
          <w:u w:color="0432FF"/>
          <w:lang w:val="es-ES_tradnl"/>
        </w:rPr>
        <w:t xml:space="preserve"> 8).</w:t>
      </w:r>
    </w:p>
  </w:footnote>
  <w:footnote w:id="3">
    <w:p w:rsidR="00480316" w:rsidRPr="005740BA" w:rsidRDefault="00480316">
      <w:pPr>
        <w:pStyle w:val="Textonotapie"/>
        <w:rPr>
          <w:rFonts w:ascii="Times New Roman" w:hAnsi="Times New Roman" w:cs="Times New Roman"/>
          <w:lang w:val="es-EC"/>
        </w:rPr>
      </w:pPr>
      <w:r w:rsidRPr="005740BA">
        <w:rPr>
          <w:rStyle w:val="Refdenotaalpie"/>
          <w:rFonts w:ascii="Times New Roman" w:hAnsi="Times New Roman" w:cs="Times New Roman"/>
          <w:sz w:val="20"/>
        </w:rPr>
        <w:footnoteRef/>
      </w:r>
      <w:r>
        <w:rPr>
          <w:rFonts w:ascii="Times New Roman" w:hAnsi="Times New Roman" w:cs="Times New Roman"/>
          <w:sz w:val="20"/>
        </w:rPr>
        <w:t xml:space="preserve"> </w:t>
      </w:r>
      <w:r w:rsidRPr="005740BA">
        <w:rPr>
          <w:rFonts w:ascii="Times New Roman" w:hAnsi="Times New Roman" w:cs="Times New Roman"/>
          <w:sz w:val="20"/>
        </w:rPr>
        <w:t>I</w:t>
      </w:r>
      <w:r w:rsidRPr="005740BA">
        <w:rPr>
          <w:rFonts w:ascii="Times New Roman" w:hAnsi="Times New Roman" w:cs="Times New Roman"/>
          <w:sz w:val="20"/>
          <w:lang w:val="pt-PT"/>
        </w:rPr>
        <w:t>ntervenciones del presidente a través de medios de comunicación públicos y privados.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568"/>
    <w:rsid w:val="000029AD"/>
    <w:rsid w:val="00013F98"/>
    <w:rsid w:val="00025EBA"/>
    <w:rsid w:val="00037308"/>
    <w:rsid w:val="00047230"/>
    <w:rsid w:val="0006190D"/>
    <w:rsid w:val="00064C59"/>
    <w:rsid w:val="0007255D"/>
    <w:rsid w:val="000759BF"/>
    <w:rsid w:val="00076295"/>
    <w:rsid w:val="000907BD"/>
    <w:rsid w:val="000966B8"/>
    <w:rsid w:val="00096CE7"/>
    <w:rsid w:val="000A3793"/>
    <w:rsid w:val="000B47B3"/>
    <w:rsid w:val="000B4A1A"/>
    <w:rsid w:val="000E25A4"/>
    <w:rsid w:val="000E4441"/>
    <w:rsid w:val="000F4B19"/>
    <w:rsid w:val="00106059"/>
    <w:rsid w:val="0011403D"/>
    <w:rsid w:val="00115B91"/>
    <w:rsid w:val="001240C7"/>
    <w:rsid w:val="0012520D"/>
    <w:rsid w:val="00125F20"/>
    <w:rsid w:val="001321C4"/>
    <w:rsid w:val="001818C3"/>
    <w:rsid w:val="001826D0"/>
    <w:rsid w:val="00187D8E"/>
    <w:rsid w:val="00190803"/>
    <w:rsid w:val="001A721D"/>
    <w:rsid w:val="001B0857"/>
    <w:rsid w:val="001C0130"/>
    <w:rsid w:val="001C114F"/>
    <w:rsid w:val="001C514B"/>
    <w:rsid w:val="001C73FA"/>
    <w:rsid w:val="001E44CC"/>
    <w:rsid w:val="001E5411"/>
    <w:rsid w:val="001E6D12"/>
    <w:rsid w:val="001F5A3F"/>
    <w:rsid w:val="0021240D"/>
    <w:rsid w:val="00226458"/>
    <w:rsid w:val="00237A40"/>
    <w:rsid w:val="0024021C"/>
    <w:rsid w:val="0024227B"/>
    <w:rsid w:val="00244622"/>
    <w:rsid w:val="0024557E"/>
    <w:rsid w:val="00250E85"/>
    <w:rsid w:val="002527D8"/>
    <w:rsid w:val="002549B1"/>
    <w:rsid w:val="00256F52"/>
    <w:rsid w:val="00282DDF"/>
    <w:rsid w:val="00296599"/>
    <w:rsid w:val="002973BD"/>
    <w:rsid w:val="002A0445"/>
    <w:rsid w:val="002A0E0B"/>
    <w:rsid w:val="002A42B3"/>
    <w:rsid w:val="002C0799"/>
    <w:rsid w:val="002C79BF"/>
    <w:rsid w:val="002D1F31"/>
    <w:rsid w:val="002D64D4"/>
    <w:rsid w:val="00300CA2"/>
    <w:rsid w:val="00313558"/>
    <w:rsid w:val="00314E1F"/>
    <w:rsid w:val="00317FD0"/>
    <w:rsid w:val="003377A6"/>
    <w:rsid w:val="00337BFA"/>
    <w:rsid w:val="00342161"/>
    <w:rsid w:val="00343082"/>
    <w:rsid w:val="00346947"/>
    <w:rsid w:val="00347ADA"/>
    <w:rsid w:val="00355579"/>
    <w:rsid w:val="00360CF3"/>
    <w:rsid w:val="003651AC"/>
    <w:rsid w:val="00374A11"/>
    <w:rsid w:val="003814A7"/>
    <w:rsid w:val="00395B70"/>
    <w:rsid w:val="00395C47"/>
    <w:rsid w:val="003B502A"/>
    <w:rsid w:val="003C5DF6"/>
    <w:rsid w:val="003F16DC"/>
    <w:rsid w:val="003F280A"/>
    <w:rsid w:val="00444825"/>
    <w:rsid w:val="0044592B"/>
    <w:rsid w:val="00446262"/>
    <w:rsid w:val="0044658F"/>
    <w:rsid w:val="00447A89"/>
    <w:rsid w:val="00451DAB"/>
    <w:rsid w:val="004560C7"/>
    <w:rsid w:val="00462165"/>
    <w:rsid w:val="00475A6C"/>
    <w:rsid w:val="00480316"/>
    <w:rsid w:val="0048237A"/>
    <w:rsid w:val="004B6C81"/>
    <w:rsid w:val="004C2B27"/>
    <w:rsid w:val="004D72FD"/>
    <w:rsid w:val="004E09A0"/>
    <w:rsid w:val="004E3A9C"/>
    <w:rsid w:val="004F2475"/>
    <w:rsid w:val="00522A27"/>
    <w:rsid w:val="0053033F"/>
    <w:rsid w:val="00530C67"/>
    <w:rsid w:val="00535C88"/>
    <w:rsid w:val="00537D1E"/>
    <w:rsid w:val="00540746"/>
    <w:rsid w:val="00540862"/>
    <w:rsid w:val="00544232"/>
    <w:rsid w:val="00544A6C"/>
    <w:rsid w:val="00554028"/>
    <w:rsid w:val="00555836"/>
    <w:rsid w:val="00564F3E"/>
    <w:rsid w:val="00565BF1"/>
    <w:rsid w:val="00571213"/>
    <w:rsid w:val="005713FD"/>
    <w:rsid w:val="00571C54"/>
    <w:rsid w:val="005740BA"/>
    <w:rsid w:val="00581F64"/>
    <w:rsid w:val="0058285B"/>
    <w:rsid w:val="00584D9C"/>
    <w:rsid w:val="00593186"/>
    <w:rsid w:val="00595045"/>
    <w:rsid w:val="005965EB"/>
    <w:rsid w:val="00597A80"/>
    <w:rsid w:val="005A0574"/>
    <w:rsid w:val="005A1DFA"/>
    <w:rsid w:val="005A2335"/>
    <w:rsid w:val="005B3A0B"/>
    <w:rsid w:val="005C5A43"/>
    <w:rsid w:val="005F25A0"/>
    <w:rsid w:val="005F4D43"/>
    <w:rsid w:val="005F6A74"/>
    <w:rsid w:val="00601550"/>
    <w:rsid w:val="00611320"/>
    <w:rsid w:val="00612C33"/>
    <w:rsid w:val="00617201"/>
    <w:rsid w:val="006201BE"/>
    <w:rsid w:val="00625D3E"/>
    <w:rsid w:val="006316A9"/>
    <w:rsid w:val="0063604B"/>
    <w:rsid w:val="00640650"/>
    <w:rsid w:val="00651DFA"/>
    <w:rsid w:val="0066152D"/>
    <w:rsid w:val="006933E3"/>
    <w:rsid w:val="006952DD"/>
    <w:rsid w:val="006A6688"/>
    <w:rsid w:val="006B0895"/>
    <w:rsid w:val="006B657B"/>
    <w:rsid w:val="006B6C79"/>
    <w:rsid w:val="006C628B"/>
    <w:rsid w:val="006C68BC"/>
    <w:rsid w:val="006E1A45"/>
    <w:rsid w:val="006F1DC5"/>
    <w:rsid w:val="00721A59"/>
    <w:rsid w:val="00722853"/>
    <w:rsid w:val="00732F6F"/>
    <w:rsid w:val="00745BDB"/>
    <w:rsid w:val="007608BB"/>
    <w:rsid w:val="007802DA"/>
    <w:rsid w:val="0078484E"/>
    <w:rsid w:val="007B0073"/>
    <w:rsid w:val="007B6BA8"/>
    <w:rsid w:val="007D357F"/>
    <w:rsid w:val="007E4E74"/>
    <w:rsid w:val="007F7717"/>
    <w:rsid w:val="00821CE7"/>
    <w:rsid w:val="00823830"/>
    <w:rsid w:val="008324FF"/>
    <w:rsid w:val="00835701"/>
    <w:rsid w:val="0084157D"/>
    <w:rsid w:val="0084794D"/>
    <w:rsid w:val="00847E70"/>
    <w:rsid w:val="00852773"/>
    <w:rsid w:val="00853AD5"/>
    <w:rsid w:val="00860EF9"/>
    <w:rsid w:val="00863647"/>
    <w:rsid w:val="00897239"/>
    <w:rsid w:val="008A0871"/>
    <w:rsid w:val="008A1B45"/>
    <w:rsid w:val="008C402F"/>
    <w:rsid w:val="008C4EB4"/>
    <w:rsid w:val="008C7DC7"/>
    <w:rsid w:val="008E438C"/>
    <w:rsid w:val="008E722E"/>
    <w:rsid w:val="008F02A2"/>
    <w:rsid w:val="008F1854"/>
    <w:rsid w:val="008F6449"/>
    <w:rsid w:val="00903B07"/>
    <w:rsid w:val="009054C4"/>
    <w:rsid w:val="00915D72"/>
    <w:rsid w:val="00920DA1"/>
    <w:rsid w:val="00922389"/>
    <w:rsid w:val="009276AE"/>
    <w:rsid w:val="0093084C"/>
    <w:rsid w:val="00930DC3"/>
    <w:rsid w:val="0093224F"/>
    <w:rsid w:val="00940CF2"/>
    <w:rsid w:val="009475BE"/>
    <w:rsid w:val="009501F5"/>
    <w:rsid w:val="00952348"/>
    <w:rsid w:val="009526A0"/>
    <w:rsid w:val="00983B02"/>
    <w:rsid w:val="009840CB"/>
    <w:rsid w:val="0098556C"/>
    <w:rsid w:val="009966FA"/>
    <w:rsid w:val="009A53E5"/>
    <w:rsid w:val="009B46FB"/>
    <w:rsid w:val="009C0BB5"/>
    <w:rsid w:val="009C1B7F"/>
    <w:rsid w:val="009C5423"/>
    <w:rsid w:val="009C6F83"/>
    <w:rsid w:val="009D307F"/>
    <w:rsid w:val="009E17B5"/>
    <w:rsid w:val="009E1A1B"/>
    <w:rsid w:val="009E4686"/>
    <w:rsid w:val="00A026BF"/>
    <w:rsid w:val="00A10D23"/>
    <w:rsid w:val="00A170F1"/>
    <w:rsid w:val="00A31DB1"/>
    <w:rsid w:val="00A329AA"/>
    <w:rsid w:val="00A47B67"/>
    <w:rsid w:val="00A5089D"/>
    <w:rsid w:val="00A512DF"/>
    <w:rsid w:val="00A565C6"/>
    <w:rsid w:val="00A8200D"/>
    <w:rsid w:val="00A823D6"/>
    <w:rsid w:val="00A84F71"/>
    <w:rsid w:val="00A93600"/>
    <w:rsid w:val="00AA5CEF"/>
    <w:rsid w:val="00AA6FA2"/>
    <w:rsid w:val="00AB0292"/>
    <w:rsid w:val="00AD4938"/>
    <w:rsid w:val="00AD56DB"/>
    <w:rsid w:val="00AD6AFB"/>
    <w:rsid w:val="00AE265F"/>
    <w:rsid w:val="00AE7EF9"/>
    <w:rsid w:val="00AF0DC9"/>
    <w:rsid w:val="00AF4A7C"/>
    <w:rsid w:val="00B14EB7"/>
    <w:rsid w:val="00B15600"/>
    <w:rsid w:val="00B166E3"/>
    <w:rsid w:val="00B2508D"/>
    <w:rsid w:val="00B27BE8"/>
    <w:rsid w:val="00B3522D"/>
    <w:rsid w:val="00B54071"/>
    <w:rsid w:val="00B54E2E"/>
    <w:rsid w:val="00B573EA"/>
    <w:rsid w:val="00B65652"/>
    <w:rsid w:val="00BA6C45"/>
    <w:rsid w:val="00BB3857"/>
    <w:rsid w:val="00BC3329"/>
    <w:rsid w:val="00BD191D"/>
    <w:rsid w:val="00BD28BE"/>
    <w:rsid w:val="00BD5857"/>
    <w:rsid w:val="00BD61E7"/>
    <w:rsid w:val="00BE0880"/>
    <w:rsid w:val="00BE7487"/>
    <w:rsid w:val="00BF3394"/>
    <w:rsid w:val="00C04568"/>
    <w:rsid w:val="00C15B26"/>
    <w:rsid w:val="00C2124E"/>
    <w:rsid w:val="00C21745"/>
    <w:rsid w:val="00C30CC3"/>
    <w:rsid w:val="00C33BF7"/>
    <w:rsid w:val="00C5014A"/>
    <w:rsid w:val="00C53818"/>
    <w:rsid w:val="00C56664"/>
    <w:rsid w:val="00C60324"/>
    <w:rsid w:val="00C63CC2"/>
    <w:rsid w:val="00C67D06"/>
    <w:rsid w:val="00C72667"/>
    <w:rsid w:val="00C9094C"/>
    <w:rsid w:val="00CB12D5"/>
    <w:rsid w:val="00CC08D6"/>
    <w:rsid w:val="00CC4728"/>
    <w:rsid w:val="00CD1200"/>
    <w:rsid w:val="00CE47E8"/>
    <w:rsid w:val="00CF3F38"/>
    <w:rsid w:val="00D03E43"/>
    <w:rsid w:val="00D04963"/>
    <w:rsid w:val="00D05C25"/>
    <w:rsid w:val="00D07939"/>
    <w:rsid w:val="00D07B4D"/>
    <w:rsid w:val="00D1109F"/>
    <w:rsid w:val="00D14C60"/>
    <w:rsid w:val="00D164B4"/>
    <w:rsid w:val="00D24410"/>
    <w:rsid w:val="00D30FF2"/>
    <w:rsid w:val="00D4005E"/>
    <w:rsid w:val="00D41873"/>
    <w:rsid w:val="00D52348"/>
    <w:rsid w:val="00D65E17"/>
    <w:rsid w:val="00D82373"/>
    <w:rsid w:val="00D90D7A"/>
    <w:rsid w:val="00DB0DB2"/>
    <w:rsid w:val="00DD3AEA"/>
    <w:rsid w:val="00DE6D93"/>
    <w:rsid w:val="00DE6F93"/>
    <w:rsid w:val="00E072E7"/>
    <w:rsid w:val="00E20B1B"/>
    <w:rsid w:val="00E41039"/>
    <w:rsid w:val="00E57ACE"/>
    <w:rsid w:val="00E6011F"/>
    <w:rsid w:val="00E62F66"/>
    <w:rsid w:val="00E6434E"/>
    <w:rsid w:val="00E70075"/>
    <w:rsid w:val="00E75B0B"/>
    <w:rsid w:val="00E76F21"/>
    <w:rsid w:val="00E842CD"/>
    <w:rsid w:val="00E84320"/>
    <w:rsid w:val="00E970FA"/>
    <w:rsid w:val="00EB67F4"/>
    <w:rsid w:val="00ED33CE"/>
    <w:rsid w:val="00ED47BE"/>
    <w:rsid w:val="00EE0DBA"/>
    <w:rsid w:val="00EE2366"/>
    <w:rsid w:val="00EE2746"/>
    <w:rsid w:val="00EF1EEA"/>
    <w:rsid w:val="00EF20A0"/>
    <w:rsid w:val="00EF49D0"/>
    <w:rsid w:val="00F065FF"/>
    <w:rsid w:val="00F13909"/>
    <w:rsid w:val="00F249B1"/>
    <w:rsid w:val="00F25C66"/>
    <w:rsid w:val="00F3604F"/>
    <w:rsid w:val="00F5170B"/>
    <w:rsid w:val="00F53AE3"/>
    <w:rsid w:val="00F55DF3"/>
    <w:rsid w:val="00F56334"/>
    <w:rsid w:val="00F60874"/>
    <w:rsid w:val="00F62838"/>
    <w:rsid w:val="00F645BC"/>
    <w:rsid w:val="00F81032"/>
    <w:rsid w:val="00F86E50"/>
    <w:rsid w:val="00F873F5"/>
    <w:rsid w:val="00F95696"/>
    <w:rsid w:val="00F95A09"/>
    <w:rsid w:val="00FB5708"/>
    <w:rsid w:val="00FF007C"/>
    <w:rsid w:val="00FF1069"/>
    <w:rsid w:val="00FF4963"/>
    <w:rsid w:val="00FF59C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C" w:eastAsia="es-EC"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tulo1">
    <w:name w:val="heading 1"/>
    <w:next w:val="BodyB"/>
    <w:pPr>
      <w:keepNext/>
      <w:keepLines/>
      <w:spacing w:before="480" w:line="276" w:lineRule="auto"/>
      <w:outlineLvl w:val="0"/>
    </w:pPr>
    <w:rPr>
      <w:rFonts w:ascii="Helvetica" w:hAnsi="Helvetica" w:cs="Arial Unicode MS"/>
      <w:b/>
      <w:bCs/>
      <w:color w:val="365F91"/>
      <w:sz w:val="28"/>
      <w:szCs w:val="28"/>
      <w:u w:color="365F91"/>
      <w:lang w:val="es-ES_tradnl"/>
    </w:rPr>
  </w:style>
  <w:style w:type="paragraph" w:styleId="Ttulo2">
    <w:name w:val="heading 2"/>
    <w:next w:val="BodyB"/>
    <w:pPr>
      <w:keepNext/>
      <w:keepLines/>
      <w:spacing w:before="200" w:line="276" w:lineRule="auto"/>
      <w:outlineLvl w:val="1"/>
    </w:pPr>
    <w:rPr>
      <w:rFonts w:ascii="Helvetica" w:hAnsi="Helvetica" w:cs="Arial Unicode MS"/>
      <w:b/>
      <w:bCs/>
      <w:color w:val="4F81BD"/>
      <w:sz w:val="26"/>
      <w:szCs w:val="26"/>
      <w:u w:color="4F81BD"/>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Sinespaciado">
    <w:name w:val="No Spacing"/>
    <w:aliases w:val="Glosario"/>
    <w:link w:val="SinespaciadoCar"/>
    <w:uiPriority w:val="1"/>
    <w:qFormat/>
    <w:rPr>
      <w:rFonts w:ascii="Helvetica" w:hAnsi="Helvetica" w:cs="Arial Unicode MS"/>
      <w:color w:val="000000"/>
      <w:sz w:val="22"/>
      <w:szCs w:val="22"/>
      <w:u w:color="000000"/>
      <w:lang w:val="es-ES_tradnl"/>
    </w:rPr>
  </w:style>
  <w:style w:type="paragraph" w:styleId="Textonotapie">
    <w:name w:val="footnote text"/>
    <w:pPr>
      <w:spacing w:after="200" w:line="276" w:lineRule="auto"/>
    </w:pPr>
    <w:rPr>
      <w:rFonts w:ascii="Calibri" w:eastAsia="Calibri" w:hAnsi="Calibri" w:cs="Calibri"/>
      <w:color w:val="000000"/>
      <w:sz w:val="22"/>
      <w:szCs w:val="22"/>
      <w:u w:color="000000"/>
      <w:lang w:val="es-ES_tradnl"/>
    </w:rPr>
  </w:style>
  <w:style w:type="character" w:customStyle="1" w:styleId="Hyperlink0">
    <w:name w:val="Hyperlink.0"/>
    <w:rPr>
      <w:rFonts w:ascii="Times New Roman" w:hAnsi="Times New Roman"/>
      <w:color w:val="FF0000"/>
      <w:sz w:val="20"/>
      <w:szCs w:val="20"/>
      <w:u w:color="FF0000"/>
      <w:lang w:val="es-ES_tradnl"/>
    </w:rPr>
  </w:style>
  <w:style w:type="paragraph" w:customStyle="1" w:styleId="BodyA">
    <w:name w:val="Body A"/>
    <w:pPr>
      <w:spacing w:after="200" w:line="276" w:lineRule="auto"/>
    </w:pPr>
    <w:rPr>
      <w:rFonts w:ascii="Calibri" w:eastAsia="Calibri" w:hAnsi="Calibri" w:cs="Calibri"/>
      <w:color w:val="000000"/>
      <w:sz w:val="22"/>
      <w:szCs w:val="22"/>
      <w:u w:color="000000"/>
      <w:lang w:val="es-ES_tradnl"/>
    </w:rPr>
  </w:style>
  <w:style w:type="paragraph" w:customStyle="1" w:styleId="paragraph">
    <w:name w:val="paragraph"/>
    <w:pPr>
      <w:spacing w:before="100" w:after="100" w:line="276" w:lineRule="auto"/>
    </w:pPr>
    <w:rPr>
      <w:rFonts w:ascii="Helvetica" w:hAnsi="Helvetica" w:cs="Arial Unicode MS"/>
      <w:color w:val="000000"/>
      <w:sz w:val="24"/>
      <w:szCs w:val="24"/>
      <w:u w:color="000000"/>
      <w:lang w:val="es-ES_tradnl"/>
    </w:rPr>
  </w:style>
  <w:style w:type="paragraph" w:customStyle="1" w:styleId="BodyB">
    <w:name w:val="Body B"/>
    <w:pPr>
      <w:spacing w:after="200" w:line="276" w:lineRule="auto"/>
    </w:pPr>
    <w:rPr>
      <w:rFonts w:ascii="Helvetica" w:hAnsi="Helvetica" w:cs="Arial Unicode MS"/>
      <w:color w:val="000000"/>
      <w:sz w:val="22"/>
      <w:szCs w:val="22"/>
      <w:u w:color="000000"/>
      <w:lang w:val="es-ES_tradnl"/>
    </w:rPr>
  </w:style>
  <w:style w:type="paragraph" w:styleId="Prrafodelista">
    <w:name w:val="List Paragraph"/>
    <w:pPr>
      <w:spacing w:after="200" w:line="276" w:lineRule="auto"/>
      <w:ind w:left="720"/>
    </w:pPr>
    <w:rPr>
      <w:rFonts w:ascii="Helvetica" w:hAnsi="Helvetica" w:cs="Arial Unicode MS"/>
      <w:color w:val="000000"/>
      <w:sz w:val="22"/>
      <w:szCs w:val="22"/>
      <w:u w:color="000000"/>
      <w:lang w:val="es-ES_tradnl"/>
    </w:rPr>
  </w:style>
  <w:style w:type="paragraph" w:styleId="Textocomentario">
    <w:name w:val="annotation text"/>
    <w:rPr>
      <w:rFonts w:eastAsia="Times New Roman"/>
      <w:color w:val="000000"/>
      <w:u w:color="000000"/>
      <w:lang w:val="en-US"/>
    </w:rPr>
  </w:style>
  <w:style w:type="paragraph" w:customStyle="1" w:styleId="BodyAA">
    <w:name w:val="Body A A"/>
    <w:pPr>
      <w:spacing w:after="200" w:line="276" w:lineRule="auto"/>
    </w:pPr>
    <w:rPr>
      <w:rFonts w:ascii="Calibri" w:eastAsia="Calibri" w:hAnsi="Calibri" w:cs="Calibri"/>
      <w:color w:val="000000"/>
      <w:sz w:val="22"/>
      <w:szCs w:val="22"/>
      <w:u w:color="000000"/>
      <w:lang w:val="es-ES_tradnl"/>
    </w:rPr>
  </w:style>
  <w:style w:type="paragraph" w:customStyle="1" w:styleId="Default">
    <w:name w:val="Default"/>
    <w:rPr>
      <w:rFonts w:ascii="Helvetica Neue" w:hAnsi="Helvetica Neue" w:cs="Arial Unicode MS"/>
      <w:color w:val="000000"/>
      <w:sz w:val="22"/>
      <w:szCs w:val="22"/>
      <w:u w:color="000000"/>
      <w:lang w:val="es-ES_tradnl"/>
    </w:rPr>
  </w:style>
  <w:style w:type="paragraph" w:styleId="Epgrafe">
    <w:name w:val="caption"/>
    <w:next w:val="BodyB"/>
    <w:uiPriority w:val="35"/>
    <w:qFormat/>
    <w:pPr>
      <w:spacing w:after="200"/>
    </w:pPr>
    <w:rPr>
      <w:rFonts w:ascii="Helvetica" w:hAnsi="Helvetica" w:cs="Arial Unicode MS"/>
      <w:b/>
      <w:bCs/>
      <w:color w:val="4F81BD"/>
      <w:sz w:val="18"/>
      <w:szCs w:val="18"/>
      <w:u w:color="4F81BD"/>
      <w:lang w:val="es-ES_tradnl"/>
    </w:rPr>
  </w:style>
  <w:style w:type="paragraph" w:customStyle="1" w:styleId="SubtitleA">
    <w:name w:val="Subtitle A"/>
    <w:next w:val="Body"/>
    <w:rPr>
      <w:rFonts w:eastAsia="Times New Roman"/>
      <w:i/>
      <w:iCs/>
      <w:color w:val="4F81BD"/>
      <w:spacing w:val="15"/>
      <w:sz w:val="24"/>
      <w:szCs w:val="24"/>
      <w:u w:color="4F81BD"/>
      <w:lang w:val="en-US"/>
    </w:rPr>
  </w:style>
  <w:style w:type="paragraph" w:customStyle="1" w:styleId="Body">
    <w:name w:val="Body"/>
    <w:rPr>
      <w:rFonts w:eastAsia="Times New Roman"/>
      <w:color w:val="000000"/>
      <w:sz w:val="24"/>
      <w:szCs w:val="24"/>
      <w:u w:color="000000"/>
    </w:rPr>
  </w:style>
  <w:style w:type="paragraph" w:customStyle="1" w:styleId="BodyC">
    <w:name w:val="Body C"/>
    <w:rPr>
      <w:rFonts w:cs="Arial Unicode MS"/>
      <w:color w:val="000000"/>
      <w:sz w:val="24"/>
      <w:szCs w:val="24"/>
      <w:u w:color="000000"/>
      <w:lang w:val="es-ES_tradnl"/>
    </w:rPr>
  </w:style>
  <w:style w:type="paragraph" w:customStyle="1" w:styleId="SubtitleAA">
    <w:name w:val="Subtitle A A"/>
    <w:next w:val="BodyC"/>
    <w:rPr>
      <w:rFonts w:ascii="Helvetica" w:eastAsia="Helvetica" w:hAnsi="Helvetica" w:cs="Helvetica"/>
      <w:i/>
      <w:iCs/>
      <w:color w:val="4F81BD"/>
      <w:spacing w:val="15"/>
      <w:sz w:val="24"/>
      <w:szCs w:val="24"/>
      <w:u w:color="4F81BD"/>
      <w:lang w:val="en-US"/>
    </w:rPr>
  </w:style>
  <w:style w:type="paragraph" w:styleId="Bibliografa">
    <w:name w:val="Bibliography"/>
    <w:next w:val="BodyA"/>
    <w:pPr>
      <w:spacing w:after="200" w:line="276" w:lineRule="auto"/>
    </w:pPr>
    <w:rPr>
      <w:rFonts w:ascii="Calibri" w:eastAsia="Calibri" w:hAnsi="Calibri" w:cs="Calibri"/>
      <w:color w:val="000000"/>
      <w:sz w:val="22"/>
      <w:szCs w:val="22"/>
      <w:u w:color="000000"/>
      <w:lang w:val="es-ES_tradnl"/>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E44CC"/>
    <w:rPr>
      <w:rFonts w:ascii="Tahoma" w:hAnsi="Tahoma" w:cs="Tahoma"/>
      <w:sz w:val="16"/>
      <w:szCs w:val="16"/>
    </w:rPr>
  </w:style>
  <w:style w:type="character" w:customStyle="1" w:styleId="TextodegloboCar">
    <w:name w:val="Texto de globo Car"/>
    <w:basedOn w:val="Fuentedeprrafopredeter"/>
    <w:link w:val="Textodeglobo"/>
    <w:uiPriority w:val="99"/>
    <w:semiHidden/>
    <w:rsid w:val="001E44CC"/>
    <w:rPr>
      <w:rFonts w:ascii="Tahoma" w:hAnsi="Tahoma" w:cs="Tahoma"/>
      <w:sz w:val="16"/>
      <w:szCs w:val="16"/>
      <w:lang w:val="en-US" w:eastAsia="en-US"/>
    </w:rPr>
  </w:style>
  <w:style w:type="table" w:styleId="Tablaconcuadrcula">
    <w:name w:val="Table Grid"/>
    <w:basedOn w:val="Tablanormal"/>
    <w:uiPriority w:val="59"/>
    <w:rsid w:val="00343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A3793"/>
    <w:pPr>
      <w:tabs>
        <w:tab w:val="center" w:pos="4252"/>
        <w:tab w:val="right" w:pos="8504"/>
      </w:tabs>
    </w:pPr>
  </w:style>
  <w:style w:type="character" w:customStyle="1" w:styleId="EncabezadoCar">
    <w:name w:val="Encabezado Car"/>
    <w:basedOn w:val="Fuentedeprrafopredeter"/>
    <w:link w:val="Encabezado"/>
    <w:uiPriority w:val="99"/>
    <w:rsid w:val="000A3793"/>
    <w:rPr>
      <w:sz w:val="24"/>
      <w:szCs w:val="24"/>
      <w:lang w:val="en-US" w:eastAsia="en-US"/>
    </w:rPr>
  </w:style>
  <w:style w:type="paragraph" w:styleId="Piedepgina">
    <w:name w:val="footer"/>
    <w:basedOn w:val="Normal"/>
    <w:link w:val="PiedepginaCar"/>
    <w:uiPriority w:val="99"/>
    <w:unhideWhenUsed/>
    <w:rsid w:val="000A3793"/>
    <w:pPr>
      <w:tabs>
        <w:tab w:val="center" w:pos="4252"/>
        <w:tab w:val="right" w:pos="8504"/>
      </w:tabs>
    </w:pPr>
  </w:style>
  <w:style w:type="character" w:customStyle="1" w:styleId="PiedepginaCar">
    <w:name w:val="Pie de página Car"/>
    <w:basedOn w:val="Fuentedeprrafopredeter"/>
    <w:link w:val="Piedepgina"/>
    <w:uiPriority w:val="99"/>
    <w:rsid w:val="000A3793"/>
    <w:rPr>
      <w:sz w:val="24"/>
      <w:szCs w:val="24"/>
      <w:lang w:val="en-US" w:eastAsia="en-US"/>
    </w:rPr>
  </w:style>
  <w:style w:type="character" w:styleId="Refdenotaalpie">
    <w:name w:val="footnote reference"/>
    <w:basedOn w:val="Fuentedeprrafopredeter"/>
    <w:uiPriority w:val="99"/>
    <w:semiHidden/>
    <w:unhideWhenUsed/>
    <w:rsid w:val="005740BA"/>
    <w:rPr>
      <w:vertAlign w:val="superscript"/>
    </w:rPr>
  </w:style>
  <w:style w:type="paragraph" w:styleId="Subttulo">
    <w:name w:val="Subtitle"/>
    <w:basedOn w:val="Normal"/>
    <w:next w:val="Normal"/>
    <w:link w:val="SubttuloCar"/>
    <w:uiPriority w:val="11"/>
    <w:qFormat/>
    <w:rsid w:val="000B47B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0B47B3"/>
    <w:rPr>
      <w:rFonts w:asciiTheme="majorHAnsi" w:eastAsiaTheme="majorEastAsia" w:hAnsiTheme="majorHAnsi" w:cstheme="majorBidi"/>
      <w:i/>
      <w:iCs/>
      <w:color w:val="4F81BD" w:themeColor="accent1"/>
      <w:spacing w:val="15"/>
      <w:sz w:val="24"/>
      <w:szCs w:val="24"/>
      <w:lang w:val="en-US" w:eastAsia="en-US"/>
    </w:rPr>
  </w:style>
  <w:style w:type="paragraph" w:styleId="Cita">
    <w:name w:val="Quote"/>
    <w:basedOn w:val="Normal"/>
    <w:next w:val="Normal"/>
    <w:link w:val="CitaCar"/>
    <w:uiPriority w:val="29"/>
    <w:qFormat/>
    <w:rsid w:val="000B47B3"/>
    <w:rPr>
      <w:i/>
      <w:iCs/>
      <w:color w:val="000000" w:themeColor="text1"/>
    </w:rPr>
  </w:style>
  <w:style w:type="character" w:customStyle="1" w:styleId="CitaCar">
    <w:name w:val="Cita Car"/>
    <w:basedOn w:val="Fuentedeprrafopredeter"/>
    <w:link w:val="Cita"/>
    <w:uiPriority w:val="29"/>
    <w:rsid w:val="000B47B3"/>
    <w:rPr>
      <w:i/>
      <w:iCs/>
      <w:color w:val="000000" w:themeColor="text1"/>
      <w:sz w:val="24"/>
      <w:szCs w:val="24"/>
      <w:lang w:val="en-US" w:eastAsia="en-US"/>
    </w:rPr>
  </w:style>
  <w:style w:type="character" w:customStyle="1" w:styleId="SinespaciadoCar">
    <w:name w:val="Sin espaciado Car"/>
    <w:aliases w:val="Glosario Car"/>
    <w:basedOn w:val="Fuentedeprrafopredeter"/>
    <w:link w:val="Sinespaciado"/>
    <w:uiPriority w:val="1"/>
    <w:rsid w:val="001321C4"/>
    <w:rPr>
      <w:rFonts w:ascii="Helvetica" w:hAnsi="Helvetica" w:cs="Arial Unicode MS"/>
      <w:color w:val="000000"/>
      <w:sz w:val="22"/>
      <w:szCs w:val="22"/>
      <w:u w:color="00000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C" w:eastAsia="es-EC"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tulo1">
    <w:name w:val="heading 1"/>
    <w:next w:val="BodyB"/>
    <w:pPr>
      <w:keepNext/>
      <w:keepLines/>
      <w:spacing w:before="480" w:line="276" w:lineRule="auto"/>
      <w:outlineLvl w:val="0"/>
    </w:pPr>
    <w:rPr>
      <w:rFonts w:ascii="Helvetica" w:hAnsi="Helvetica" w:cs="Arial Unicode MS"/>
      <w:b/>
      <w:bCs/>
      <w:color w:val="365F91"/>
      <w:sz w:val="28"/>
      <w:szCs w:val="28"/>
      <w:u w:color="365F91"/>
      <w:lang w:val="es-ES_tradnl"/>
    </w:rPr>
  </w:style>
  <w:style w:type="paragraph" w:styleId="Ttulo2">
    <w:name w:val="heading 2"/>
    <w:next w:val="BodyB"/>
    <w:pPr>
      <w:keepNext/>
      <w:keepLines/>
      <w:spacing w:before="200" w:line="276" w:lineRule="auto"/>
      <w:outlineLvl w:val="1"/>
    </w:pPr>
    <w:rPr>
      <w:rFonts w:ascii="Helvetica" w:hAnsi="Helvetica" w:cs="Arial Unicode MS"/>
      <w:b/>
      <w:bCs/>
      <w:color w:val="4F81BD"/>
      <w:sz w:val="26"/>
      <w:szCs w:val="26"/>
      <w:u w:color="4F81BD"/>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Sinespaciado">
    <w:name w:val="No Spacing"/>
    <w:aliases w:val="Glosario"/>
    <w:link w:val="SinespaciadoCar"/>
    <w:uiPriority w:val="1"/>
    <w:qFormat/>
    <w:rPr>
      <w:rFonts w:ascii="Helvetica" w:hAnsi="Helvetica" w:cs="Arial Unicode MS"/>
      <w:color w:val="000000"/>
      <w:sz w:val="22"/>
      <w:szCs w:val="22"/>
      <w:u w:color="000000"/>
      <w:lang w:val="es-ES_tradnl"/>
    </w:rPr>
  </w:style>
  <w:style w:type="paragraph" w:styleId="Textonotapie">
    <w:name w:val="footnote text"/>
    <w:pPr>
      <w:spacing w:after="200" w:line="276" w:lineRule="auto"/>
    </w:pPr>
    <w:rPr>
      <w:rFonts w:ascii="Calibri" w:eastAsia="Calibri" w:hAnsi="Calibri" w:cs="Calibri"/>
      <w:color w:val="000000"/>
      <w:sz w:val="22"/>
      <w:szCs w:val="22"/>
      <w:u w:color="000000"/>
      <w:lang w:val="es-ES_tradnl"/>
    </w:rPr>
  </w:style>
  <w:style w:type="character" w:customStyle="1" w:styleId="Hyperlink0">
    <w:name w:val="Hyperlink.0"/>
    <w:rPr>
      <w:rFonts w:ascii="Times New Roman" w:hAnsi="Times New Roman"/>
      <w:color w:val="FF0000"/>
      <w:sz w:val="20"/>
      <w:szCs w:val="20"/>
      <w:u w:color="FF0000"/>
      <w:lang w:val="es-ES_tradnl"/>
    </w:rPr>
  </w:style>
  <w:style w:type="paragraph" w:customStyle="1" w:styleId="BodyA">
    <w:name w:val="Body A"/>
    <w:pPr>
      <w:spacing w:after="200" w:line="276" w:lineRule="auto"/>
    </w:pPr>
    <w:rPr>
      <w:rFonts w:ascii="Calibri" w:eastAsia="Calibri" w:hAnsi="Calibri" w:cs="Calibri"/>
      <w:color w:val="000000"/>
      <w:sz w:val="22"/>
      <w:szCs w:val="22"/>
      <w:u w:color="000000"/>
      <w:lang w:val="es-ES_tradnl"/>
    </w:rPr>
  </w:style>
  <w:style w:type="paragraph" w:customStyle="1" w:styleId="paragraph">
    <w:name w:val="paragraph"/>
    <w:pPr>
      <w:spacing w:before="100" w:after="100" w:line="276" w:lineRule="auto"/>
    </w:pPr>
    <w:rPr>
      <w:rFonts w:ascii="Helvetica" w:hAnsi="Helvetica" w:cs="Arial Unicode MS"/>
      <w:color w:val="000000"/>
      <w:sz w:val="24"/>
      <w:szCs w:val="24"/>
      <w:u w:color="000000"/>
      <w:lang w:val="es-ES_tradnl"/>
    </w:rPr>
  </w:style>
  <w:style w:type="paragraph" w:customStyle="1" w:styleId="BodyB">
    <w:name w:val="Body B"/>
    <w:pPr>
      <w:spacing w:after="200" w:line="276" w:lineRule="auto"/>
    </w:pPr>
    <w:rPr>
      <w:rFonts w:ascii="Helvetica" w:hAnsi="Helvetica" w:cs="Arial Unicode MS"/>
      <w:color w:val="000000"/>
      <w:sz w:val="22"/>
      <w:szCs w:val="22"/>
      <w:u w:color="000000"/>
      <w:lang w:val="es-ES_tradnl"/>
    </w:rPr>
  </w:style>
  <w:style w:type="paragraph" w:styleId="Prrafodelista">
    <w:name w:val="List Paragraph"/>
    <w:pPr>
      <w:spacing w:after="200" w:line="276" w:lineRule="auto"/>
      <w:ind w:left="720"/>
    </w:pPr>
    <w:rPr>
      <w:rFonts w:ascii="Helvetica" w:hAnsi="Helvetica" w:cs="Arial Unicode MS"/>
      <w:color w:val="000000"/>
      <w:sz w:val="22"/>
      <w:szCs w:val="22"/>
      <w:u w:color="000000"/>
      <w:lang w:val="es-ES_tradnl"/>
    </w:rPr>
  </w:style>
  <w:style w:type="paragraph" w:styleId="Textocomentario">
    <w:name w:val="annotation text"/>
    <w:rPr>
      <w:rFonts w:eastAsia="Times New Roman"/>
      <w:color w:val="000000"/>
      <w:u w:color="000000"/>
      <w:lang w:val="en-US"/>
    </w:rPr>
  </w:style>
  <w:style w:type="paragraph" w:customStyle="1" w:styleId="BodyAA">
    <w:name w:val="Body A A"/>
    <w:pPr>
      <w:spacing w:after="200" w:line="276" w:lineRule="auto"/>
    </w:pPr>
    <w:rPr>
      <w:rFonts w:ascii="Calibri" w:eastAsia="Calibri" w:hAnsi="Calibri" w:cs="Calibri"/>
      <w:color w:val="000000"/>
      <w:sz w:val="22"/>
      <w:szCs w:val="22"/>
      <w:u w:color="000000"/>
      <w:lang w:val="es-ES_tradnl"/>
    </w:rPr>
  </w:style>
  <w:style w:type="paragraph" w:customStyle="1" w:styleId="Default">
    <w:name w:val="Default"/>
    <w:rPr>
      <w:rFonts w:ascii="Helvetica Neue" w:hAnsi="Helvetica Neue" w:cs="Arial Unicode MS"/>
      <w:color w:val="000000"/>
      <w:sz w:val="22"/>
      <w:szCs w:val="22"/>
      <w:u w:color="000000"/>
      <w:lang w:val="es-ES_tradnl"/>
    </w:rPr>
  </w:style>
  <w:style w:type="paragraph" w:styleId="Epgrafe">
    <w:name w:val="caption"/>
    <w:next w:val="BodyB"/>
    <w:uiPriority w:val="35"/>
    <w:qFormat/>
    <w:pPr>
      <w:spacing w:after="200"/>
    </w:pPr>
    <w:rPr>
      <w:rFonts w:ascii="Helvetica" w:hAnsi="Helvetica" w:cs="Arial Unicode MS"/>
      <w:b/>
      <w:bCs/>
      <w:color w:val="4F81BD"/>
      <w:sz w:val="18"/>
      <w:szCs w:val="18"/>
      <w:u w:color="4F81BD"/>
      <w:lang w:val="es-ES_tradnl"/>
    </w:rPr>
  </w:style>
  <w:style w:type="paragraph" w:customStyle="1" w:styleId="SubtitleA">
    <w:name w:val="Subtitle A"/>
    <w:next w:val="Body"/>
    <w:rPr>
      <w:rFonts w:eastAsia="Times New Roman"/>
      <w:i/>
      <w:iCs/>
      <w:color w:val="4F81BD"/>
      <w:spacing w:val="15"/>
      <w:sz w:val="24"/>
      <w:szCs w:val="24"/>
      <w:u w:color="4F81BD"/>
      <w:lang w:val="en-US"/>
    </w:rPr>
  </w:style>
  <w:style w:type="paragraph" w:customStyle="1" w:styleId="Body">
    <w:name w:val="Body"/>
    <w:rPr>
      <w:rFonts w:eastAsia="Times New Roman"/>
      <w:color w:val="000000"/>
      <w:sz w:val="24"/>
      <w:szCs w:val="24"/>
      <w:u w:color="000000"/>
    </w:rPr>
  </w:style>
  <w:style w:type="paragraph" w:customStyle="1" w:styleId="BodyC">
    <w:name w:val="Body C"/>
    <w:rPr>
      <w:rFonts w:cs="Arial Unicode MS"/>
      <w:color w:val="000000"/>
      <w:sz w:val="24"/>
      <w:szCs w:val="24"/>
      <w:u w:color="000000"/>
      <w:lang w:val="es-ES_tradnl"/>
    </w:rPr>
  </w:style>
  <w:style w:type="paragraph" w:customStyle="1" w:styleId="SubtitleAA">
    <w:name w:val="Subtitle A A"/>
    <w:next w:val="BodyC"/>
    <w:rPr>
      <w:rFonts w:ascii="Helvetica" w:eastAsia="Helvetica" w:hAnsi="Helvetica" w:cs="Helvetica"/>
      <w:i/>
      <w:iCs/>
      <w:color w:val="4F81BD"/>
      <w:spacing w:val="15"/>
      <w:sz w:val="24"/>
      <w:szCs w:val="24"/>
      <w:u w:color="4F81BD"/>
      <w:lang w:val="en-US"/>
    </w:rPr>
  </w:style>
  <w:style w:type="paragraph" w:styleId="Bibliografa">
    <w:name w:val="Bibliography"/>
    <w:next w:val="BodyA"/>
    <w:pPr>
      <w:spacing w:after="200" w:line="276" w:lineRule="auto"/>
    </w:pPr>
    <w:rPr>
      <w:rFonts w:ascii="Calibri" w:eastAsia="Calibri" w:hAnsi="Calibri" w:cs="Calibri"/>
      <w:color w:val="000000"/>
      <w:sz w:val="22"/>
      <w:szCs w:val="22"/>
      <w:u w:color="000000"/>
      <w:lang w:val="es-ES_tradnl"/>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E44CC"/>
    <w:rPr>
      <w:rFonts w:ascii="Tahoma" w:hAnsi="Tahoma" w:cs="Tahoma"/>
      <w:sz w:val="16"/>
      <w:szCs w:val="16"/>
    </w:rPr>
  </w:style>
  <w:style w:type="character" w:customStyle="1" w:styleId="TextodegloboCar">
    <w:name w:val="Texto de globo Car"/>
    <w:basedOn w:val="Fuentedeprrafopredeter"/>
    <w:link w:val="Textodeglobo"/>
    <w:uiPriority w:val="99"/>
    <w:semiHidden/>
    <w:rsid w:val="001E44CC"/>
    <w:rPr>
      <w:rFonts w:ascii="Tahoma" w:hAnsi="Tahoma" w:cs="Tahoma"/>
      <w:sz w:val="16"/>
      <w:szCs w:val="16"/>
      <w:lang w:val="en-US" w:eastAsia="en-US"/>
    </w:rPr>
  </w:style>
  <w:style w:type="table" w:styleId="Tablaconcuadrcula">
    <w:name w:val="Table Grid"/>
    <w:basedOn w:val="Tablanormal"/>
    <w:uiPriority w:val="59"/>
    <w:rsid w:val="00343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A3793"/>
    <w:pPr>
      <w:tabs>
        <w:tab w:val="center" w:pos="4252"/>
        <w:tab w:val="right" w:pos="8504"/>
      </w:tabs>
    </w:pPr>
  </w:style>
  <w:style w:type="character" w:customStyle="1" w:styleId="EncabezadoCar">
    <w:name w:val="Encabezado Car"/>
    <w:basedOn w:val="Fuentedeprrafopredeter"/>
    <w:link w:val="Encabezado"/>
    <w:uiPriority w:val="99"/>
    <w:rsid w:val="000A3793"/>
    <w:rPr>
      <w:sz w:val="24"/>
      <w:szCs w:val="24"/>
      <w:lang w:val="en-US" w:eastAsia="en-US"/>
    </w:rPr>
  </w:style>
  <w:style w:type="paragraph" w:styleId="Piedepgina">
    <w:name w:val="footer"/>
    <w:basedOn w:val="Normal"/>
    <w:link w:val="PiedepginaCar"/>
    <w:uiPriority w:val="99"/>
    <w:unhideWhenUsed/>
    <w:rsid w:val="000A3793"/>
    <w:pPr>
      <w:tabs>
        <w:tab w:val="center" w:pos="4252"/>
        <w:tab w:val="right" w:pos="8504"/>
      </w:tabs>
    </w:pPr>
  </w:style>
  <w:style w:type="character" w:customStyle="1" w:styleId="PiedepginaCar">
    <w:name w:val="Pie de página Car"/>
    <w:basedOn w:val="Fuentedeprrafopredeter"/>
    <w:link w:val="Piedepgina"/>
    <w:uiPriority w:val="99"/>
    <w:rsid w:val="000A3793"/>
    <w:rPr>
      <w:sz w:val="24"/>
      <w:szCs w:val="24"/>
      <w:lang w:val="en-US" w:eastAsia="en-US"/>
    </w:rPr>
  </w:style>
  <w:style w:type="character" w:styleId="Refdenotaalpie">
    <w:name w:val="footnote reference"/>
    <w:basedOn w:val="Fuentedeprrafopredeter"/>
    <w:uiPriority w:val="99"/>
    <w:semiHidden/>
    <w:unhideWhenUsed/>
    <w:rsid w:val="005740BA"/>
    <w:rPr>
      <w:vertAlign w:val="superscript"/>
    </w:rPr>
  </w:style>
  <w:style w:type="paragraph" w:styleId="Subttulo">
    <w:name w:val="Subtitle"/>
    <w:basedOn w:val="Normal"/>
    <w:next w:val="Normal"/>
    <w:link w:val="SubttuloCar"/>
    <w:uiPriority w:val="11"/>
    <w:qFormat/>
    <w:rsid w:val="000B47B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0B47B3"/>
    <w:rPr>
      <w:rFonts w:asciiTheme="majorHAnsi" w:eastAsiaTheme="majorEastAsia" w:hAnsiTheme="majorHAnsi" w:cstheme="majorBidi"/>
      <w:i/>
      <w:iCs/>
      <w:color w:val="4F81BD" w:themeColor="accent1"/>
      <w:spacing w:val="15"/>
      <w:sz w:val="24"/>
      <w:szCs w:val="24"/>
      <w:lang w:val="en-US" w:eastAsia="en-US"/>
    </w:rPr>
  </w:style>
  <w:style w:type="paragraph" w:styleId="Cita">
    <w:name w:val="Quote"/>
    <w:basedOn w:val="Normal"/>
    <w:next w:val="Normal"/>
    <w:link w:val="CitaCar"/>
    <w:uiPriority w:val="29"/>
    <w:qFormat/>
    <w:rsid w:val="000B47B3"/>
    <w:rPr>
      <w:i/>
      <w:iCs/>
      <w:color w:val="000000" w:themeColor="text1"/>
    </w:rPr>
  </w:style>
  <w:style w:type="character" w:customStyle="1" w:styleId="CitaCar">
    <w:name w:val="Cita Car"/>
    <w:basedOn w:val="Fuentedeprrafopredeter"/>
    <w:link w:val="Cita"/>
    <w:uiPriority w:val="29"/>
    <w:rsid w:val="000B47B3"/>
    <w:rPr>
      <w:i/>
      <w:iCs/>
      <w:color w:val="000000" w:themeColor="text1"/>
      <w:sz w:val="24"/>
      <w:szCs w:val="24"/>
      <w:lang w:val="en-US" w:eastAsia="en-US"/>
    </w:rPr>
  </w:style>
  <w:style w:type="character" w:customStyle="1" w:styleId="SinespaciadoCar">
    <w:name w:val="Sin espaciado Car"/>
    <w:aliases w:val="Glosario Car"/>
    <w:basedOn w:val="Fuentedeprrafopredeter"/>
    <w:link w:val="Sinespaciado"/>
    <w:uiPriority w:val="1"/>
    <w:rsid w:val="001321C4"/>
    <w:rPr>
      <w:rFonts w:ascii="Helvetica" w:hAnsi="Helvetica" w:cs="Arial Unicode MS"/>
      <w:color w:val="000000"/>
      <w:sz w:val="22"/>
      <w:szCs w:val="22"/>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765678">
      <w:bodyDiv w:val="1"/>
      <w:marLeft w:val="0"/>
      <w:marRight w:val="0"/>
      <w:marTop w:val="0"/>
      <w:marBottom w:val="0"/>
      <w:divBdr>
        <w:top w:val="none" w:sz="0" w:space="0" w:color="auto"/>
        <w:left w:val="none" w:sz="0" w:space="0" w:color="auto"/>
        <w:bottom w:val="none" w:sz="0" w:space="0" w:color="auto"/>
        <w:right w:val="none" w:sz="0" w:space="0" w:color="auto"/>
      </w:divBdr>
    </w:div>
    <w:div w:id="1487743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EOiBjGoVfn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SPhjNSOM9gU&amp;t=166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sulta,bde,fin,ec/Dashboardmvc/Aprobacion/Aprobacion" TargetMode="Externa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C3D41-365A-40EF-B485-243A8F70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11126</Words>
  <Characters>61194</Characters>
  <Application>Microsoft Office Word</Application>
  <DocSecurity>0</DocSecurity>
  <Lines>509</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72176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2019-06-03T13:32:00Z</dcterms:created>
  <dcterms:modified xsi:type="dcterms:W3CDTF">2019-06-03T21:36:00Z</dcterms:modified>
</cp:coreProperties>
</file>