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3142" w:rsidRPr="00B22CA9" w:rsidRDefault="00F63142" w:rsidP="00181B6E">
      <w:pPr>
        <w:spacing w:line="240" w:lineRule="auto"/>
        <w:jc w:val="center"/>
        <w:rPr>
          <w:rFonts w:ascii="Times New Roman" w:hAnsi="Times New Roman" w:cs="Times New Roman"/>
          <w:b/>
          <w:sz w:val="24"/>
          <w:szCs w:val="24"/>
          <w:lang w:val="es-ES"/>
        </w:rPr>
      </w:pPr>
      <w:r w:rsidRPr="00B22CA9">
        <w:rPr>
          <w:rFonts w:ascii="Times New Roman" w:hAnsi="Times New Roman" w:cs="Times New Roman"/>
          <w:b/>
          <w:sz w:val="24"/>
          <w:szCs w:val="24"/>
          <w:lang w:val="es-ES"/>
        </w:rPr>
        <w:t>LOS DERECHOS FUNDAMENTALES EN EL PROCEDIMIENTO POR INCUMPLIMIENTO Y LA ADECUACIÓN CONSTITUCIONAL DE LAS ACTUACIONES DE LOS ESTADOS MIEMBROS</w:t>
      </w:r>
    </w:p>
    <w:p w:rsidR="00A00BB3" w:rsidRPr="00B22CA9" w:rsidRDefault="00F63142" w:rsidP="00181B6E">
      <w:pPr>
        <w:spacing w:line="240" w:lineRule="auto"/>
        <w:jc w:val="right"/>
        <w:rPr>
          <w:rFonts w:ascii="Times New Roman" w:hAnsi="Times New Roman" w:cs="Times New Roman"/>
          <w:sz w:val="24"/>
          <w:szCs w:val="24"/>
          <w:lang w:val="es-ES"/>
        </w:rPr>
      </w:pPr>
      <w:proofErr w:type="spellStart"/>
      <w:r w:rsidRPr="00B22CA9">
        <w:rPr>
          <w:rFonts w:ascii="Times New Roman" w:hAnsi="Times New Roman" w:cs="Times New Roman"/>
          <w:sz w:val="24"/>
          <w:szCs w:val="24"/>
          <w:lang w:val="es-ES"/>
        </w:rPr>
        <w:t>Miryam</w:t>
      </w:r>
      <w:proofErr w:type="spellEnd"/>
      <w:r w:rsidRPr="00B22CA9">
        <w:rPr>
          <w:rFonts w:ascii="Times New Roman" w:hAnsi="Times New Roman" w:cs="Times New Roman"/>
          <w:sz w:val="24"/>
          <w:szCs w:val="24"/>
          <w:lang w:val="es-ES"/>
        </w:rPr>
        <w:t xml:space="preserve"> Rodríguez-Izquierdo Serrano</w:t>
      </w:r>
      <w:r w:rsidRPr="00B22CA9">
        <w:rPr>
          <w:rStyle w:val="Refdenotaalpie"/>
          <w:rFonts w:ascii="Times New Roman" w:hAnsi="Times New Roman" w:cs="Times New Roman"/>
          <w:sz w:val="24"/>
          <w:szCs w:val="24"/>
          <w:vertAlign w:val="baseline"/>
          <w:lang w:val="es-ES"/>
        </w:rPr>
        <w:t xml:space="preserve"> </w:t>
      </w:r>
      <w:r w:rsidR="002263C9" w:rsidRPr="00B22CA9">
        <w:rPr>
          <w:rStyle w:val="Refdenotaalpie"/>
          <w:rFonts w:ascii="Times New Roman" w:hAnsi="Times New Roman" w:cs="Times New Roman"/>
          <w:sz w:val="24"/>
          <w:szCs w:val="24"/>
          <w:lang w:val="es-ES"/>
        </w:rPr>
        <w:footnoteReference w:id="1"/>
      </w:r>
    </w:p>
    <w:p w:rsidR="00565A5E" w:rsidRPr="00B22CA9" w:rsidRDefault="00565A5E" w:rsidP="007F11DF">
      <w:pPr>
        <w:spacing w:line="240" w:lineRule="auto"/>
        <w:jc w:val="both"/>
        <w:rPr>
          <w:rFonts w:ascii="Times New Roman" w:hAnsi="Times New Roman" w:cs="Times New Roman"/>
          <w:sz w:val="24"/>
          <w:szCs w:val="24"/>
          <w:lang w:val="es-ES"/>
        </w:rPr>
      </w:pPr>
      <w:r w:rsidRPr="00B22CA9">
        <w:rPr>
          <w:rFonts w:ascii="Times New Roman" w:hAnsi="Times New Roman" w:cs="Times New Roman"/>
          <w:b/>
          <w:bCs/>
          <w:sz w:val="24"/>
          <w:szCs w:val="24"/>
          <w:lang w:val="es-ES"/>
        </w:rPr>
        <w:t>Resumen</w:t>
      </w:r>
      <w:r w:rsidRPr="00B22CA9">
        <w:rPr>
          <w:rFonts w:ascii="Times New Roman" w:hAnsi="Times New Roman" w:cs="Times New Roman"/>
          <w:sz w:val="24"/>
          <w:szCs w:val="24"/>
          <w:lang w:val="es-ES"/>
        </w:rPr>
        <w:t>: Los derechos fundamentales de la Carta son parámetro de validez constitucional del Derecho derivado, así como de la acción institucional de la Unión y, dentro de los márgenes de su artículo 51, de las actuaciones de los Estados miembros cuando aplican el</w:t>
      </w:r>
      <w:r w:rsidR="001C0E9A" w:rsidRPr="00B22CA9">
        <w:rPr>
          <w:rFonts w:ascii="Times New Roman" w:hAnsi="Times New Roman" w:cs="Times New Roman"/>
          <w:sz w:val="24"/>
          <w:szCs w:val="24"/>
          <w:lang w:val="es-ES"/>
        </w:rPr>
        <w:t xml:space="preserve"> d</w:t>
      </w:r>
      <w:r w:rsidRPr="00B22CA9">
        <w:rPr>
          <w:rFonts w:ascii="Times New Roman" w:hAnsi="Times New Roman" w:cs="Times New Roman"/>
          <w:sz w:val="24"/>
          <w:szCs w:val="24"/>
          <w:lang w:val="es-ES"/>
        </w:rPr>
        <w:t xml:space="preserve">erecho </w:t>
      </w:r>
      <w:r w:rsidR="001C0E9A" w:rsidRPr="00B22CA9">
        <w:rPr>
          <w:rFonts w:ascii="Times New Roman" w:hAnsi="Times New Roman" w:cs="Times New Roman"/>
          <w:sz w:val="24"/>
          <w:szCs w:val="24"/>
          <w:lang w:val="es-ES"/>
        </w:rPr>
        <w:t>de la Unión</w:t>
      </w:r>
      <w:r w:rsidR="00250E38" w:rsidRPr="00B22CA9">
        <w:rPr>
          <w:rFonts w:ascii="Times New Roman" w:hAnsi="Times New Roman" w:cs="Times New Roman"/>
          <w:sz w:val="24"/>
          <w:szCs w:val="24"/>
          <w:lang w:val="es-ES"/>
        </w:rPr>
        <w:t xml:space="preserve">. </w:t>
      </w:r>
      <w:r w:rsidRPr="00B22CA9">
        <w:rPr>
          <w:rFonts w:ascii="Times New Roman" w:hAnsi="Times New Roman" w:cs="Times New Roman"/>
          <w:sz w:val="24"/>
          <w:szCs w:val="24"/>
          <w:lang w:val="es-ES"/>
        </w:rPr>
        <w:t xml:space="preserve">La cuestión prejudicial ha servido en un buen número de casos para dar efectividad a los derechos </w:t>
      </w:r>
      <w:r w:rsidR="008F1673" w:rsidRPr="00B22CA9">
        <w:rPr>
          <w:rFonts w:ascii="Times New Roman" w:hAnsi="Times New Roman" w:cs="Times New Roman"/>
          <w:sz w:val="24"/>
          <w:szCs w:val="24"/>
          <w:lang w:val="es-ES"/>
        </w:rPr>
        <w:t>en</w:t>
      </w:r>
      <w:r w:rsidRPr="00B22CA9">
        <w:rPr>
          <w:rFonts w:ascii="Times New Roman" w:hAnsi="Times New Roman" w:cs="Times New Roman"/>
          <w:sz w:val="24"/>
          <w:szCs w:val="24"/>
          <w:lang w:val="es-ES"/>
        </w:rPr>
        <w:t xml:space="preserve"> los Estados miembros, pero en un momento en el que en algunos países de la Unión parecen desmantelarse ciertas garantías constitucionales y democráticas, son los mecanismos de ejecución forzosa</w:t>
      </w:r>
      <w:r w:rsidR="00B1272B" w:rsidRPr="00B22CA9">
        <w:rPr>
          <w:rFonts w:ascii="Times New Roman" w:hAnsi="Times New Roman" w:cs="Times New Roman"/>
          <w:sz w:val="24"/>
          <w:szCs w:val="24"/>
          <w:lang w:val="es-ES"/>
        </w:rPr>
        <w:t>, y su relación con los derechos,</w:t>
      </w:r>
      <w:r w:rsidRPr="00B22CA9">
        <w:rPr>
          <w:rFonts w:ascii="Times New Roman" w:hAnsi="Times New Roman" w:cs="Times New Roman"/>
          <w:sz w:val="24"/>
          <w:szCs w:val="24"/>
          <w:lang w:val="es-ES"/>
        </w:rPr>
        <w:t xml:space="preserve"> los que centran el interés político, institucional y doctrinal. Entre ellos, el procedimiento de incumplimiento, un clásico de</w:t>
      </w:r>
      <w:r w:rsidR="001C0E9A" w:rsidRPr="00B22CA9">
        <w:rPr>
          <w:rFonts w:ascii="Times New Roman" w:hAnsi="Times New Roman" w:cs="Times New Roman"/>
          <w:sz w:val="24"/>
          <w:szCs w:val="24"/>
          <w:lang w:val="es-ES"/>
        </w:rPr>
        <w:t>sde</w:t>
      </w:r>
      <w:r w:rsidRPr="00B22CA9">
        <w:rPr>
          <w:rFonts w:ascii="Times New Roman" w:hAnsi="Times New Roman" w:cs="Times New Roman"/>
          <w:sz w:val="24"/>
          <w:szCs w:val="24"/>
          <w:lang w:val="es-ES"/>
        </w:rPr>
        <w:t xml:space="preserve"> los Tratados </w:t>
      </w:r>
      <w:r w:rsidR="001C0E9A" w:rsidRPr="00B22CA9">
        <w:rPr>
          <w:rFonts w:ascii="Times New Roman" w:hAnsi="Times New Roman" w:cs="Times New Roman"/>
          <w:sz w:val="24"/>
          <w:szCs w:val="24"/>
          <w:lang w:val="es-ES"/>
        </w:rPr>
        <w:t>comunitarios</w:t>
      </w:r>
      <w:r w:rsidRPr="00B22CA9">
        <w:rPr>
          <w:rFonts w:ascii="Times New Roman" w:hAnsi="Times New Roman" w:cs="Times New Roman"/>
          <w:sz w:val="24"/>
          <w:szCs w:val="24"/>
          <w:lang w:val="es-ES"/>
        </w:rPr>
        <w:t xml:space="preserve">, es un instrumento disponible para la ejecución forzosa de las obligaciones derivadas del respeto a los derechos fundamentales de la Unión por los Estados miembros. </w:t>
      </w:r>
      <w:r w:rsidR="008F1673" w:rsidRPr="00B22CA9">
        <w:rPr>
          <w:rFonts w:ascii="Times New Roman" w:hAnsi="Times New Roman" w:cs="Times New Roman"/>
          <w:sz w:val="24"/>
          <w:szCs w:val="24"/>
          <w:lang w:val="es-ES"/>
        </w:rPr>
        <w:t>E</w:t>
      </w:r>
      <w:r w:rsidR="00586222" w:rsidRPr="00B22CA9">
        <w:rPr>
          <w:rFonts w:ascii="Times New Roman" w:hAnsi="Times New Roman" w:cs="Times New Roman"/>
          <w:sz w:val="24"/>
          <w:szCs w:val="24"/>
          <w:lang w:val="es-ES"/>
        </w:rPr>
        <w:t>n e</w:t>
      </w:r>
      <w:r w:rsidRPr="00B22CA9">
        <w:rPr>
          <w:rFonts w:ascii="Times New Roman" w:hAnsi="Times New Roman" w:cs="Times New Roman"/>
          <w:sz w:val="24"/>
          <w:szCs w:val="24"/>
          <w:lang w:val="es-ES"/>
        </w:rPr>
        <w:t xml:space="preserve">ste artículo </w:t>
      </w:r>
      <w:r w:rsidR="00426B4C" w:rsidRPr="00B22CA9">
        <w:rPr>
          <w:rFonts w:ascii="Times New Roman" w:hAnsi="Times New Roman" w:cs="Times New Roman"/>
          <w:sz w:val="24"/>
          <w:szCs w:val="24"/>
          <w:lang w:val="es-ES"/>
        </w:rPr>
        <w:t xml:space="preserve">analizaré </w:t>
      </w:r>
      <w:r w:rsidRPr="00B22CA9">
        <w:rPr>
          <w:rFonts w:ascii="Times New Roman" w:hAnsi="Times New Roman" w:cs="Times New Roman"/>
          <w:sz w:val="24"/>
          <w:szCs w:val="24"/>
          <w:lang w:val="es-ES"/>
        </w:rPr>
        <w:t>en qué medida ese procedimiento, con su doble vertiente política y jurídica</w:t>
      </w:r>
      <w:r w:rsidR="009A2592" w:rsidRPr="00B22CA9">
        <w:rPr>
          <w:rFonts w:ascii="Times New Roman" w:hAnsi="Times New Roman" w:cs="Times New Roman"/>
          <w:sz w:val="24"/>
          <w:szCs w:val="24"/>
          <w:lang w:val="es-ES"/>
        </w:rPr>
        <w:t xml:space="preserve"> y su dimensión federal</w:t>
      </w:r>
      <w:r w:rsidRPr="00B22CA9">
        <w:rPr>
          <w:rFonts w:ascii="Times New Roman" w:hAnsi="Times New Roman" w:cs="Times New Roman"/>
          <w:sz w:val="24"/>
          <w:szCs w:val="24"/>
          <w:lang w:val="es-ES"/>
        </w:rPr>
        <w:t xml:space="preserve">, puede ser empleado </w:t>
      </w:r>
      <w:r w:rsidR="009A2592" w:rsidRPr="00B22CA9">
        <w:rPr>
          <w:rFonts w:ascii="Times New Roman" w:hAnsi="Times New Roman" w:cs="Times New Roman"/>
          <w:sz w:val="24"/>
          <w:szCs w:val="24"/>
          <w:lang w:val="es-ES"/>
        </w:rPr>
        <w:t>para</w:t>
      </w:r>
      <w:r w:rsidR="0061556A" w:rsidRPr="00B22CA9">
        <w:rPr>
          <w:rFonts w:ascii="Times New Roman" w:hAnsi="Times New Roman" w:cs="Times New Roman"/>
          <w:sz w:val="24"/>
          <w:szCs w:val="24"/>
          <w:lang w:val="es-ES"/>
        </w:rPr>
        <w:t xml:space="preserve"> la</w:t>
      </w:r>
      <w:r w:rsidRPr="00B22CA9">
        <w:rPr>
          <w:rFonts w:ascii="Times New Roman" w:hAnsi="Times New Roman" w:cs="Times New Roman"/>
          <w:sz w:val="24"/>
          <w:szCs w:val="24"/>
          <w:lang w:val="es-ES"/>
        </w:rPr>
        <w:t xml:space="preserve"> finalidad </w:t>
      </w:r>
      <w:r w:rsidR="00426B4C" w:rsidRPr="00B22CA9">
        <w:rPr>
          <w:rFonts w:ascii="Times New Roman" w:hAnsi="Times New Roman" w:cs="Times New Roman"/>
          <w:sz w:val="24"/>
          <w:szCs w:val="24"/>
          <w:lang w:val="es-ES"/>
        </w:rPr>
        <w:t xml:space="preserve">de </w:t>
      </w:r>
      <w:r w:rsidRPr="00B22CA9">
        <w:rPr>
          <w:rFonts w:ascii="Times New Roman" w:hAnsi="Times New Roman" w:cs="Times New Roman"/>
          <w:sz w:val="24"/>
          <w:szCs w:val="24"/>
          <w:lang w:val="es-ES"/>
        </w:rPr>
        <w:t>garantizar derechos fundamentales, en especial</w:t>
      </w:r>
      <w:r w:rsidR="00426B4C" w:rsidRPr="00B22CA9">
        <w:rPr>
          <w:rFonts w:ascii="Times New Roman" w:hAnsi="Times New Roman" w:cs="Times New Roman"/>
          <w:sz w:val="24"/>
          <w:szCs w:val="24"/>
          <w:lang w:val="es-ES"/>
        </w:rPr>
        <w:t>,</w:t>
      </w:r>
      <w:r w:rsidRPr="00B22CA9">
        <w:rPr>
          <w:rFonts w:ascii="Times New Roman" w:hAnsi="Times New Roman" w:cs="Times New Roman"/>
          <w:sz w:val="24"/>
          <w:szCs w:val="24"/>
          <w:lang w:val="es-ES"/>
        </w:rPr>
        <w:t xml:space="preserve"> en situaciones en las que la acción del Estado incumplidor no </w:t>
      </w:r>
      <w:r w:rsidR="001C0E9A" w:rsidRPr="00B22CA9">
        <w:rPr>
          <w:rFonts w:ascii="Times New Roman" w:hAnsi="Times New Roman" w:cs="Times New Roman"/>
          <w:sz w:val="24"/>
          <w:szCs w:val="24"/>
          <w:lang w:val="es-ES"/>
        </w:rPr>
        <w:t>actúe</w:t>
      </w:r>
      <w:r w:rsidRPr="00B22CA9">
        <w:rPr>
          <w:rFonts w:ascii="Times New Roman" w:hAnsi="Times New Roman" w:cs="Times New Roman"/>
          <w:sz w:val="24"/>
          <w:szCs w:val="24"/>
          <w:lang w:val="es-ES"/>
        </w:rPr>
        <w:t xml:space="preserve"> de manera evidente dentro</w:t>
      </w:r>
      <w:r w:rsidR="001C0E9A" w:rsidRPr="00B22CA9">
        <w:rPr>
          <w:rFonts w:ascii="Times New Roman" w:hAnsi="Times New Roman" w:cs="Times New Roman"/>
          <w:sz w:val="24"/>
          <w:szCs w:val="24"/>
          <w:lang w:val="es-ES"/>
        </w:rPr>
        <w:t xml:space="preserve"> del ámbito de efectividad del d</w:t>
      </w:r>
      <w:r w:rsidRPr="00B22CA9">
        <w:rPr>
          <w:rFonts w:ascii="Times New Roman" w:hAnsi="Times New Roman" w:cs="Times New Roman"/>
          <w:sz w:val="24"/>
          <w:szCs w:val="24"/>
          <w:lang w:val="es-ES"/>
        </w:rPr>
        <w:t>erecho de la Unión.</w:t>
      </w:r>
    </w:p>
    <w:p w:rsidR="00565A5E" w:rsidRPr="00B22CA9" w:rsidRDefault="00565A5E" w:rsidP="007F11DF">
      <w:pPr>
        <w:spacing w:line="240" w:lineRule="auto"/>
        <w:jc w:val="both"/>
        <w:rPr>
          <w:rFonts w:ascii="Times New Roman" w:hAnsi="Times New Roman" w:cs="Times New Roman"/>
          <w:sz w:val="24"/>
          <w:szCs w:val="24"/>
          <w:lang w:val="es-ES"/>
        </w:rPr>
      </w:pPr>
      <w:r w:rsidRPr="00B22CA9">
        <w:rPr>
          <w:rFonts w:ascii="Times New Roman" w:hAnsi="Times New Roman" w:cs="Times New Roman"/>
          <w:b/>
          <w:bCs/>
          <w:sz w:val="24"/>
          <w:szCs w:val="24"/>
          <w:lang w:val="es-ES"/>
        </w:rPr>
        <w:t>Palabras clave</w:t>
      </w:r>
      <w:r w:rsidRPr="00B22CA9">
        <w:rPr>
          <w:rFonts w:ascii="Times New Roman" w:hAnsi="Times New Roman" w:cs="Times New Roman"/>
          <w:sz w:val="24"/>
          <w:szCs w:val="24"/>
          <w:lang w:val="es-ES"/>
        </w:rPr>
        <w:t>: Carta de derechos fundamentales; Recurso por incumplimiento; Justicia constitucional; Comisión europea; Tribunal de Justicia de la Unión Europea.</w:t>
      </w:r>
    </w:p>
    <w:p w:rsidR="00011E37" w:rsidRPr="00B22CA9" w:rsidRDefault="00011E37" w:rsidP="007F11DF">
      <w:pPr>
        <w:spacing w:line="240" w:lineRule="auto"/>
        <w:jc w:val="both"/>
        <w:rPr>
          <w:rFonts w:ascii="Times New Roman" w:hAnsi="Times New Roman" w:cs="Times New Roman"/>
          <w:b/>
          <w:bCs/>
          <w:sz w:val="24"/>
          <w:szCs w:val="24"/>
          <w:lang w:val="es-ES"/>
        </w:rPr>
      </w:pPr>
    </w:p>
    <w:p w:rsidR="00A47CDB" w:rsidRPr="00B22CA9" w:rsidRDefault="00565A5E" w:rsidP="007F11DF">
      <w:pPr>
        <w:spacing w:line="240" w:lineRule="auto"/>
        <w:jc w:val="both"/>
        <w:rPr>
          <w:rFonts w:ascii="Times New Roman" w:hAnsi="Times New Roman" w:cs="Times New Roman"/>
          <w:sz w:val="24"/>
          <w:szCs w:val="24"/>
        </w:rPr>
      </w:pPr>
      <w:r w:rsidRPr="00B22CA9">
        <w:rPr>
          <w:rFonts w:ascii="Times New Roman" w:hAnsi="Times New Roman" w:cs="Times New Roman"/>
          <w:b/>
          <w:bCs/>
          <w:sz w:val="24"/>
          <w:szCs w:val="24"/>
        </w:rPr>
        <w:t>Title</w:t>
      </w:r>
      <w:r w:rsidR="00413904" w:rsidRPr="00B22CA9">
        <w:rPr>
          <w:rFonts w:ascii="Times New Roman" w:hAnsi="Times New Roman" w:cs="Times New Roman"/>
          <w:sz w:val="24"/>
          <w:szCs w:val="24"/>
        </w:rPr>
        <w:t xml:space="preserve">: EU fundamental rights </w:t>
      </w:r>
      <w:r w:rsidR="008A2DC0" w:rsidRPr="00B22CA9">
        <w:rPr>
          <w:rFonts w:ascii="Times New Roman" w:hAnsi="Times New Roman" w:cs="Times New Roman"/>
          <w:sz w:val="24"/>
          <w:szCs w:val="24"/>
        </w:rPr>
        <w:t xml:space="preserve">adjudication </w:t>
      </w:r>
      <w:r w:rsidR="00413904" w:rsidRPr="00B22CA9">
        <w:rPr>
          <w:rFonts w:ascii="Times New Roman" w:hAnsi="Times New Roman" w:cs="Times New Roman"/>
          <w:sz w:val="24"/>
          <w:szCs w:val="24"/>
        </w:rPr>
        <w:t xml:space="preserve">through the </w:t>
      </w:r>
      <w:r w:rsidR="008A2DC0" w:rsidRPr="00B22CA9">
        <w:rPr>
          <w:rFonts w:ascii="Times New Roman" w:hAnsi="Times New Roman" w:cs="Times New Roman"/>
          <w:sz w:val="24"/>
          <w:szCs w:val="24"/>
        </w:rPr>
        <w:t>i</w:t>
      </w:r>
      <w:r w:rsidR="00413904" w:rsidRPr="00B22CA9">
        <w:rPr>
          <w:rFonts w:ascii="Times New Roman" w:hAnsi="Times New Roman" w:cs="Times New Roman"/>
          <w:sz w:val="24"/>
          <w:szCs w:val="24"/>
        </w:rPr>
        <w:t xml:space="preserve">nfringement </w:t>
      </w:r>
      <w:r w:rsidR="008A2DC0" w:rsidRPr="00B22CA9">
        <w:rPr>
          <w:rFonts w:ascii="Times New Roman" w:hAnsi="Times New Roman" w:cs="Times New Roman"/>
          <w:sz w:val="24"/>
          <w:szCs w:val="24"/>
        </w:rPr>
        <w:t>p</w:t>
      </w:r>
      <w:r w:rsidR="00413904" w:rsidRPr="00B22CA9">
        <w:rPr>
          <w:rFonts w:ascii="Times New Roman" w:hAnsi="Times New Roman" w:cs="Times New Roman"/>
          <w:sz w:val="24"/>
          <w:szCs w:val="24"/>
        </w:rPr>
        <w:t xml:space="preserve">rocedure and </w:t>
      </w:r>
      <w:r w:rsidR="008A2DC0" w:rsidRPr="00B22CA9">
        <w:rPr>
          <w:rFonts w:ascii="Times New Roman" w:hAnsi="Times New Roman" w:cs="Times New Roman"/>
          <w:sz w:val="24"/>
          <w:szCs w:val="24"/>
        </w:rPr>
        <w:t>c</w:t>
      </w:r>
      <w:r w:rsidR="00413904" w:rsidRPr="00B22CA9">
        <w:rPr>
          <w:rFonts w:ascii="Times New Roman" w:hAnsi="Times New Roman" w:cs="Times New Roman"/>
          <w:sz w:val="24"/>
          <w:szCs w:val="24"/>
        </w:rPr>
        <w:t xml:space="preserve">onstitutional </w:t>
      </w:r>
      <w:r w:rsidR="008A2DC0" w:rsidRPr="00B22CA9">
        <w:rPr>
          <w:rFonts w:ascii="Times New Roman" w:hAnsi="Times New Roman" w:cs="Times New Roman"/>
          <w:sz w:val="24"/>
          <w:szCs w:val="24"/>
        </w:rPr>
        <w:t>scrutiny</w:t>
      </w:r>
      <w:r w:rsidR="00413904" w:rsidRPr="00B22CA9">
        <w:rPr>
          <w:rFonts w:ascii="Times New Roman" w:hAnsi="Times New Roman" w:cs="Times New Roman"/>
          <w:sz w:val="24"/>
          <w:szCs w:val="24"/>
        </w:rPr>
        <w:t xml:space="preserve"> of</w:t>
      </w:r>
      <w:r w:rsidR="008A2DC0" w:rsidRPr="00B22CA9">
        <w:rPr>
          <w:rFonts w:ascii="Times New Roman" w:hAnsi="Times New Roman" w:cs="Times New Roman"/>
          <w:sz w:val="24"/>
          <w:szCs w:val="24"/>
        </w:rPr>
        <w:t xml:space="preserve"> the actions of the</w:t>
      </w:r>
      <w:r w:rsidR="00413904" w:rsidRPr="00B22CA9">
        <w:rPr>
          <w:rFonts w:ascii="Times New Roman" w:hAnsi="Times New Roman" w:cs="Times New Roman"/>
          <w:sz w:val="24"/>
          <w:szCs w:val="24"/>
        </w:rPr>
        <w:t xml:space="preserve"> Member states </w:t>
      </w:r>
      <w:r w:rsidRPr="00B22CA9">
        <w:rPr>
          <w:rFonts w:ascii="Times New Roman" w:hAnsi="Times New Roman" w:cs="Times New Roman"/>
          <w:sz w:val="24"/>
          <w:szCs w:val="24"/>
        </w:rPr>
        <w:t xml:space="preserve"> </w:t>
      </w:r>
    </w:p>
    <w:p w:rsidR="00A47CDB" w:rsidRPr="00B22CA9" w:rsidRDefault="00A47CDB" w:rsidP="007F11DF">
      <w:pPr>
        <w:spacing w:line="240" w:lineRule="auto"/>
        <w:jc w:val="both"/>
        <w:rPr>
          <w:rFonts w:ascii="Times New Roman" w:hAnsi="Times New Roman" w:cs="Times New Roman"/>
          <w:sz w:val="24"/>
          <w:szCs w:val="24"/>
        </w:rPr>
      </w:pPr>
      <w:r w:rsidRPr="00B22CA9">
        <w:rPr>
          <w:rFonts w:ascii="Times New Roman" w:hAnsi="Times New Roman" w:cs="Times New Roman"/>
          <w:b/>
          <w:bCs/>
          <w:sz w:val="24"/>
          <w:szCs w:val="24"/>
        </w:rPr>
        <w:t>A</w:t>
      </w:r>
      <w:r w:rsidR="00565A5E" w:rsidRPr="00B22CA9">
        <w:rPr>
          <w:rFonts w:ascii="Times New Roman" w:hAnsi="Times New Roman" w:cs="Times New Roman"/>
          <w:b/>
          <w:bCs/>
          <w:sz w:val="24"/>
          <w:szCs w:val="24"/>
        </w:rPr>
        <w:t>bstract</w:t>
      </w:r>
      <w:r w:rsidRPr="00B22CA9">
        <w:rPr>
          <w:rFonts w:ascii="Times New Roman" w:hAnsi="Times New Roman" w:cs="Times New Roman"/>
          <w:sz w:val="24"/>
          <w:szCs w:val="24"/>
        </w:rPr>
        <w:t>: The Charter of Fundamental Rights is a parameter to measure the constitutionality of EU secondary law, of EU institutional action and, within the margins of article 51, of Member states’ actions when they implement EU law. The preliminary reference procedure has already produced a sufficient amount of rulings in which EU fundamental rights apply to Member states. In this period in which some EU countries are defying democratic principles</w:t>
      </w:r>
      <w:r w:rsidR="00385837" w:rsidRPr="00B22CA9">
        <w:rPr>
          <w:rFonts w:ascii="Times New Roman" w:hAnsi="Times New Roman" w:cs="Times New Roman"/>
          <w:sz w:val="24"/>
          <w:szCs w:val="24"/>
        </w:rPr>
        <w:t xml:space="preserve"> and</w:t>
      </w:r>
      <w:r w:rsidRPr="00B22CA9">
        <w:rPr>
          <w:rFonts w:ascii="Times New Roman" w:hAnsi="Times New Roman" w:cs="Times New Roman"/>
          <w:sz w:val="24"/>
          <w:szCs w:val="24"/>
        </w:rPr>
        <w:t xml:space="preserve"> removing constitutional guarantees, there is a renovated concern in EU fundamental rights </w:t>
      </w:r>
      <w:r w:rsidR="00385837" w:rsidRPr="00B22CA9">
        <w:rPr>
          <w:rFonts w:ascii="Times New Roman" w:hAnsi="Times New Roman" w:cs="Times New Roman"/>
          <w:sz w:val="24"/>
          <w:szCs w:val="24"/>
        </w:rPr>
        <w:t>adjudication</w:t>
      </w:r>
      <w:r w:rsidRPr="00B22CA9">
        <w:rPr>
          <w:rFonts w:ascii="Times New Roman" w:hAnsi="Times New Roman" w:cs="Times New Roman"/>
          <w:sz w:val="24"/>
          <w:szCs w:val="24"/>
        </w:rPr>
        <w:t xml:space="preserve"> through law. Political, institutional and academic debate is focused in such mechanisms, among which the classic Treaty infringement procedure has concealed especial interest. Infringement procedure is an available tool to enforce EU fundamental rights in Member states</w:t>
      </w:r>
      <w:r w:rsidR="00011E37" w:rsidRPr="00B22CA9">
        <w:rPr>
          <w:rFonts w:ascii="Times New Roman" w:hAnsi="Times New Roman" w:cs="Times New Roman"/>
          <w:sz w:val="24"/>
          <w:szCs w:val="24"/>
        </w:rPr>
        <w:t>, with its double nature as a political and a legal instrument</w:t>
      </w:r>
      <w:r w:rsidRPr="00B22CA9">
        <w:rPr>
          <w:rFonts w:ascii="Times New Roman" w:hAnsi="Times New Roman" w:cs="Times New Roman"/>
          <w:sz w:val="24"/>
          <w:szCs w:val="24"/>
        </w:rPr>
        <w:t>. The present study analy</w:t>
      </w:r>
      <w:r w:rsidR="009A2592" w:rsidRPr="00B22CA9">
        <w:rPr>
          <w:rFonts w:ascii="Times New Roman" w:hAnsi="Times New Roman" w:cs="Times New Roman"/>
          <w:sz w:val="24"/>
          <w:szCs w:val="24"/>
        </w:rPr>
        <w:t>ses</w:t>
      </w:r>
      <w:r w:rsidRPr="00B22CA9">
        <w:rPr>
          <w:rFonts w:ascii="Times New Roman" w:hAnsi="Times New Roman" w:cs="Times New Roman"/>
          <w:sz w:val="24"/>
          <w:szCs w:val="24"/>
        </w:rPr>
        <w:t xml:space="preserve"> the infringement </w:t>
      </w:r>
      <w:r w:rsidRPr="00B22CA9">
        <w:rPr>
          <w:rFonts w:ascii="Times New Roman" w:hAnsi="Times New Roman" w:cs="Times New Roman"/>
          <w:sz w:val="24"/>
          <w:szCs w:val="24"/>
        </w:rPr>
        <w:lastRenderedPageBreak/>
        <w:t>procedure</w:t>
      </w:r>
      <w:r w:rsidR="009A2592" w:rsidRPr="00B22CA9">
        <w:rPr>
          <w:rFonts w:ascii="Times New Roman" w:hAnsi="Times New Roman" w:cs="Times New Roman"/>
          <w:sz w:val="24"/>
          <w:szCs w:val="24"/>
        </w:rPr>
        <w:t xml:space="preserve"> as federal enforcement, how it </w:t>
      </w:r>
      <w:r w:rsidRPr="00B22CA9">
        <w:rPr>
          <w:rFonts w:ascii="Times New Roman" w:hAnsi="Times New Roman" w:cs="Times New Roman"/>
          <w:sz w:val="24"/>
          <w:szCs w:val="24"/>
        </w:rPr>
        <w:t>c</w:t>
      </w:r>
      <w:r w:rsidR="009A2592" w:rsidRPr="00B22CA9">
        <w:rPr>
          <w:rFonts w:ascii="Times New Roman" w:hAnsi="Times New Roman" w:cs="Times New Roman"/>
          <w:sz w:val="24"/>
          <w:szCs w:val="24"/>
        </w:rPr>
        <w:t>ould</w:t>
      </w:r>
      <w:r w:rsidRPr="00B22CA9">
        <w:rPr>
          <w:rFonts w:ascii="Times New Roman" w:hAnsi="Times New Roman" w:cs="Times New Roman"/>
          <w:sz w:val="24"/>
          <w:szCs w:val="24"/>
        </w:rPr>
        <w:t xml:space="preserve"> be activated as a guarantee for </w:t>
      </w:r>
      <w:r w:rsidR="009A2592" w:rsidRPr="00B22CA9">
        <w:rPr>
          <w:rFonts w:ascii="Times New Roman" w:hAnsi="Times New Roman" w:cs="Times New Roman"/>
          <w:sz w:val="24"/>
          <w:szCs w:val="24"/>
        </w:rPr>
        <w:t xml:space="preserve">EU </w:t>
      </w:r>
      <w:r w:rsidRPr="00B22CA9">
        <w:rPr>
          <w:rFonts w:ascii="Times New Roman" w:hAnsi="Times New Roman" w:cs="Times New Roman"/>
          <w:sz w:val="24"/>
          <w:szCs w:val="24"/>
        </w:rPr>
        <w:t>fundamental rights in the Member states</w:t>
      </w:r>
      <w:r w:rsidR="009A2592" w:rsidRPr="00B22CA9">
        <w:rPr>
          <w:rFonts w:ascii="Times New Roman" w:hAnsi="Times New Roman" w:cs="Times New Roman"/>
          <w:sz w:val="24"/>
          <w:szCs w:val="24"/>
        </w:rPr>
        <w:t xml:space="preserve"> and its adequacy </w:t>
      </w:r>
      <w:r w:rsidRPr="00B22CA9">
        <w:rPr>
          <w:rFonts w:ascii="Times New Roman" w:hAnsi="Times New Roman" w:cs="Times New Roman"/>
          <w:sz w:val="24"/>
          <w:szCs w:val="24"/>
        </w:rPr>
        <w:t xml:space="preserve">in situations out of EU law scope of application.       </w:t>
      </w:r>
    </w:p>
    <w:p w:rsidR="00565A5E" w:rsidRPr="00B22CA9" w:rsidRDefault="00A47CDB" w:rsidP="007F11DF">
      <w:pPr>
        <w:spacing w:line="240" w:lineRule="auto"/>
        <w:jc w:val="both"/>
        <w:rPr>
          <w:rFonts w:ascii="Times New Roman" w:hAnsi="Times New Roman" w:cs="Times New Roman"/>
          <w:sz w:val="24"/>
          <w:szCs w:val="24"/>
        </w:rPr>
      </w:pPr>
      <w:r w:rsidRPr="00B22CA9">
        <w:rPr>
          <w:rFonts w:ascii="Times New Roman" w:hAnsi="Times New Roman" w:cs="Times New Roman"/>
          <w:b/>
          <w:bCs/>
          <w:sz w:val="24"/>
          <w:szCs w:val="24"/>
        </w:rPr>
        <w:t>K</w:t>
      </w:r>
      <w:r w:rsidR="00565A5E" w:rsidRPr="00B22CA9">
        <w:rPr>
          <w:rFonts w:ascii="Times New Roman" w:hAnsi="Times New Roman" w:cs="Times New Roman"/>
          <w:b/>
          <w:bCs/>
          <w:sz w:val="24"/>
          <w:szCs w:val="24"/>
        </w:rPr>
        <w:t>eywords</w:t>
      </w:r>
      <w:r w:rsidRPr="00B22CA9">
        <w:rPr>
          <w:rFonts w:ascii="Times New Roman" w:hAnsi="Times New Roman" w:cs="Times New Roman"/>
          <w:sz w:val="24"/>
          <w:szCs w:val="24"/>
        </w:rPr>
        <w:t xml:space="preserve">: Charter of Fundamental Rights; Infringement Procedure; </w:t>
      </w:r>
      <w:r w:rsidR="00413904" w:rsidRPr="00B22CA9">
        <w:rPr>
          <w:rFonts w:ascii="Times New Roman" w:hAnsi="Times New Roman" w:cs="Times New Roman"/>
          <w:sz w:val="24"/>
          <w:szCs w:val="24"/>
        </w:rPr>
        <w:t>Fundamental rights adjudication</w:t>
      </w:r>
      <w:r w:rsidRPr="00B22CA9">
        <w:rPr>
          <w:rFonts w:ascii="Times New Roman" w:hAnsi="Times New Roman" w:cs="Times New Roman"/>
          <w:sz w:val="24"/>
          <w:szCs w:val="24"/>
        </w:rPr>
        <w:t xml:space="preserve">; European Commission; Court of Justice of the European Union; </w:t>
      </w:r>
    </w:p>
    <w:p w:rsidR="00011E37" w:rsidRPr="00B22CA9" w:rsidRDefault="00011E37" w:rsidP="007F11DF">
      <w:pPr>
        <w:spacing w:line="240" w:lineRule="auto"/>
        <w:jc w:val="both"/>
        <w:rPr>
          <w:rFonts w:ascii="Times New Roman" w:hAnsi="Times New Roman" w:cs="Times New Roman"/>
          <w:sz w:val="24"/>
          <w:szCs w:val="24"/>
          <w:lang w:val="fr-FR"/>
        </w:rPr>
      </w:pPr>
      <w:r w:rsidRPr="00B22CA9">
        <w:rPr>
          <w:rFonts w:ascii="Times New Roman" w:hAnsi="Times New Roman" w:cs="Times New Roman"/>
          <w:b/>
          <w:bCs/>
          <w:sz w:val="24"/>
          <w:szCs w:val="24"/>
          <w:lang w:val="fr-FR"/>
        </w:rPr>
        <w:t>Titre</w:t>
      </w:r>
      <w:r w:rsidRPr="00B22CA9">
        <w:rPr>
          <w:rFonts w:ascii="Times New Roman" w:hAnsi="Times New Roman" w:cs="Times New Roman"/>
          <w:sz w:val="24"/>
          <w:szCs w:val="24"/>
          <w:lang w:val="fr-FR"/>
        </w:rPr>
        <w:t xml:space="preserve">: Les </w:t>
      </w:r>
      <w:r w:rsidR="00426B4C" w:rsidRPr="00B22CA9">
        <w:rPr>
          <w:rFonts w:ascii="Times New Roman" w:hAnsi="Times New Roman" w:cs="Times New Roman"/>
          <w:sz w:val="24"/>
          <w:szCs w:val="24"/>
          <w:lang w:val="fr-FR"/>
        </w:rPr>
        <w:t>d</w:t>
      </w:r>
      <w:r w:rsidRPr="00B22CA9">
        <w:rPr>
          <w:rFonts w:ascii="Times New Roman" w:hAnsi="Times New Roman" w:cs="Times New Roman"/>
          <w:sz w:val="24"/>
          <w:szCs w:val="24"/>
          <w:lang w:val="fr-FR"/>
        </w:rPr>
        <w:t xml:space="preserve">roits </w:t>
      </w:r>
      <w:r w:rsidR="00426B4C" w:rsidRPr="00B22CA9">
        <w:rPr>
          <w:rFonts w:ascii="Times New Roman" w:hAnsi="Times New Roman" w:cs="Times New Roman"/>
          <w:sz w:val="24"/>
          <w:szCs w:val="24"/>
          <w:lang w:val="fr-FR"/>
        </w:rPr>
        <w:t>f</w:t>
      </w:r>
      <w:r w:rsidRPr="00B22CA9">
        <w:rPr>
          <w:rFonts w:ascii="Times New Roman" w:hAnsi="Times New Roman" w:cs="Times New Roman"/>
          <w:sz w:val="24"/>
          <w:szCs w:val="24"/>
          <w:lang w:val="fr-FR"/>
        </w:rPr>
        <w:t xml:space="preserve">ondamentaux dans la </w:t>
      </w:r>
      <w:r w:rsidR="00426B4C" w:rsidRPr="00B22CA9">
        <w:rPr>
          <w:rFonts w:ascii="Times New Roman" w:hAnsi="Times New Roman" w:cs="Times New Roman"/>
          <w:sz w:val="24"/>
          <w:szCs w:val="24"/>
          <w:lang w:val="fr-FR"/>
        </w:rPr>
        <w:t>p</w:t>
      </w:r>
      <w:r w:rsidRPr="00B22CA9">
        <w:rPr>
          <w:rFonts w:ascii="Times New Roman" w:hAnsi="Times New Roman" w:cs="Times New Roman"/>
          <w:sz w:val="24"/>
          <w:szCs w:val="24"/>
          <w:lang w:val="fr-FR"/>
        </w:rPr>
        <w:t xml:space="preserve">rocédure en </w:t>
      </w:r>
      <w:r w:rsidR="00426B4C" w:rsidRPr="00B22CA9">
        <w:rPr>
          <w:rFonts w:ascii="Times New Roman" w:hAnsi="Times New Roman" w:cs="Times New Roman"/>
          <w:sz w:val="24"/>
          <w:szCs w:val="24"/>
          <w:lang w:val="fr-FR"/>
        </w:rPr>
        <w:t>m</w:t>
      </w:r>
      <w:r w:rsidRPr="00B22CA9">
        <w:rPr>
          <w:rFonts w:ascii="Times New Roman" w:hAnsi="Times New Roman" w:cs="Times New Roman"/>
          <w:sz w:val="24"/>
          <w:szCs w:val="24"/>
          <w:lang w:val="fr-FR"/>
        </w:rPr>
        <w:t xml:space="preserve">anquement et la conformité constitutionnelle des actions des </w:t>
      </w:r>
      <w:r w:rsidR="00426B4C" w:rsidRPr="00B22CA9">
        <w:rPr>
          <w:rFonts w:ascii="Times New Roman" w:hAnsi="Times New Roman" w:cs="Times New Roman"/>
          <w:sz w:val="24"/>
          <w:szCs w:val="24"/>
          <w:lang w:val="fr-FR"/>
        </w:rPr>
        <w:t>États</w:t>
      </w:r>
      <w:r w:rsidRPr="00B22CA9">
        <w:rPr>
          <w:rFonts w:ascii="Times New Roman" w:hAnsi="Times New Roman" w:cs="Times New Roman"/>
          <w:sz w:val="24"/>
          <w:szCs w:val="24"/>
          <w:lang w:val="fr-FR"/>
        </w:rPr>
        <w:t xml:space="preserve"> </w:t>
      </w:r>
      <w:r w:rsidR="00426B4C" w:rsidRPr="00B22CA9">
        <w:rPr>
          <w:rFonts w:ascii="Times New Roman" w:hAnsi="Times New Roman" w:cs="Times New Roman"/>
          <w:sz w:val="24"/>
          <w:szCs w:val="24"/>
          <w:lang w:val="fr-FR"/>
        </w:rPr>
        <w:t>m</w:t>
      </w:r>
      <w:r w:rsidRPr="00B22CA9">
        <w:rPr>
          <w:rFonts w:ascii="Times New Roman" w:hAnsi="Times New Roman" w:cs="Times New Roman"/>
          <w:sz w:val="24"/>
          <w:szCs w:val="24"/>
          <w:lang w:val="fr-FR"/>
        </w:rPr>
        <w:t xml:space="preserve">embres     </w:t>
      </w:r>
    </w:p>
    <w:p w:rsidR="00011E37" w:rsidRPr="00B22CA9" w:rsidRDefault="00011E37" w:rsidP="007F11DF">
      <w:pPr>
        <w:spacing w:line="240" w:lineRule="auto"/>
        <w:jc w:val="both"/>
        <w:rPr>
          <w:rFonts w:ascii="Times New Roman" w:hAnsi="Times New Roman" w:cs="Times New Roman"/>
          <w:sz w:val="24"/>
          <w:szCs w:val="24"/>
          <w:lang w:val="fr-FR"/>
        </w:rPr>
      </w:pPr>
      <w:r w:rsidRPr="00B22CA9">
        <w:rPr>
          <w:rFonts w:ascii="Times New Roman" w:hAnsi="Times New Roman" w:cs="Times New Roman"/>
          <w:b/>
          <w:bCs/>
          <w:sz w:val="24"/>
          <w:szCs w:val="24"/>
          <w:lang w:val="fr-FR"/>
        </w:rPr>
        <w:t>Résumé</w:t>
      </w:r>
      <w:r w:rsidR="00C173FE" w:rsidRPr="00B22CA9">
        <w:rPr>
          <w:rFonts w:ascii="Times New Roman" w:hAnsi="Times New Roman" w:cs="Times New Roman"/>
          <w:sz w:val="24"/>
          <w:szCs w:val="24"/>
          <w:lang w:val="fr-FR"/>
        </w:rPr>
        <w:t>: Les</w:t>
      </w:r>
      <w:r w:rsidRPr="00B22CA9">
        <w:rPr>
          <w:rFonts w:ascii="Times New Roman" w:hAnsi="Times New Roman" w:cs="Times New Roman"/>
          <w:sz w:val="24"/>
          <w:szCs w:val="24"/>
          <w:lang w:val="fr-FR"/>
        </w:rPr>
        <w:t xml:space="preserve"> droits fondamentaux </w:t>
      </w:r>
      <w:r w:rsidR="00C173FE" w:rsidRPr="00B22CA9">
        <w:rPr>
          <w:rFonts w:ascii="Times New Roman" w:hAnsi="Times New Roman" w:cs="Times New Roman"/>
          <w:sz w:val="24"/>
          <w:szCs w:val="24"/>
          <w:lang w:val="fr-FR"/>
        </w:rPr>
        <w:t xml:space="preserve">de la Charte </w:t>
      </w:r>
      <w:r w:rsidRPr="00B22CA9">
        <w:rPr>
          <w:rFonts w:ascii="Times New Roman" w:hAnsi="Times New Roman" w:cs="Times New Roman"/>
          <w:sz w:val="24"/>
          <w:szCs w:val="24"/>
          <w:lang w:val="fr-FR"/>
        </w:rPr>
        <w:t xml:space="preserve">sont </w:t>
      </w:r>
      <w:r w:rsidR="00426B4C" w:rsidRPr="00B22CA9">
        <w:rPr>
          <w:rFonts w:ascii="Times New Roman" w:hAnsi="Times New Roman" w:cs="Times New Roman"/>
          <w:sz w:val="24"/>
          <w:szCs w:val="24"/>
          <w:lang w:val="fr-FR"/>
        </w:rPr>
        <w:t xml:space="preserve">des </w:t>
      </w:r>
      <w:r w:rsidRPr="00B22CA9">
        <w:rPr>
          <w:rFonts w:ascii="Times New Roman" w:hAnsi="Times New Roman" w:cs="Times New Roman"/>
          <w:sz w:val="24"/>
          <w:szCs w:val="24"/>
          <w:lang w:val="fr-FR"/>
        </w:rPr>
        <w:t xml:space="preserve">paramètres de control de la conformité constitutionnelle du </w:t>
      </w:r>
      <w:r w:rsidR="00426B4C" w:rsidRPr="00B22CA9">
        <w:rPr>
          <w:rFonts w:ascii="Times New Roman" w:hAnsi="Times New Roman" w:cs="Times New Roman"/>
          <w:sz w:val="24"/>
          <w:szCs w:val="24"/>
          <w:lang w:val="fr-FR"/>
        </w:rPr>
        <w:t>d</w:t>
      </w:r>
      <w:r w:rsidRPr="00B22CA9">
        <w:rPr>
          <w:rFonts w:ascii="Times New Roman" w:hAnsi="Times New Roman" w:cs="Times New Roman"/>
          <w:sz w:val="24"/>
          <w:szCs w:val="24"/>
          <w:lang w:val="fr-FR"/>
        </w:rPr>
        <w:t xml:space="preserve">roit dérivé </w:t>
      </w:r>
      <w:r w:rsidR="00B1272B" w:rsidRPr="00B22CA9">
        <w:rPr>
          <w:rFonts w:ascii="Times New Roman" w:hAnsi="Times New Roman" w:cs="Times New Roman"/>
          <w:sz w:val="24"/>
          <w:szCs w:val="24"/>
          <w:lang w:val="fr-FR"/>
        </w:rPr>
        <w:t xml:space="preserve">et de l’action institutionnelle </w:t>
      </w:r>
      <w:r w:rsidRPr="00B22CA9">
        <w:rPr>
          <w:rFonts w:ascii="Times New Roman" w:hAnsi="Times New Roman" w:cs="Times New Roman"/>
          <w:sz w:val="24"/>
          <w:szCs w:val="24"/>
          <w:lang w:val="fr-FR"/>
        </w:rPr>
        <w:t>de l’Union aussi comme de</w:t>
      </w:r>
      <w:r w:rsidR="00B1272B" w:rsidRPr="00B22CA9">
        <w:rPr>
          <w:rFonts w:ascii="Times New Roman" w:hAnsi="Times New Roman" w:cs="Times New Roman"/>
          <w:sz w:val="24"/>
          <w:szCs w:val="24"/>
          <w:lang w:val="fr-FR"/>
        </w:rPr>
        <w:t>s actions</w:t>
      </w:r>
      <w:r w:rsidRPr="00B22CA9">
        <w:rPr>
          <w:rFonts w:ascii="Times New Roman" w:hAnsi="Times New Roman" w:cs="Times New Roman"/>
          <w:sz w:val="24"/>
          <w:szCs w:val="24"/>
          <w:lang w:val="fr-FR"/>
        </w:rPr>
        <w:t xml:space="preserve"> des </w:t>
      </w:r>
      <w:r w:rsidR="00426B4C" w:rsidRPr="00B22CA9">
        <w:rPr>
          <w:rFonts w:ascii="Times New Roman" w:hAnsi="Times New Roman" w:cs="Times New Roman"/>
          <w:sz w:val="24"/>
          <w:szCs w:val="24"/>
          <w:lang w:val="fr-FR"/>
        </w:rPr>
        <w:t>États</w:t>
      </w:r>
      <w:r w:rsidRPr="00B22CA9">
        <w:rPr>
          <w:rFonts w:ascii="Times New Roman" w:hAnsi="Times New Roman" w:cs="Times New Roman"/>
          <w:sz w:val="24"/>
          <w:szCs w:val="24"/>
          <w:lang w:val="fr-FR"/>
        </w:rPr>
        <w:t xml:space="preserve"> membres appliquant le </w:t>
      </w:r>
      <w:r w:rsidR="00426B4C" w:rsidRPr="00B22CA9">
        <w:rPr>
          <w:rFonts w:ascii="Times New Roman" w:hAnsi="Times New Roman" w:cs="Times New Roman"/>
          <w:sz w:val="24"/>
          <w:szCs w:val="24"/>
          <w:lang w:val="fr-FR"/>
        </w:rPr>
        <w:t>d</w:t>
      </w:r>
      <w:r w:rsidRPr="00B22CA9">
        <w:rPr>
          <w:rFonts w:ascii="Times New Roman" w:hAnsi="Times New Roman" w:cs="Times New Roman"/>
          <w:sz w:val="24"/>
          <w:szCs w:val="24"/>
          <w:lang w:val="fr-FR"/>
        </w:rPr>
        <w:t>roit européenne, selon l’article 51 de la Charte. Le renvoi préjudiciel a été très utile pour l’effectivité des droits fon</w:t>
      </w:r>
      <w:r w:rsidR="00250E38" w:rsidRPr="00B22CA9">
        <w:rPr>
          <w:rFonts w:ascii="Times New Roman" w:hAnsi="Times New Roman" w:cs="Times New Roman"/>
          <w:sz w:val="24"/>
          <w:szCs w:val="24"/>
          <w:lang w:val="fr-FR"/>
        </w:rPr>
        <w:t xml:space="preserve">damentaux en plusieurs arrêts. </w:t>
      </w:r>
      <w:r w:rsidRPr="00B22CA9">
        <w:rPr>
          <w:rFonts w:ascii="Times New Roman" w:hAnsi="Times New Roman" w:cs="Times New Roman"/>
          <w:sz w:val="24"/>
          <w:szCs w:val="24"/>
          <w:lang w:val="fr-FR"/>
        </w:rPr>
        <w:t>Dans ce moment-là, quelque pays de l’Union ont défie les valeurs démocratiques et les garanties constitutionnelles sont menacées</w:t>
      </w:r>
      <w:r w:rsidR="00B1272B" w:rsidRPr="00B22CA9">
        <w:rPr>
          <w:rFonts w:ascii="Times New Roman" w:hAnsi="Times New Roman" w:cs="Times New Roman"/>
          <w:sz w:val="24"/>
          <w:szCs w:val="24"/>
          <w:lang w:val="fr-FR"/>
        </w:rPr>
        <w:t xml:space="preserve"> et</w:t>
      </w:r>
      <w:r w:rsidRPr="00B22CA9">
        <w:rPr>
          <w:rFonts w:ascii="Times New Roman" w:hAnsi="Times New Roman" w:cs="Times New Roman"/>
          <w:sz w:val="24"/>
          <w:szCs w:val="24"/>
          <w:lang w:val="fr-FR"/>
        </w:rPr>
        <w:t xml:space="preserve"> </w:t>
      </w:r>
      <w:r w:rsidR="00B1272B" w:rsidRPr="00B22CA9">
        <w:rPr>
          <w:rFonts w:ascii="Times New Roman" w:hAnsi="Times New Roman" w:cs="Times New Roman"/>
          <w:sz w:val="24"/>
          <w:szCs w:val="24"/>
          <w:lang w:val="fr-FR"/>
        </w:rPr>
        <w:t xml:space="preserve">donc </w:t>
      </w:r>
      <w:r w:rsidRPr="00B22CA9">
        <w:rPr>
          <w:rFonts w:ascii="Times New Roman" w:hAnsi="Times New Roman" w:cs="Times New Roman"/>
          <w:sz w:val="24"/>
          <w:szCs w:val="24"/>
          <w:lang w:val="fr-FR"/>
        </w:rPr>
        <w:t>l</w:t>
      </w:r>
      <w:r w:rsidR="00426B4C" w:rsidRPr="00B22CA9">
        <w:rPr>
          <w:rFonts w:ascii="Times New Roman" w:hAnsi="Times New Roman" w:cs="Times New Roman"/>
          <w:sz w:val="24"/>
          <w:szCs w:val="24"/>
          <w:lang w:val="fr-FR"/>
        </w:rPr>
        <w:t>e</w:t>
      </w:r>
      <w:r w:rsidRPr="00B22CA9">
        <w:rPr>
          <w:rFonts w:ascii="Times New Roman" w:hAnsi="Times New Roman" w:cs="Times New Roman"/>
          <w:sz w:val="24"/>
          <w:szCs w:val="24"/>
          <w:lang w:val="fr-FR"/>
        </w:rPr>
        <w:t xml:space="preserve">s procédures d’exécution forcée du </w:t>
      </w:r>
      <w:r w:rsidR="00426B4C" w:rsidRPr="00B22CA9">
        <w:rPr>
          <w:rFonts w:ascii="Times New Roman" w:hAnsi="Times New Roman" w:cs="Times New Roman"/>
          <w:sz w:val="24"/>
          <w:szCs w:val="24"/>
          <w:lang w:val="fr-FR"/>
        </w:rPr>
        <w:t>d</w:t>
      </w:r>
      <w:r w:rsidRPr="00B22CA9">
        <w:rPr>
          <w:rFonts w:ascii="Times New Roman" w:hAnsi="Times New Roman" w:cs="Times New Roman"/>
          <w:sz w:val="24"/>
          <w:szCs w:val="24"/>
          <w:lang w:val="fr-FR"/>
        </w:rPr>
        <w:t>roit européen</w:t>
      </w:r>
      <w:r w:rsidR="00B1272B" w:rsidRPr="00B22CA9">
        <w:rPr>
          <w:rFonts w:ascii="Times New Roman" w:hAnsi="Times New Roman" w:cs="Times New Roman"/>
          <w:sz w:val="24"/>
          <w:szCs w:val="24"/>
          <w:lang w:val="fr-FR"/>
        </w:rPr>
        <w:t>, en relation avec les droits fondamentaux, sont devenues</w:t>
      </w:r>
      <w:r w:rsidRPr="00B22CA9">
        <w:rPr>
          <w:rFonts w:ascii="Times New Roman" w:hAnsi="Times New Roman" w:cs="Times New Roman"/>
          <w:sz w:val="24"/>
          <w:szCs w:val="24"/>
          <w:lang w:val="fr-FR"/>
        </w:rPr>
        <w:t xml:space="preserve"> une question d’intérêt politique, institutionnelle et doctrinale. D’entre eux, la procédure en manquement classique des Traités est un instrument disponible pour renforcer le respect aux droits fondamentaux dans les </w:t>
      </w:r>
      <w:r w:rsidR="00426B4C" w:rsidRPr="00B22CA9">
        <w:rPr>
          <w:rFonts w:ascii="Times New Roman" w:hAnsi="Times New Roman" w:cs="Times New Roman"/>
          <w:sz w:val="24"/>
          <w:szCs w:val="24"/>
          <w:lang w:val="fr-FR"/>
        </w:rPr>
        <w:t>États</w:t>
      </w:r>
      <w:r w:rsidRPr="00B22CA9">
        <w:rPr>
          <w:rFonts w:ascii="Times New Roman" w:hAnsi="Times New Roman" w:cs="Times New Roman"/>
          <w:sz w:val="24"/>
          <w:szCs w:val="24"/>
          <w:lang w:val="fr-FR"/>
        </w:rPr>
        <w:t xml:space="preserve"> membres. Le présent travail examine comment la procédure en manquement, avec </w:t>
      </w:r>
      <w:r w:rsidR="001320C8" w:rsidRPr="00B22CA9">
        <w:rPr>
          <w:rFonts w:ascii="Times New Roman" w:hAnsi="Times New Roman" w:cs="Times New Roman"/>
          <w:sz w:val="24"/>
          <w:szCs w:val="24"/>
          <w:lang w:val="fr-FR"/>
        </w:rPr>
        <w:t>un</w:t>
      </w:r>
      <w:r w:rsidRPr="00B22CA9">
        <w:rPr>
          <w:rFonts w:ascii="Times New Roman" w:hAnsi="Times New Roman" w:cs="Times New Roman"/>
          <w:sz w:val="24"/>
          <w:szCs w:val="24"/>
          <w:lang w:val="fr-FR"/>
        </w:rPr>
        <w:t xml:space="preserve"> double caractère politique et juridique, peut être utilisé</w:t>
      </w:r>
      <w:r w:rsidR="005E0FAE" w:rsidRPr="00B22CA9">
        <w:rPr>
          <w:rFonts w:ascii="Times New Roman" w:hAnsi="Times New Roman" w:cs="Times New Roman"/>
          <w:sz w:val="24"/>
          <w:szCs w:val="24"/>
          <w:lang w:val="fr-FR"/>
        </w:rPr>
        <w:t>e</w:t>
      </w:r>
      <w:r w:rsidRPr="00B22CA9">
        <w:rPr>
          <w:rFonts w:ascii="Times New Roman" w:hAnsi="Times New Roman" w:cs="Times New Roman"/>
          <w:sz w:val="24"/>
          <w:szCs w:val="24"/>
          <w:lang w:val="fr-FR"/>
        </w:rPr>
        <w:t xml:space="preserve"> pour la garantie des droits fondamentaux, spécialement dans les situations dans lesquelles les actuations des </w:t>
      </w:r>
      <w:r w:rsidR="00426B4C" w:rsidRPr="00B22CA9">
        <w:rPr>
          <w:rFonts w:ascii="Times New Roman" w:hAnsi="Times New Roman" w:cs="Times New Roman"/>
          <w:sz w:val="24"/>
          <w:szCs w:val="24"/>
          <w:lang w:val="fr-FR"/>
        </w:rPr>
        <w:t>États</w:t>
      </w:r>
      <w:r w:rsidRPr="00B22CA9">
        <w:rPr>
          <w:rFonts w:ascii="Times New Roman" w:hAnsi="Times New Roman" w:cs="Times New Roman"/>
          <w:sz w:val="24"/>
          <w:szCs w:val="24"/>
          <w:lang w:val="fr-FR"/>
        </w:rPr>
        <w:t xml:space="preserve"> membres se trouvent en dehors du champ d’application de </w:t>
      </w:r>
      <w:r w:rsidR="00426B4C" w:rsidRPr="00B22CA9">
        <w:rPr>
          <w:rFonts w:ascii="Times New Roman" w:hAnsi="Times New Roman" w:cs="Times New Roman"/>
          <w:sz w:val="24"/>
          <w:szCs w:val="24"/>
          <w:lang w:val="fr-FR"/>
        </w:rPr>
        <w:t>d</w:t>
      </w:r>
      <w:r w:rsidRPr="00B22CA9">
        <w:rPr>
          <w:rFonts w:ascii="Times New Roman" w:hAnsi="Times New Roman" w:cs="Times New Roman"/>
          <w:sz w:val="24"/>
          <w:szCs w:val="24"/>
          <w:lang w:val="fr-FR"/>
        </w:rPr>
        <w:t xml:space="preserve">roit de l’Union.        </w:t>
      </w:r>
    </w:p>
    <w:p w:rsidR="00011E37" w:rsidRPr="00B22CA9" w:rsidRDefault="00011E37" w:rsidP="007F11DF">
      <w:pPr>
        <w:spacing w:line="240" w:lineRule="auto"/>
        <w:jc w:val="both"/>
        <w:rPr>
          <w:rFonts w:ascii="Times New Roman" w:hAnsi="Times New Roman" w:cs="Times New Roman"/>
          <w:sz w:val="24"/>
          <w:szCs w:val="24"/>
          <w:lang w:val="fr-FR"/>
        </w:rPr>
      </w:pPr>
      <w:r w:rsidRPr="00B22CA9">
        <w:rPr>
          <w:rFonts w:ascii="Times New Roman" w:hAnsi="Times New Roman" w:cs="Times New Roman"/>
          <w:b/>
          <w:bCs/>
          <w:sz w:val="24"/>
          <w:szCs w:val="24"/>
          <w:lang w:val="fr-FR"/>
        </w:rPr>
        <w:t>Mots clés</w:t>
      </w:r>
      <w:r w:rsidRPr="00B22CA9">
        <w:rPr>
          <w:rFonts w:ascii="Times New Roman" w:hAnsi="Times New Roman" w:cs="Times New Roman"/>
          <w:sz w:val="24"/>
          <w:szCs w:val="24"/>
          <w:lang w:val="fr-FR"/>
        </w:rPr>
        <w:t xml:space="preserve">: Charte de droits fondamentaux; Procédure en manquement; Justice constitutionnelle; Commission </w:t>
      </w:r>
      <w:r w:rsidR="00426B4C" w:rsidRPr="00B22CA9">
        <w:rPr>
          <w:rFonts w:ascii="Times New Roman" w:hAnsi="Times New Roman" w:cs="Times New Roman"/>
          <w:sz w:val="24"/>
          <w:szCs w:val="24"/>
          <w:lang w:val="fr-FR"/>
        </w:rPr>
        <w:t>e</w:t>
      </w:r>
      <w:r w:rsidRPr="00B22CA9">
        <w:rPr>
          <w:rFonts w:ascii="Times New Roman" w:hAnsi="Times New Roman" w:cs="Times New Roman"/>
          <w:sz w:val="24"/>
          <w:szCs w:val="24"/>
          <w:lang w:val="fr-FR"/>
        </w:rPr>
        <w:t xml:space="preserve">uropéenne; Cour de </w:t>
      </w:r>
      <w:r w:rsidR="00426B4C" w:rsidRPr="00B22CA9">
        <w:rPr>
          <w:rFonts w:ascii="Times New Roman" w:hAnsi="Times New Roman" w:cs="Times New Roman"/>
          <w:sz w:val="24"/>
          <w:szCs w:val="24"/>
          <w:lang w:val="fr-FR"/>
        </w:rPr>
        <w:t>j</w:t>
      </w:r>
      <w:r w:rsidRPr="00B22CA9">
        <w:rPr>
          <w:rFonts w:ascii="Times New Roman" w:hAnsi="Times New Roman" w:cs="Times New Roman"/>
          <w:sz w:val="24"/>
          <w:szCs w:val="24"/>
          <w:lang w:val="fr-FR"/>
        </w:rPr>
        <w:t xml:space="preserve">ustice de l’Union </w:t>
      </w:r>
      <w:r w:rsidR="00426B4C" w:rsidRPr="00B22CA9">
        <w:rPr>
          <w:rFonts w:ascii="Times New Roman" w:hAnsi="Times New Roman" w:cs="Times New Roman"/>
          <w:sz w:val="24"/>
          <w:szCs w:val="24"/>
          <w:lang w:val="fr-FR"/>
        </w:rPr>
        <w:t>e</w:t>
      </w:r>
      <w:r w:rsidRPr="00B22CA9">
        <w:rPr>
          <w:rFonts w:ascii="Times New Roman" w:hAnsi="Times New Roman" w:cs="Times New Roman"/>
          <w:sz w:val="24"/>
          <w:szCs w:val="24"/>
          <w:lang w:val="fr-FR"/>
        </w:rPr>
        <w:t xml:space="preserve">uropéenne.    </w:t>
      </w:r>
    </w:p>
    <w:p w:rsidR="008306BB" w:rsidRPr="00B22CA9" w:rsidRDefault="008306BB" w:rsidP="007F11DF">
      <w:pPr>
        <w:spacing w:line="240" w:lineRule="auto"/>
        <w:jc w:val="right"/>
        <w:rPr>
          <w:rFonts w:ascii="Times New Roman" w:hAnsi="Times New Roman" w:cs="Times New Roman"/>
          <w:sz w:val="24"/>
          <w:szCs w:val="24"/>
          <w:lang w:val="fr-FR"/>
        </w:rPr>
      </w:pPr>
    </w:p>
    <w:p w:rsidR="008306BB" w:rsidRPr="00B22CA9" w:rsidRDefault="00C066DD" w:rsidP="007F11DF">
      <w:pPr>
        <w:spacing w:line="240" w:lineRule="auto"/>
        <w:jc w:val="both"/>
        <w:rPr>
          <w:rFonts w:ascii="Times New Roman" w:hAnsi="Times New Roman" w:cs="Times New Roman"/>
          <w:sz w:val="24"/>
          <w:szCs w:val="24"/>
          <w:lang w:val="es-ES"/>
        </w:rPr>
      </w:pPr>
      <w:r w:rsidRPr="00B22CA9">
        <w:rPr>
          <w:rFonts w:ascii="Times New Roman" w:hAnsi="Times New Roman" w:cs="Times New Roman"/>
          <w:b/>
          <w:bCs/>
          <w:sz w:val="24"/>
          <w:szCs w:val="24"/>
          <w:lang w:val="es-ES"/>
        </w:rPr>
        <w:t>Sumario</w:t>
      </w:r>
      <w:r w:rsidRPr="00B22CA9">
        <w:rPr>
          <w:rFonts w:ascii="Times New Roman" w:hAnsi="Times New Roman" w:cs="Times New Roman"/>
          <w:sz w:val="24"/>
          <w:szCs w:val="24"/>
          <w:lang w:val="es-ES"/>
        </w:rPr>
        <w:t>:</w:t>
      </w:r>
      <w:r w:rsidR="00011E37" w:rsidRPr="00B22CA9">
        <w:rPr>
          <w:rFonts w:ascii="Times New Roman" w:hAnsi="Times New Roman" w:cs="Times New Roman"/>
          <w:sz w:val="24"/>
          <w:szCs w:val="24"/>
          <w:lang w:val="es-ES"/>
        </w:rPr>
        <w:t xml:space="preserve"> </w:t>
      </w:r>
      <w:r w:rsidR="00382361" w:rsidRPr="00B22CA9">
        <w:rPr>
          <w:rFonts w:ascii="Times New Roman" w:hAnsi="Times New Roman" w:cs="Times New Roman"/>
          <w:sz w:val="24"/>
          <w:szCs w:val="24"/>
          <w:lang w:val="es-ES"/>
        </w:rPr>
        <w:t>I</w:t>
      </w:r>
      <w:r w:rsidR="000B3344" w:rsidRPr="00B22CA9">
        <w:rPr>
          <w:rFonts w:ascii="Times New Roman" w:hAnsi="Times New Roman" w:cs="Times New Roman"/>
          <w:sz w:val="24"/>
          <w:szCs w:val="24"/>
          <w:lang w:val="es-ES"/>
        </w:rPr>
        <w:t xml:space="preserve">. La </w:t>
      </w:r>
      <w:r w:rsidR="00C31BEF" w:rsidRPr="00B22CA9">
        <w:rPr>
          <w:rFonts w:ascii="Times New Roman" w:hAnsi="Times New Roman" w:cs="Times New Roman"/>
          <w:sz w:val="24"/>
          <w:szCs w:val="24"/>
          <w:lang w:val="es-ES"/>
        </w:rPr>
        <w:t xml:space="preserve">protección </w:t>
      </w:r>
      <w:r w:rsidR="000B3344" w:rsidRPr="00B22CA9">
        <w:rPr>
          <w:rFonts w:ascii="Times New Roman" w:hAnsi="Times New Roman" w:cs="Times New Roman"/>
          <w:sz w:val="24"/>
          <w:szCs w:val="24"/>
          <w:lang w:val="es-ES"/>
        </w:rPr>
        <w:t xml:space="preserve">de los derechos fundamentales en la Unión Europea </w:t>
      </w:r>
      <w:r w:rsidR="00C31BEF" w:rsidRPr="00B22CA9">
        <w:rPr>
          <w:rFonts w:ascii="Times New Roman" w:hAnsi="Times New Roman" w:cs="Times New Roman"/>
          <w:sz w:val="24"/>
          <w:szCs w:val="24"/>
          <w:lang w:val="es-ES"/>
        </w:rPr>
        <w:t>ante el retroceso de garantías constitucionales en algunos Estados miembros</w:t>
      </w:r>
      <w:r w:rsidR="00A51BDD" w:rsidRPr="00B22CA9">
        <w:rPr>
          <w:rFonts w:ascii="Times New Roman" w:hAnsi="Times New Roman" w:cs="Times New Roman"/>
          <w:sz w:val="24"/>
          <w:szCs w:val="24"/>
          <w:lang w:val="es-ES"/>
        </w:rPr>
        <w:t xml:space="preserve">; </w:t>
      </w:r>
      <w:r w:rsidR="00382361" w:rsidRPr="00B22CA9">
        <w:rPr>
          <w:rFonts w:ascii="Times New Roman" w:hAnsi="Times New Roman" w:cs="Times New Roman"/>
          <w:sz w:val="24"/>
          <w:szCs w:val="24"/>
          <w:lang w:val="es-ES"/>
        </w:rPr>
        <w:t>II</w:t>
      </w:r>
      <w:r w:rsidR="008306BB" w:rsidRPr="00B22CA9">
        <w:rPr>
          <w:rFonts w:ascii="Times New Roman" w:hAnsi="Times New Roman" w:cs="Times New Roman"/>
          <w:sz w:val="24"/>
          <w:szCs w:val="24"/>
          <w:lang w:val="es-ES"/>
        </w:rPr>
        <w:t xml:space="preserve">. Sobre el </w:t>
      </w:r>
      <w:r w:rsidR="00B1272B" w:rsidRPr="00B22CA9">
        <w:rPr>
          <w:rFonts w:ascii="Times New Roman" w:hAnsi="Times New Roman" w:cs="Times New Roman"/>
          <w:sz w:val="24"/>
          <w:szCs w:val="24"/>
          <w:lang w:val="es-ES"/>
        </w:rPr>
        <w:t>procedimiento</w:t>
      </w:r>
      <w:r w:rsidR="008306BB" w:rsidRPr="00B22CA9">
        <w:rPr>
          <w:rFonts w:ascii="Times New Roman" w:hAnsi="Times New Roman" w:cs="Times New Roman"/>
          <w:sz w:val="24"/>
          <w:szCs w:val="24"/>
          <w:lang w:val="es-ES"/>
        </w:rPr>
        <w:t xml:space="preserve"> por incumplimiento y su </w:t>
      </w:r>
      <w:r w:rsidR="00B1272B" w:rsidRPr="00B22CA9">
        <w:rPr>
          <w:rFonts w:ascii="Times New Roman" w:hAnsi="Times New Roman" w:cs="Times New Roman"/>
          <w:sz w:val="24"/>
          <w:szCs w:val="24"/>
          <w:lang w:val="es-ES"/>
        </w:rPr>
        <w:t>dimensión constitucional</w:t>
      </w:r>
      <w:r w:rsidR="008306BB" w:rsidRPr="00B22CA9">
        <w:rPr>
          <w:rFonts w:ascii="Times New Roman" w:hAnsi="Times New Roman" w:cs="Times New Roman"/>
          <w:sz w:val="24"/>
          <w:szCs w:val="24"/>
          <w:lang w:val="es-ES"/>
        </w:rPr>
        <w:t>; 1.-La singular naturaleza del recurso por incumplimiento; 2.-</w:t>
      </w:r>
      <w:r w:rsidR="00144095" w:rsidRPr="00B22CA9">
        <w:rPr>
          <w:rFonts w:ascii="Times New Roman" w:hAnsi="Times New Roman" w:cs="Times New Roman"/>
          <w:sz w:val="24"/>
          <w:szCs w:val="24"/>
          <w:lang w:val="es-ES"/>
        </w:rPr>
        <w:t xml:space="preserve">Estructura y práctica institucional </w:t>
      </w:r>
      <w:r w:rsidR="005E0FAE" w:rsidRPr="00B22CA9">
        <w:rPr>
          <w:rFonts w:ascii="Times New Roman" w:hAnsi="Times New Roman" w:cs="Times New Roman"/>
          <w:sz w:val="24"/>
          <w:szCs w:val="24"/>
          <w:lang w:val="es-ES"/>
        </w:rPr>
        <w:t>del procedimiento</w:t>
      </w:r>
      <w:r w:rsidR="008306BB" w:rsidRPr="00B22CA9">
        <w:rPr>
          <w:rFonts w:ascii="Times New Roman" w:hAnsi="Times New Roman" w:cs="Times New Roman"/>
          <w:sz w:val="24"/>
          <w:szCs w:val="24"/>
          <w:lang w:val="es-ES"/>
        </w:rPr>
        <w:t xml:space="preserve">; </w:t>
      </w:r>
      <w:r w:rsidR="005E0FAE" w:rsidRPr="00B22CA9">
        <w:rPr>
          <w:rFonts w:ascii="Times New Roman" w:hAnsi="Times New Roman" w:cs="Times New Roman"/>
          <w:sz w:val="24"/>
          <w:szCs w:val="24"/>
          <w:lang w:val="es-ES"/>
        </w:rPr>
        <w:t>3</w:t>
      </w:r>
      <w:r w:rsidR="008306BB" w:rsidRPr="00B22CA9">
        <w:rPr>
          <w:rFonts w:ascii="Times New Roman" w:hAnsi="Times New Roman" w:cs="Times New Roman"/>
          <w:sz w:val="24"/>
          <w:szCs w:val="24"/>
          <w:lang w:val="es-ES"/>
        </w:rPr>
        <w:t xml:space="preserve">.-Revisión crítica: el recurso por incumplimiento </w:t>
      </w:r>
      <w:r w:rsidR="00AE2F3A" w:rsidRPr="00B22CA9">
        <w:rPr>
          <w:rFonts w:ascii="Times New Roman" w:hAnsi="Times New Roman" w:cs="Times New Roman"/>
          <w:sz w:val="24"/>
          <w:szCs w:val="24"/>
          <w:lang w:val="es-ES"/>
        </w:rPr>
        <w:t xml:space="preserve">en perspectiva </w:t>
      </w:r>
      <w:r w:rsidR="008306BB" w:rsidRPr="00B22CA9">
        <w:rPr>
          <w:rFonts w:ascii="Times New Roman" w:hAnsi="Times New Roman" w:cs="Times New Roman"/>
          <w:sz w:val="24"/>
          <w:szCs w:val="24"/>
          <w:lang w:val="es-ES"/>
        </w:rPr>
        <w:t xml:space="preserve">constitucional; </w:t>
      </w:r>
      <w:r w:rsidR="00382361" w:rsidRPr="00B22CA9">
        <w:rPr>
          <w:rFonts w:ascii="Times New Roman" w:hAnsi="Times New Roman" w:cs="Times New Roman"/>
          <w:sz w:val="24"/>
          <w:szCs w:val="24"/>
          <w:lang w:val="es-ES"/>
        </w:rPr>
        <w:t>III</w:t>
      </w:r>
      <w:r w:rsidR="008306BB" w:rsidRPr="00B22CA9">
        <w:rPr>
          <w:rFonts w:ascii="Times New Roman" w:hAnsi="Times New Roman" w:cs="Times New Roman"/>
          <w:sz w:val="24"/>
          <w:szCs w:val="24"/>
          <w:lang w:val="es-ES"/>
        </w:rPr>
        <w:t>. Sobre el recurso por incumplimiento y los derechos fundamentales en un análisis abstracto; 1.-Aspectos sustantivos: los derechos fundamentales como causa de incumplimiento; 2.-Aspectos procesales</w:t>
      </w:r>
      <w:r w:rsidR="00BB3C4A" w:rsidRPr="00B22CA9">
        <w:rPr>
          <w:rFonts w:ascii="Times New Roman" w:hAnsi="Times New Roman" w:cs="Times New Roman"/>
          <w:sz w:val="24"/>
          <w:szCs w:val="24"/>
          <w:lang w:val="es-ES"/>
        </w:rPr>
        <w:t>,</w:t>
      </w:r>
      <w:r w:rsidR="008306BB" w:rsidRPr="00B22CA9">
        <w:rPr>
          <w:rFonts w:ascii="Times New Roman" w:hAnsi="Times New Roman" w:cs="Times New Roman"/>
          <w:sz w:val="24"/>
          <w:szCs w:val="24"/>
          <w:lang w:val="es-ES"/>
        </w:rPr>
        <w:t xml:space="preserve"> </w:t>
      </w:r>
      <w:r w:rsidR="00C57656" w:rsidRPr="00B22CA9">
        <w:rPr>
          <w:rFonts w:ascii="Times New Roman" w:hAnsi="Times New Roman" w:cs="Times New Roman"/>
          <w:sz w:val="24"/>
          <w:szCs w:val="24"/>
          <w:lang w:val="es-ES"/>
        </w:rPr>
        <w:t>estructura y práctica del procedimiento por incumplimiento</w:t>
      </w:r>
      <w:r w:rsidR="00BB3C4A" w:rsidRPr="00B22CA9">
        <w:rPr>
          <w:rFonts w:ascii="Times New Roman" w:hAnsi="Times New Roman" w:cs="Times New Roman"/>
          <w:sz w:val="24"/>
          <w:szCs w:val="24"/>
          <w:lang w:val="es-ES"/>
        </w:rPr>
        <w:t>:</w:t>
      </w:r>
      <w:r w:rsidR="00C57656" w:rsidRPr="00B22CA9">
        <w:rPr>
          <w:rFonts w:ascii="Times New Roman" w:hAnsi="Times New Roman" w:cs="Times New Roman"/>
          <w:sz w:val="24"/>
          <w:szCs w:val="24"/>
          <w:lang w:val="es-ES"/>
        </w:rPr>
        <w:t xml:space="preserve"> dificultades para su consideración como instrumento de garantía de los derechos fundamentales</w:t>
      </w:r>
      <w:r w:rsidR="008306BB" w:rsidRPr="00B22CA9">
        <w:rPr>
          <w:rFonts w:ascii="Times New Roman" w:hAnsi="Times New Roman" w:cs="Times New Roman"/>
          <w:sz w:val="24"/>
          <w:szCs w:val="24"/>
          <w:lang w:val="es-ES"/>
        </w:rPr>
        <w:t xml:space="preserve">; </w:t>
      </w:r>
      <w:r w:rsidR="00382361" w:rsidRPr="00B22CA9">
        <w:rPr>
          <w:rFonts w:ascii="Times New Roman" w:hAnsi="Times New Roman" w:cs="Times New Roman"/>
          <w:sz w:val="24"/>
          <w:szCs w:val="24"/>
          <w:lang w:val="es-ES"/>
        </w:rPr>
        <w:t>IV</w:t>
      </w:r>
      <w:r w:rsidR="008306BB" w:rsidRPr="00B22CA9">
        <w:rPr>
          <w:rFonts w:ascii="Times New Roman" w:hAnsi="Times New Roman" w:cs="Times New Roman"/>
          <w:sz w:val="24"/>
          <w:szCs w:val="24"/>
          <w:lang w:val="es-ES"/>
        </w:rPr>
        <w:t xml:space="preserve">. </w:t>
      </w:r>
      <w:r w:rsidR="00AC7F56" w:rsidRPr="00B22CA9">
        <w:rPr>
          <w:rFonts w:ascii="Times New Roman" w:hAnsi="Times New Roman" w:cs="Times New Roman"/>
          <w:sz w:val="24"/>
          <w:szCs w:val="24"/>
          <w:lang w:val="es-ES"/>
        </w:rPr>
        <w:t>Sobre los derechos fundamentales en procedimientos por incumplimiento en un análisis concreto: el desmantelamiento de garantías constitucionales en Hungría y Polonia</w:t>
      </w:r>
      <w:r w:rsidR="008306BB" w:rsidRPr="00B22CA9">
        <w:rPr>
          <w:rFonts w:ascii="Times New Roman" w:hAnsi="Times New Roman" w:cs="Times New Roman"/>
          <w:sz w:val="24"/>
          <w:szCs w:val="24"/>
          <w:lang w:val="es-ES"/>
        </w:rPr>
        <w:t xml:space="preserve">; 1.-Hungría; 2.-Polonia; </w:t>
      </w:r>
      <w:r w:rsidR="00382361" w:rsidRPr="00B22CA9">
        <w:rPr>
          <w:rFonts w:ascii="Times New Roman" w:hAnsi="Times New Roman" w:cs="Times New Roman"/>
          <w:sz w:val="24"/>
          <w:szCs w:val="24"/>
          <w:lang w:val="es-ES"/>
        </w:rPr>
        <w:t>V</w:t>
      </w:r>
      <w:r w:rsidR="008306BB" w:rsidRPr="00B22CA9">
        <w:rPr>
          <w:rFonts w:ascii="Times New Roman" w:hAnsi="Times New Roman" w:cs="Times New Roman"/>
          <w:sz w:val="24"/>
          <w:szCs w:val="24"/>
          <w:lang w:val="es-ES"/>
        </w:rPr>
        <w:t>.-Conclusiones.</w:t>
      </w:r>
    </w:p>
    <w:p w:rsidR="002263C9" w:rsidRPr="00B22CA9" w:rsidRDefault="002263C9" w:rsidP="007F11DF">
      <w:pPr>
        <w:spacing w:line="240" w:lineRule="auto"/>
        <w:jc w:val="both"/>
        <w:rPr>
          <w:rFonts w:ascii="Times New Roman" w:hAnsi="Times New Roman" w:cs="Times New Roman"/>
          <w:sz w:val="24"/>
          <w:szCs w:val="24"/>
          <w:lang w:val="es-ES"/>
        </w:rPr>
        <w:sectPr w:rsidR="002263C9" w:rsidRPr="00B22CA9">
          <w:footnotePr>
            <w:numFmt w:val="chicago"/>
            <w:numRestart w:val="eachSect"/>
          </w:footnotePr>
          <w:pgSz w:w="12240" w:h="15840"/>
          <w:pgMar w:top="1440" w:right="1440" w:bottom="1440" w:left="1440" w:header="708" w:footer="708" w:gutter="0"/>
          <w:cols w:space="708"/>
          <w:docGrid w:linePitch="360"/>
        </w:sectPr>
      </w:pPr>
    </w:p>
    <w:p w:rsidR="00011E37" w:rsidRPr="00B22CA9" w:rsidRDefault="00011E37" w:rsidP="007F11DF">
      <w:pPr>
        <w:spacing w:line="240" w:lineRule="auto"/>
        <w:jc w:val="both"/>
        <w:rPr>
          <w:rFonts w:ascii="Times New Roman" w:hAnsi="Times New Roman" w:cs="Times New Roman"/>
          <w:sz w:val="24"/>
          <w:szCs w:val="24"/>
          <w:lang w:val="es-ES"/>
        </w:rPr>
      </w:pPr>
    </w:p>
    <w:p w:rsidR="001A0309" w:rsidRPr="00B22CA9" w:rsidRDefault="00382361" w:rsidP="007F11DF">
      <w:pPr>
        <w:spacing w:line="240" w:lineRule="auto"/>
        <w:jc w:val="both"/>
        <w:rPr>
          <w:rFonts w:ascii="Times New Roman" w:hAnsi="Times New Roman" w:cs="Times New Roman"/>
          <w:b/>
          <w:bCs/>
          <w:sz w:val="24"/>
          <w:szCs w:val="24"/>
          <w:lang w:val="es-ES"/>
        </w:rPr>
      </w:pPr>
      <w:r w:rsidRPr="00B22CA9">
        <w:rPr>
          <w:rFonts w:ascii="Times New Roman" w:hAnsi="Times New Roman" w:cs="Times New Roman"/>
          <w:b/>
          <w:bCs/>
          <w:sz w:val="24"/>
          <w:szCs w:val="24"/>
          <w:lang w:val="es-ES"/>
        </w:rPr>
        <w:t>I</w:t>
      </w:r>
      <w:r w:rsidR="00C873BC" w:rsidRPr="00B22CA9">
        <w:rPr>
          <w:rFonts w:ascii="Times New Roman" w:hAnsi="Times New Roman" w:cs="Times New Roman"/>
          <w:b/>
          <w:bCs/>
          <w:sz w:val="24"/>
          <w:szCs w:val="24"/>
          <w:lang w:val="es-ES"/>
        </w:rPr>
        <w:t xml:space="preserve">. </w:t>
      </w:r>
      <w:r w:rsidR="00E47DF9" w:rsidRPr="00B22CA9">
        <w:rPr>
          <w:rFonts w:ascii="Times New Roman" w:hAnsi="Times New Roman" w:cs="Times New Roman"/>
          <w:b/>
          <w:bCs/>
          <w:sz w:val="24"/>
          <w:szCs w:val="24"/>
          <w:lang w:val="es-ES"/>
        </w:rPr>
        <w:t>L</w:t>
      </w:r>
      <w:r w:rsidR="001A0309" w:rsidRPr="00B22CA9">
        <w:rPr>
          <w:rFonts w:ascii="Times New Roman" w:hAnsi="Times New Roman" w:cs="Times New Roman"/>
          <w:b/>
          <w:bCs/>
          <w:sz w:val="24"/>
          <w:szCs w:val="24"/>
          <w:lang w:val="es-ES"/>
        </w:rPr>
        <w:t>a</w:t>
      </w:r>
      <w:r w:rsidR="00C31BEF" w:rsidRPr="00B22CA9">
        <w:rPr>
          <w:rFonts w:ascii="Times New Roman" w:hAnsi="Times New Roman" w:cs="Times New Roman"/>
          <w:b/>
          <w:bCs/>
          <w:sz w:val="24"/>
          <w:szCs w:val="24"/>
          <w:lang w:val="es-ES"/>
        </w:rPr>
        <w:t xml:space="preserve"> protección </w:t>
      </w:r>
      <w:r w:rsidR="001A0309" w:rsidRPr="00B22CA9">
        <w:rPr>
          <w:rFonts w:ascii="Times New Roman" w:hAnsi="Times New Roman" w:cs="Times New Roman"/>
          <w:b/>
          <w:bCs/>
          <w:sz w:val="24"/>
          <w:szCs w:val="24"/>
          <w:lang w:val="es-ES"/>
        </w:rPr>
        <w:t>de los derechos fundamentales</w:t>
      </w:r>
      <w:r w:rsidR="001A408D" w:rsidRPr="00B22CA9">
        <w:rPr>
          <w:rFonts w:ascii="Times New Roman" w:hAnsi="Times New Roman" w:cs="Times New Roman"/>
          <w:b/>
          <w:bCs/>
          <w:sz w:val="24"/>
          <w:szCs w:val="24"/>
          <w:lang w:val="es-ES"/>
        </w:rPr>
        <w:t xml:space="preserve"> en la Unión Europea</w:t>
      </w:r>
      <w:r w:rsidR="00C31BEF" w:rsidRPr="00B22CA9">
        <w:rPr>
          <w:rFonts w:ascii="Times New Roman" w:hAnsi="Times New Roman" w:cs="Times New Roman"/>
          <w:b/>
          <w:bCs/>
          <w:sz w:val="24"/>
          <w:szCs w:val="24"/>
          <w:lang w:val="es-ES"/>
        </w:rPr>
        <w:t xml:space="preserve"> ante el retroceso de garantías constitucionales en algunos Estados miembros</w:t>
      </w:r>
    </w:p>
    <w:p w:rsidR="00550D74" w:rsidRPr="00B22CA9" w:rsidRDefault="00E47DF9" w:rsidP="007F11DF">
      <w:pPr>
        <w:spacing w:line="240" w:lineRule="auto"/>
        <w:jc w:val="both"/>
        <w:rPr>
          <w:rFonts w:ascii="Times New Roman" w:hAnsi="Times New Roman" w:cs="Times New Roman"/>
          <w:sz w:val="24"/>
          <w:szCs w:val="24"/>
          <w:lang w:val="es-ES"/>
        </w:rPr>
      </w:pPr>
      <w:r w:rsidRPr="00B22CA9">
        <w:rPr>
          <w:rFonts w:ascii="Times New Roman" w:hAnsi="Times New Roman" w:cs="Times New Roman"/>
          <w:sz w:val="24"/>
          <w:szCs w:val="24"/>
          <w:lang w:val="es-ES"/>
        </w:rPr>
        <w:tab/>
      </w:r>
      <w:r w:rsidR="00513995" w:rsidRPr="00B22CA9">
        <w:rPr>
          <w:rFonts w:ascii="Times New Roman" w:hAnsi="Times New Roman" w:cs="Times New Roman"/>
          <w:sz w:val="24"/>
          <w:szCs w:val="24"/>
          <w:lang w:val="es-ES"/>
        </w:rPr>
        <w:t xml:space="preserve">La Carta </w:t>
      </w:r>
      <w:r w:rsidR="002B6B3C" w:rsidRPr="00B22CA9">
        <w:rPr>
          <w:rFonts w:ascii="Times New Roman" w:hAnsi="Times New Roman" w:cs="Times New Roman"/>
          <w:sz w:val="24"/>
          <w:szCs w:val="24"/>
          <w:lang w:val="es-ES"/>
        </w:rPr>
        <w:t xml:space="preserve">de Derechos Fundamentales </w:t>
      </w:r>
      <w:r w:rsidR="00D35D7D" w:rsidRPr="00B22CA9">
        <w:rPr>
          <w:rFonts w:ascii="Times New Roman" w:hAnsi="Times New Roman" w:cs="Times New Roman"/>
          <w:sz w:val="24"/>
          <w:szCs w:val="24"/>
          <w:lang w:val="es-ES"/>
        </w:rPr>
        <w:t xml:space="preserve">de la Unión Europea </w:t>
      </w:r>
      <w:r w:rsidR="00513995" w:rsidRPr="00B22CA9">
        <w:rPr>
          <w:rFonts w:ascii="Times New Roman" w:hAnsi="Times New Roman" w:cs="Times New Roman"/>
          <w:sz w:val="24"/>
          <w:szCs w:val="24"/>
          <w:lang w:val="es-ES"/>
        </w:rPr>
        <w:t xml:space="preserve">constituye </w:t>
      </w:r>
      <w:r w:rsidR="007C5904" w:rsidRPr="00B22CA9">
        <w:rPr>
          <w:rFonts w:ascii="Times New Roman" w:hAnsi="Times New Roman" w:cs="Times New Roman"/>
          <w:sz w:val="24"/>
          <w:szCs w:val="24"/>
          <w:lang w:val="es-ES"/>
        </w:rPr>
        <w:t>un</w:t>
      </w:r>
      <w:r w:rsidR="002B6B3C" w:rsidRPr="00B22CA9">
        <w:rPr>
          <w:rFonts w:ascii="Times New Roman" w:hAnsi="Times New Roman" w:cs="Times New Roman"/>
          <w:sz w:val="24"/>
          <w:szCs w:val="24"/>
          <w:lang w:val="es-ES"/>
        </w:rPr>
        <w:t xml:space="preserve"> parámetro de conformidad constitucional de la</w:t>
      </w:r>
      <w:r w:rsidR="007C5904" w:rsidRPr="00B22CA9">
        <w:rPr>
          <w:rFonts w:ascii="Times New Roman" w:hAnsi="Times New Roman" w:cs="Times New Roman"/>
          <w:sz w:val="24"/>
          <w:szCs w:val="24"/>
          <w:lang w:val="es-ES"/>
        </w:rPr>
        <w:t xml:space="preserve"> acción </w:t>
      </w:r>
      <w:r w:rsidR="002B6B3C" w:rsidRPr="00B22CA9">
        <w:rPr>
          <w:rFonts w:ascii="Times New Roman" w:hAnsi="Times New Roman" w:cs="Times New Roman"/>
          <w:sz w:val="24"/>
          <w:szCs w:val="24"/>
          <w:lang w:val="es-ES"/>
        </w:rPr>
        <w:t>de</w:t>
      </w:r>
      <w:r w:rsidR="007C5904" w:rsidRPr="00B22CA9">
        <w:rPr>
          <w:rFonts w:ascii="Times New Roman" w:hAnsi="Times New Roman" w:cs="Times New Roman"/>
          <w:sz w:val="24"/>
          <w:szCs w:val="24"/>
          <w:lang w:val="es-ES"/>
        </w:rPr>
        <w:t xml:space="preserve"> la</w:t>
      </w:r>
      <w:r w:rsidR="00513995" w:rsidRPr="00B22CA9">
        <w:rPr>
          <w:rFonts w:ascii="Times New Roman" w:hAnsi="Times New Roman" w:cs="Times New Roman"/>
          <w:sz w:val="24"/>
          <w:szCs w:val="24"/>
          <w:lang w:val="es-ES"/>
        </w:rPr>
        <w:t xml:space="preserve"> Unión</w:t>
      </w:r>
      <w:r w:rsidR="00336B2D" w:rsidRPr="00B22CA9">
        <w:rPr>
          <w:rFonts w:ascii="Times New Roman" w:hAnsi="Times New Roman" w:cs="Times New Roman"/>
          <w:sz w:val="24"/>
          <w:szCs w:val="24"/>
          <w:lang w:val="es-ES"/>
        </w:rPr>
        <w:t xml:space="preserve"> que, al mismo tiempo, vincula a los Estados </w:t>
      </w:r>
      <w:r w:rsidR="00336B2D" w:rsidRPr="00B22CA9">
        <w:rPr>
          <w:rFonts w:ascii="Times New Roman" w:hAnsi="Times New Roman" w:cs="Times New Roman"/>
          <w:sz w:val="24"/>
          <w:szCs w:val="24"/>
          <w:lang w:val="es-ES"/>
        </w:rPr>
        <w:lastRenderedPageBreak/>
        <w:t>miembros cuando actúan en los ámbitos propios del derecho supranacional</w:t>
      </w:r>
      <w:r w:rsidR="00500DE5" w:rsidRPr="00B22CA9">
        <w:rPr>
          <w:rStyle w:val="Refdenotaalpie"/>
          <w:rFonts w:ascii="Times New Roman" w:hAnsi="Times New Roman" w:cs="Times New Roman"/>
          <w:sz w:val="24"/>
          <w:szCs w:val="24"/>
          <w:lang w:val="es-ES"/>
        </w:rPr>
        <w:footnoteReference w:id="2"/>
      </w:r>
      <w:r w:rsidR="00513995" w:rsidRPr="00B22CA9">
        <w:rPr>
          <w:rFonts w:ascii="Times New Roman" w:hAnsi="Times New Roman" w:cs="Times New Roman"/>
          <w:sz w:val="24"/>
          <w:szCs w:val="24"/>
          <w:lang w:val="es-ES"/>
        </w:rPr>
        <w:t>.</w:t>
      </w:r>
      <w:r w:rsidR="00500DE5" w:rsidRPr="00B22CA9">
        <w:rPr>
          <w:rFonts w:ascii="Times New Roman" w:hAnsi="Times New Roman" w:cs="Times New Roman"/>
          <w:sz w:val="24"/>
          <w:szCs w:val="24"/>
          <w:lang w:val="es-ES"/>
        </w:rPr>
        <w:t xml:space="preserve"> </w:t>
      </w:r>
      <w:r w:rsidR="002B6B3C" w:rsidRPr="00B22CA9">
        <w:rPr>
          <w:rFonts w:ascii="Times New Roman" w:hAnsi="Times New Roman" w:cs="Times New Roman"/>
          <w:sz w:val="24"/>
          <w:szCs w:val="24"/>
          <w:lang w:val="es-ES"/>
        </w:rPr>
        <w:t>Pero</w:t>
      </w:r>
      <w:r w:rsidR="00396067" w:rsidRPr="00B22CA9">
        <w:rPr>
          <w:rFonts w:ascii="Times New Roman" w:hAnsi="Times New Roman" w:cs="Times New Roman"/>
          <w:sz w:val="24"/>
          <w:szCs w:val="24"/>
          <w:lang w:val="es-ES"/>
        </w:rPr>
        <w:t xml:space="preserve"> </w:t>
      </w:r>
      <w:r w:rsidR="002B6B3C" w:rsidRPr="00B22CA9">
        <w:rPr>
          <w:rFonts w:ascii="Times New Roman" w:hAnsi="Times New Roman" w:cs="Times New Roman"/>
          <w:sz w:val="24"/>
          <w:szCs w:val="24"/>
          <w:lang w:val="es-ES"/>
        </w:rPr>
        <w:t>l</w:t>
      </w:r>
      <w:r w:rsidR="00FD5443" w:rsidRPr="00B22CA9">
        <w:rPr>
          <w:rFonts w:ascii="Times New Roman" w:hAnsi="Times New Roman" w:cs="Times New Roman"/>
          <w:sz w:val="24"/>
          <w:szCs w:val="24"/>
          <w:lang w:val="es-ES"/>
        </w:rPr>
        <w:t xml:space="preserve">a especial posición de los derechos </w:t>
      </w:r>
      <w:r w:rsidR="005842AE" w:rsidRPr="00B22CA9">
        <w:rPr>
          <w:rFonts w:ascii="Times New Roman" w:hAnsi="Times New Roman" w:cs="Times New Roman"/>
          <w:sz w:val="24"/>
          <w:szCs w:val="24"/>
          <w:lang w:val="es-ES"/>
        </w:rPr>
        <w:t xml:space="preserve">fundamentales </w:t>
      </w:r>
      <w:r w:rsidR="00FD5443" w:rsidRPr="00B22CA9">
        <w:rPr>
          <w:rFonts w:ascii="Times New Roman" w:hAnsi="Times New Roman" w:cs="Times New Roman"/>
          <w:sz w:val="24"/>
          <w:szCs w:val="24"/>
          <w:lang w:val="es-ES"/>
        </w:rPr>
        <w:t xml:space="preserve">en los sistemas constitucionales </w:t>
      </w:r>
      <w:r w:rsidR="00500DE5" w:rsidRPr="00B22CA9">
        <w:rPr>
          <w:rFonts w:ascii="Times New Roman" w:hAnsi="Times New Roman" w:cs="Times New Roman"/>
          <w:sz w:val="24"/>
          <w:szCs w:val="24"/>
          <w:lang w:val="es-ES"/>
        </w:rPr>
        <w:t>nacionales exige un singular</w:t>
      </w:r>
      <w:r w:rsidR="00EA291C" w:rsidRPr="00B22CA9">
        <w:rPr>
          <w:rFonts w:ascii="Times New Roman" w:hAnsi="Times New Roman" w:cs="Times New Roman"/>
          <w:sz w:val="24"/>
          <w:szCs w:val="24"/>
          <w:lang w:val="es-ES"/>
        </w:rPr>
        <w:t xml:space="preserve"> rigor</w:t>
      </w:r>
      <w:r w:rsidR="00500DE5" w:rsidRPr="00B22CA9">
        <w:rPr>
          <w:rFonts w:ascii="Times New Roman" w:hAnsi="Times New Roman" w:cs="Times New Roman"/>
          <w:sz w:val="24"/>
          <w:szCs w:val="24"/>
          <w:lang w:val="es-ES"/>
        </w:rPr>
        <w:t xml:space="preserve"> a la hora de determinar </w:t>
      </w:r>
      <w:r w:rsidR="00A11399" w:rsidRPr="00B22CA9">
        <w:rPr>
          <w:rFonts w:ascii="Times New Roman" w:hAnsi="Times New Roman" w:cs="Times New Roman"/>
          <w:sz w:val="24"/>
          <w:szCs w:val="24"/>
          <w:lang w:val="es-ES"/>
        </w:rPr>
        <w:t>la</w:t>
      </w:r>
      <w:r w:rsidR="00500DE5" w:rsidRPr="00B22CA9">
        <w:rPr>
          <w:rFonts w:ascii="Times New Roman" w:hAnsi="Times New Roman" w:cs="Times New Roman"/>
          <w:sz w:val="24"/>
          <w:szCs w:val="24"/>
          <w:lang w:val="es-ES"/>
        </w:rPr>
        <w:t xml:space="preserve"> eficacia </w:t>
      </w:r>
      <w:r w:rsidR="00B0041D" w:rsidRPr="00B22CA9">
        <w:rPr>
          <w:rFonts w:ascii="Times New Roman" w:hAnsi="Times New Roman" w:cs="Times New Roman"/>
          <w:sz w:val="24"/>
          <w:szCs w:val="24"/>
          <w:lang w:val="es-ES"/>
        </w:rPr>
        <w:t>de l</w:t>
      </w:r>
      <w:r w:rsidR="00A11399" w:rsidRPr="00B22CA9">
        <w:rPr>
          <w:rFonts w:ascii="Times New Roman" w:hAnsi="Times New Roman" w:cs="Times New Roman"/>
          <w:sz w:val="24"/>
          <w:szCs w:val="24"/>
          <w:lang w:val="es-ES"/>
        </w:rPr>
        <w:t xml:space="preserve">a </w:t>
      </w:r>
      <w:r w:rsidR="00EA291C" w:rsidRPr="00B22CA9">
        <w:rPr>
          <w:rFonts w:ascii="Times New Roman" w:hAnsi="Times New Roman" w:cs="Times New Roman"/>
          <w:sz w:val="24"/>
          <w:szCs w:val="24"/>
          <w:lang w:val="es-ES"/>
        </w:rPr>
        <w:t>Carta</w:t>
      </w:r>
      <w:r w:rsidR="00A11399" w:rsidRPr="00B22CA9">
        <w:rPr>
          <w:rFonts w:ascii="Times New Roman" w:hAnsi="Times New Roman" w:cs="Times New Roman"/>
          <w:sz w:val="24"/>
          <w:szCs w:val="24"/>
          <w:lang w:val="es-ES"/>
        </w:rPr>
        <w:t xml:space="preserve"> </w:t>
      </w:r>
      <w:r w:rsidR="00500DE5" w:rsidRPr="00B22CA9">
        <w:rPr>
          <w:rFonts w:ascii="Times New Roman" w:hAnsi="Times New Roman" w:cs="Times New Roman"/>
          <w:sz w:val="24"/>
          <w:szCs w:val="24"/>
          <w:lang w:val="es-ES"/>
        </w:rPr>
        <w:t xml:space="preserve">sobre </w:t>
      </w:r>
      <w:r w:rsidR="00A11399" w:rsidRPr="00B22CA9">
        <w:rPr>
          <w:rFonts w:ascii="Times New Roman" w:hAnsi="Times New Roman" w:cs="Times New Roman"/>
          <w:sz w:val="24"/>
          <w:szCs w:val="24"/>
          <w:lang w:val="es-ES"/>
        </w:rPr>
        <w:t>una</w:t>
      </w:r>
      <w:r w:rsidR="00500DE5" w:rsidRPr="00B22CA9">
        <w:rPr>
          <w:rFonts w:ascii="Times New Roman" w:hAnsi="Times New Roman" w:cs="Times New Roman"/>
          <w:sz w:val="24"/>
          <w:szCs w:val="24"/>
          <w:lang w:val="es-ES"/>
        </w:rPr>
        <w:t xml:space="preserve"> acción estatal</w:t>
      </w:r>
      <w:r w:rsidR="00C341B8" w:rsidRPr="00B22CA9">
        <w:rPr>
          <w:rFonts w:ascii="Times New Roman" w:hAnsi="Times New Roman" w:cs="Times New Roman"/>
          <w:sz w:val="24"/>
          <w:szCs w:val="24"/>
          <w:lang w:val="es-ES"/>
        </w:rPr>
        <w:t xml:space="preserve">. </w:t>
      </w:r>
      <w:r w:rsidR="00396067" w:rsidRPr="00B22CA9">
        <w:rPr>
          <w:rFonts w:ascii="Times New Roman" w:hAnsi="Times New Roman" w:cs="Times New Roman"/>
          <w:sz w:val="24"/>
          <w:szCs w:val="24"/>
          <w:lang w:val="es-ES"/>
        </w:rPr>
        <w:t>Es por ello que e</w:t>
      </w:r>
      <w:r w:rsidR="00E53583" w:rsidRPr="00B22CA9">
        <w:rPr>
          <w:rFonts w:ascii="Times New Roman" w:hAnsi="Times New Roman" w:cs="Times New Roman"/>
          <w:sz w:val="24"/>
          <w:szCs w:val="24"/>
          <w:lang w:val="es-ES"/>
        </w:rPr>
        <w:t xml:space="preserve">l </w:t>
      </w:r>
      <w:r w:rsidR="00EA291C" w:rsidRPr="00B22CA9">
        <w:rPr>
          <w:rFonts w:ascii="Times New Roman" w:hAnsi="Times New Roman" w:cs="Times New Roman"/>
          <w:sz w:val="24"/>
          <w:szCs w:val="24"/>
          <w:lang w:val="es-ES"/>
        </w:rPr>
        <w:t xml:space="preserve">debate </w:t>
      </w:r>
      <w:r w:rsidR="007C5904" w:rsidRPr="00B22CA9">
        <w:rPr>
          <w:rFonts w:ascii="Times New Roman" w:hAnsi="Times New Roman" w:cs="Times New Roman"/>
          <w:sz w:val="24"/>
          <w:szCs w:val="24"/>
          <w:lang w:val="es-ES"/>
        </w:rPr>
        <w:t>en torno a</w:t>
      </w:r>
      <w:r w:rsidR="00E53583" w:rsidRPr="00B22CA9">
        <w:rPr>
          <w:rFonts w:ascii="Times New Roman" w:hAnsi="Times New Roman" w:cs="Times New Roman"/>
          <w:sz w:val="24"/>
          <w:szCs w:val="24"/>
          <w:lang w:val="es-ES"/>
        </w:rPr>
        <w:t xml:space="preserve"> </w:t>
      </w:r>
      <w:r w:rsidR="00EA291C" w:rsidRPr="00B22CA9">
        <w:rPr>
          <w:rFonts w:ascii="Times New Roman" w:hAnsi="Times New Roman" w:cs="Times New Roman"/>
          <w:sz w:val="24"/>
          <w:szCs w:val="24"/>
          <w:lang w:val="es-ES"/>
        </w:rPr>
        <w:t>sus</w:t>
      </w:r>
      <w:r w:rsidR="00E53583" w:rsidRPr="00B22CA9">
        <w:rPr>
          <w:rFonts w:ascii="Times New Roman" w:hAnsi="Times New Roman" w:cs="Times New Roman"/>
          <w:sz w:val="24"/>
          <w:szCs w:val="24"/>
          <w:lang w:val="es-ES"/>
        </w:rPr>
        <w:t xml:space="preserve"> cláusulas horizontales</w:t>
      </w:r>
      <w:r w:rsidR="00A11399" w:rsidRPr="00B22CA9">
        <w:rPr>
          <w:rFonts w:ascii="Times New Roman" w:hAnsi="Times New Roman" w:cs="Times New Roman"/>
          <w:sz w:val="24"/>
          <w:szCs w:val="24"/>
          <w:lang w:val="es-ES"/>
        </w:rPr>
        <w:t xml:space="preserve">, en especial el artículo 51, </w:t>
      </w:r>
      <w:r w:rsidR="00336B2D" w:rsidRPr="00B22CA9">
        <w:rPr>
          <w:rFonts w:ascii="Times New Roman" w:hAnsi="Times New Roman" w:cs="Times New Roman"/>
          <w:sz w:val="24"/>
          <w:szCs w:val="24"/>
          <w:lang w:val="es-ES"/>
        </w:rPr>
        <w:t>ha ocupado considerablemente</w:t>
      </w:r>
      <w:r w:rsidR="00A11399" w:rsidRPr="00B22CA9">
        <w:rPr>
          <w:rFonts w:ascii="Times New Roman" w:hAnsi="Times New Roman" w:cs="Times New Roman"/>
          <w:sz w:val="24"/>
          <w:szCs w:val="24"/>
          <w:lang w:val="es-ES"/>
        </w:rPr>
        <w:t xml:space="preserve"> </w:t>
      </w:r>
      <w:r w:rsidR="00336B2D" w:rsidRPr="00B22CA9">
        <w:rPr>
          <w:rFonts w:ascii="Times New Roman" w:hAnsi="Times New Roman" w:cs="Times New Roman"/>
          <w:sz w:val="24"/>
          <w:szCs w:val="24"/>
          <w:lang w:val="es-ES"/>
        </w:rPr>
        <w:t xml:space="preserve">a </w:t>
      </w:r>
      <w:r w:rsidR="00A11399" w:rsidRPr="00B22CA9">
        <w:rPr>
          <w:rFonts w:ascii="Times New Roman" w:hAnsi="Times New Roman" w:cs="Times New Roman"/>
          <w:sz w:val="24"/>
          <w:szCs w:val="24"/>
          <w:lang w:val="es-ES"/>
        </w:rPr>
        <w:t>la doctrina especializada</w:t>
      </w:r>
      <w:r w:rsidR="00336B2D" w:rsidRPr="00B22CA9">
        <w:rPr>
          <w:rFonts w:ascii="Times New Roman" w:hAnsi="Times New Roman" w:cs="Times New Roman"/>
          <w:sz w:val="24"/>
          <w:szCs w:val="24"/>
          <w:lang w:val="es-ES"/>
        </w:rPr>
        <w:t>, sobre todo</w:t>
      </w:r>
      <w:r w:rsidR="00A11399" w:rsidRPr="00B22CA9">
        <w:rPr>
          <w:rFonts w:ascii="Times New Roman" w:hAnsi="Times New Roman" w:cs="Times New Roman"/>
          <w:sz w:val="24"/>
          <w:szCs w:val="24"/>
          <w:lang w:val="es-ES"/>
        </w:rPr>
        <w:t xml:space="preserve"> en los primeros años de su vigencia</w:t>
      </w:r>
      <w:r w:rsidR="001B1810" w:rsidRPr="00B22CA9">
        <w:rPr>
          <w:rStyle w:val="Refdenotaalpie"/>
          <w:rFonts w:ascii="Times New Roman" w:hAnsi="Times New Roman" w:cs="Times New Roman"/>
          <w:sz w:val="24"/>
          <w:szCs w:val="24"/>
          <w:lang w:val="es-ES"/>
        </w:rPr>
        <w:footnoteReference w:id="3"/>
      </w:r>
      <w:r w:rsidR="00EA291C" w:rsidRPr="00B22CA9">
        <w:rPr>
          <w:rFonts w:ascii="Times New Roman" w:hAnsi="Times New Roman" w:cs="Times New Roman"/>
          <w:sz w:val="24"/>
          <w:szCs w:val="24"/>
          <w:lang w:val="es-ES"/>
        </w:rPr>
        <w:t xml:space="preserve">. </w:t>
      </w:r>
      <w:r w:rsidR="00396067" w:rsidRPr="00B22CA9">
        <w:rPr>
          <w:rFonts w:ascii="Times New Roman" w:hAnsi="Times New Roman" w:cs="Times New Roman"/>
          <w:sz w:val="24"/>
          <w:szCs w:val="24"/>
          <w:lang w:val="es-ES"/>
        </w:rPr>
        <w:t>Y es por ello que l</w:t>
      </w:r>
      <w:r w:rsidR="00A11399" w:rsidRPr="00B22CA9">
        <w:rPr>
          <w:rFonts w:ascii="Times New Roman" w:hAnsi="Times New Roman" w:cs="Times New Roman"/>
          <w:sz w:val="24"/>
          <w:szCs w:val="24"/>
          <w:lang w:val="es-ES"/>
        </w:rPr>
        <w:t xml:space="preserve">a </w:t>
      </w:r>
      <w:r w:rsidR="007C5904" w:rsidRPr="00B22CA9">
        <w:rPr>
          <w:rFonts w:ascii="Times New Roman" w:hAnsi="Times New Roman" w:cs="Times New Roman"/>
          <w:sz w:val="24"/>
          <w:szCs w:val="24"/>
          <w:lang w:val="es-ES"/>
        </w:rPr>
        <w:t xml:space="preserve">actual </w:t>
      </w:r>
      <w:r w:rsidR="00EA291C" w:rsidRPr="00B22CA9">
        <w:rPr>
          <w:rFonts w:ascii="Times New Roman" w:hAnsi="Times New Roman" w:cs="Times New Roman"/>
          <w:sz w:val="24"/>
          <w:szCs w:val="24"/>
          <w:lang w:val="es-ES"/>
        </w:rPr>
        <w:t>polémica</w:t>
      </w:r>
      <w:r w:rsidR="00626A4E" w:rsidRPr="00B22CA9">
        <w:rPr>
          <w:rFonts w:ascii="Times New Roman" w:hAnsi="Times New Roman" w:cs="Times New Roman"/>
          <w:sz w:val="24"/>
          <w:szCs w:val="24"/>
          <w:lang w:val="es-ES"/>
        </w:rPr>
        <w:t xml:space="preserve"> sobre </w:t>
      </w:r>
      <w:r w:rsidR="00EA291C" w:rsidRPr="00B22CA9">
        <w:rPr>
          <w:rFonts w:ascii="Times New Roman" w:hAnsi="Times New Roman" w:cs="Times New Roman"/>
          <w:sz w:val="24"/>
          <w:szCs w:val="24"/>
          <w:lang w:val="es-ES"/>
        </w:rPr>
        <w:t>la situación de las</w:t>
      </w:r>
      <w:r w:rsidR="00626A4E" w:rsidRPr="00B22CA9">
        <w:rPr>
          <w:rFonts w:ascii="Times New Roman" w:hAnsi="Times New Roman" w:cs="Times New Roman"/>
          <w:sz w:val="24"/>
          <w:szCs w:val="24"/>
          <w:lang w:val="es-ES"/>
        </w:rPr>
        <w:t xml:space="preserve"> </w:t>
      </w:r>
      <w:r w:rsidR="00A11399" w:rsidRPr="00B22CA9">
        <w:rPr>
          <w:rFonts w:ascii="Times New Roman" w:hAnsi="Times New Roman" w:cs="Times New Roman"/>
          <w:sz w:val="24"/>
          <w:szCs w:val="24"/>
          <w:lang w:val="es-ES"/>
        </w:rPr>
        <w:t>garantía</w:t>
      </w:r>
      <w:r w:rsidR="00626A4E" w:rsidRPr="00B22CA9">
        <w:rPr>
          <w:rFonts w:ascii="Times New Roman" w:hAnsi="Times New Roman" w:cs="Times New Roman"/>
          <w:sz w:val="24"/>
          <w:szCs w:val="24"/>
          <w:lang w:val="es-ES"/>
        </w:rPr>
        <w:t>s</w:t>
      </w:r>
      <w:r w:rsidR="00A11399" w:rsidRPr="00B22CA9">
        <w:rPr>
          <w:rFonts w:ascii="Times New Roman" w:hAnsi="Times New Roman" w:cs="Times New Roman"/>
          <w:sz w:val="24"/>
          <w:szCs w:val="24"/>
          <w:lang w:val="es-ES"/>
        </w:rPr>
        <w:t xml:space="preserve"> de los derechos </w:t>
      </w:r>
      <w:r w:rsidR="00EA291C" w:rsidRPr="00B22CA9">
        <w:rPr>
          <w:rFonts w:ascii="Times New Roman" w:hAnsi="Times New Roman" w:cs="Times New Roman"/>
          <w:sz w:val="24"/>
          <w:szCs w:val="24"/>
          <w:lang w:val="es-ES"/>
        </w:rPr>
        <w:t xml:space="preserve">fundamentales </w:t>
      </w:r>
      <w:r w:rsidR="00A11399" w:rsidRPr="00B22CA9">
        <w:rPr>
          <w:rFonts w:ascii="Times New Roman" w:hAnsi="Times New Roman" w:cs="Times New Roman"/>
          <w:sz w:val="24"/>
          <w:szCs w:val="24"/>
          <w:lang w:val="es-ES"/>
        </w:rPr>
        <w:t xml:space="preserve">en </w:t>
      </w:r>
      <w:r w:rsidR="00626A4E" w:rsidRPr="00B22CA9">
        <w:rPr>
          <w:rFonts w:ascii="Times New Roman" w:hAnsi="Times New Roman" w:cs="Times New Roman"/>
          <w:sz w:val="24"/>
          <w:szCs w:val="24"/>
          <w:lang w:val="es-ES"/>
        </w:rPr>
        <w:t>ciertos</w:t>
      </w:r>
      <w:r w:rsidR="00A11399" w:rsidRPr="00B22CA9">
        <w:rPr>
          <w:rFonts w:ascii="Times New Roman" w:hAnsi="Times New Roman" w:cs="Times New Roman"/>
          <w:sz w:val="24"/>
          <w:szCs w:val="24"/>
          <w:lang w:val="es-ES"/>
        </w:rPr>
        <w:t xml:space="preserve"> Estados miembros</w:t>
      </w:r>
      <w:r w:rsidR="00626A4E" w:rsidRPr="00B22CA9">
        <w:rPr>
          <w:rFonts w:ascii="Times New Roman" w:hAnsi="Times New Roman" w:cs="Times New Roman"/>
          <w:sz w:val="24"/>
          <w:szCs w:val="24"/>
          <w:lang w:val="es-ES"/>
        </w:rPr>
        <w:t>,</w:t>
      </w:r>
      <w:r w:rsidR="00A11399" w:rsidRPr="00B22CA9">
        <w:rPr>
          <w:rFonts w:ascii="Times New Roman" w:hAnsi="Times New Roman" w:cs="Times New Roman"/>
          <w:sz w:val="24"/>
          <w:szCs w:val="24"/>
          <w:lang w:val="es-ES"/>
        </w:rPr>
        <w:t xml:space="preserve"> como Polonia y Hungría</w:t>
      </w:r>
      <w:r w:rsidR="00EA291C" w:rsidRPr="00B22CA9">
        <w:rPr>
          <w:rFonts w:ascii="Times New Roman" w:hAnsi="Times New Roman" w:cs="Times New Roman"/>
          <w:sz w:val="24"/>
          <w:szCs w:val="24"/>
          <w:lang w:val="es-ES"/>
        </w:rPr>
        <w:t>, renueva el interés en el tema</w:t>
      </w:r>
      <w:r w:rsidR="00D76E96" w:rsidRPr="00B22CA9">
        <w:rPr>
          <w:rFonts w:ascii="Times New Roman" w:hAnsi="Times New Roman" w:cs="Times New Roman"/>
          <w:sz w:val="24"/>
          <w:szCs w:val="24"/>
          <w:lang w:val="es-ES"/>
        </w:rPr>
        <w:t xml:space="preserve"> y abre e</w:t>
      </w:r>
      <w:r w:rsidR="00396067" w:rsidRPr="00B22CA9">
        <w:rPr>
          <w:rFonts w:ascii="Times New Roman" w:hAnsi="Times New Roman" w:cs="Times New Roman"/>
          <w:sz w:val="24"/>
          <w:szCs w:val="24"/>
          <w:lang w:val="es-ES"/>
        </w:rPr>
        <w:t xml:space="preserve">l interrogante de cuál es el margen de acción </w:t>
      </w:r>
      <w:r w:rsidR="00D76E96" w:rsidRPr="00B22CA9">
        <w:rPr>
          <w:rFonts w:ascii="Times New Roman" w:hAnsi="Times New Roman" w:cs="Times New Roman"/>
          <w:sz w:val="24"/>
          <w:szCs w:val="24"/>
          <w:lang w:val="es-ES"/>
        </w:rPr>
        <w:t>de la Unión en tal coyuntura</w:t>
      </w:r>
      <w:r w:rsidR="00A11399" w:rsidRPr="00B22CA9">
        <w:rPr>
          <w:rFonts w:ascii="Times New Roman" w:hAnsi="Times New Roman" w:cs="Times New Roman"/>
          <w:sz w:val="24"/>
          <w:szCs w:val="24"/>
          <w:lang w:val="es-ES"/>
        </w:rPr>
        <w:t>.</w:t>
      </w:r>
      <w:r w:rsidR="00626A4E" w:rsidRPr="00B22CA9">
        <w:rPr>
          <w:rFonts w:ascii="Times New Roman" w:hAnsi="Times New Roman" w:cs="Times New Roman"/>
          <w:sz w:val="24"/>
          <w:szCs w:val="24"/>
          <w:lang w:val="es-ES"/>
        </w:rPr>
        <w:t xml:space="preserve"> </w:t>
      </w:r>
    </w:p>
    <w:p w:rsidR="007525B4" w:rsidRPr="00B22CA9" w:rsidRDefault="00550D74" w:rsidP="007F11DF">
      <w:pPr>
        <w:spacing w:line="240" w:lineRule="auto"/>
        <w:jc w:val="both"/>
        <w:rPr>
          <w:rFonts w:ascii="Times New Roman" w:hAnsi="Times New Roman" w:cs="Times New Roman"/>
          <w:sz w:val="24"/>
          <w:szCs w:val="24"/>
          <w:lang w:val="es-ES"/>
        </w:rPr>
      </w:pPr>
      <w:r w:rsidRPr="00B22CA9">
        <w:rPr>
          <w:rFonts w:ascii="Times New Roman" w:hAnsi="Times New Roman" w:cs="Times New Roman"/>
          <w:sz w:val="24"/>
          <w:szCs w:val="24"/>
          <w:lang w:val="es-ES"/>
        </w:rPr>
        <w:tab/>
      </w:r>
      <w:r w:rsidR="00AC1792" w:rsidRPr="00B22CA9">
        <w:rPr>
          <w:rFonts w:ascii="Times New Roman" w:hAnsi="Times New Roman" w:cs="Times New Roman"/>
          <w:sz w:val="24"/>
          <w:szCs w:val="24"/>
          <w:lang w:val="es-ES"/>
        </w:rPr>
        <w:t>E</w:t>
      </w:r>
      <w:r w:rsidR="00D76E96" w:rsidRPr="00B22CA9">
        <w:rPr>
          <w:rFonts w:ascii="Times New Roman" w:hAnsi="Times New Roman" w:cs="Times New Roman"/>
          <w:sz w:val="24"/>
          <w:szCs w:val="24"/>
          <w:lang w:val="es-ES"/>
        </w:rPr>
        <w:t>sas</w:t>
      </w:r>
      <w:r w:rsidR="00EC5BC0" w:rsidRPr="00B22CA9">
        <w:rPr>
          <w:rFonts w:ascii="Times New Roman" w:hAnsi="Times New Roman" w:cs="Times New Roman"/>
          <w:sz w:val="24"/>
          <w:szCs w:val="24"/>
          <w:lang w:val="es-ES"/>
        </w:rPr>
        <w:t xml:space="preserve"> </w:t>
      </w:r>
      <w:r w:rsidR="00500DE5" w:rsidRPr="00B22CA9">
        <w:rPr>
          <w:rFonts w:ascii="Times New Roman" w:hAnsi="Times New Roman" w:cs="Times New Roman"/>
          <w:sz w:val="24"/>
          <w:szCs w:val="24"/>
          <w:lang w:val="es-ES"/>
        </w:rPr>
        <w:t>cl</w:t>
      </w:r>
      <w:r w:rsidR="00626A4E" w:rsidRPr="00B22CA9">
        <w:rPr>
          <w:rFonts w:ascii="Times New Roman" w:hAnsi="Times New Roman" w:cs="Times New Roman"/>
          <w:sz w:val="24"/>
          <w:szCs w:val="24"/>
          <w:lang w:val="es-ES"/>
        </w:rPr>
        <w:t>áusulas</w:t>
      </w:r>
      <w:r w:rsidR="00EA291C" w:rsidRPr="00B22CA9">
        <w:rPr>
          <w:rFonts w:ascii="Times New Roman" w:hAnsi="Times New Roman" w:cs="Times New Roman"/>
          <w:sz w:val="24"/>
          <w:szCs w:val="24"/>
          <w:lang w:val="es-ES"/>
        </w:rPr>
        <w:t xml:space="preserve"> horizontales</w:t>
      </w:r>
      <w:r w:rsidR="00500DE5" w:rsidRPr="00B22CA9">
        <w:rPr>
          <w:rFonts w:ascii="Times New Roman" w:hAnsi="Times New Roman" w:cs="Times New Roman"/>
          <w:sz w:val="24"/>
          <w:szCs w:val="24"/>
          <w:lang w:val="es-ES"/>
        </w:rPr>
        <w:t xml:space="preserve">, </w:t>
      </w:r>
      <w:r w:rsidR="004A12E1" w:rsidRPr="00B22CA9">
        <w:rPr>
          <w:rFonts w:ascii="Times New Roman" w:hAnsi="Times New Roman" w:cs="Times New Roman"/>
          <w:sz w:val="24"/>
          <w:szCs w:val="24"/>
          <w:lang w:val="es-ES"/>
        </w:rPr>
        <w:t>en parte</w:t>
      </w:r>
      <w:r w:rsidR="00915A0F" w:rsidRPr="00B22CA9">
        <w:rPr>
          <w:rFonts w:ascii="Times New Roman" w:hAnsi="Times New Roman" w:cs="Times New Roman"/>
          <w:sz w:val="24"/>
          <w:szCs w:val="24"/>
          <w:lang w:val="es-ES"/>
        </w:rPr>
        <w:t xml:space="preserve"> </w:t>
      </w:r>
      <w:r w:rsidR="00626A4E" w:rsidRPr="00B22CA9">
        <w:rPr>
          <w:rFonts w:ascii="Times New Roman" w:hAnsi="Times New Roman" w:cs="Times New Roman"/>
          <w:sz w:val="24"/>
          <w:szCs w:val="24"/>
          <w:lang w:val="es-ES"/>
        </w:rPr>
        <w:t xml:space="preserve">diseñadas </w:t>
      </w:r>
      <w:r w:rsidR="00915A0F" w:rsidRPr="00B22CA9">
        <w:rPr>
          <w:rFonts w:ascii="Times New Roman" w:hAnsi="Times New Roman" w:cs="Times New Roman"/>
          <w:sz w:val="24"/>
          <w:szCs w:val="24"/>
          <w:lang w:val="es-ES"/>
        </w:rPr>
        <w:t xml:space="preserve">para </w:t>
      </w:r>
      <w:r w:rsidR="004A12E1" w:rsidRPr="00B22CA9">
        <w:rPr>
          <w:rFonts w:ascii="Times New Roman" w:hAnsi="Times New Roman" w:cs="Times New Roman"/>
          <w:sz w:val="24"/>
          <w:szCs w:val="24"/>
          <w:lang w:val="es-ES"/>
        </w:rPr>
        <w:t>consolidar</w:t>
      </w:r>
      <w:r w:rsidR="00F44434" w:rsidRPr="00B22CA9">
        <w:rPr>
          <w:rFonts w:ascii="Times New Roman" w:hAnsi="Times New Roman" w:cs="Times New Roman"/>
          <w:sz w:val="24"/>
          <w:szCs w:val="24"/>
          <w:lang w:val="es-ES"/>
        </w:rPr>
        <w:t xml:space="preserve"> </w:t>
      </w:r>
      <w:r w:rsidR="00500DE5" w:rsidRPr="00B22CA9">
        <w:rPr>
          <w:rFonts w:ascii="Times New Roman" w:hAnsi="Times New Roman" w:cs="Times New Roman"/>
          <w:sz w:val="24"/>
          <w:szCs w:val="24"/>
          <w:lang w:val="es-ES"/>
        </w:rPr>
        <w:t>la</w:t>
      </w:r>
      <w:r w:rsidR="00F44434" w:rsidRPr="00B22CA9">
        <w:rPr>
          <w:rFonts w:ascii="Times New Roman" w:hAnsi="Times New Roman" w:cs="Times New Roman"/>
          <w:sz w:val="24"/>
          <w:szCs w:val="24"/>
          <w:lang w:val="es-ES"/>
        </w:rPr>
        <w:t xml:space="preserve"> naturaleza constitucional</w:t>
      </w:r>
      <w:r w:rsidR="0045743F" w:rsidRPr="00B22CA9">
        <w:rPr>
          <w:rFonts w:ascii="Times New Roman" w:hAnsi="Times New Roman" w:cs="Times New Roman"/>
          <w:sz w:val="24"/>
          <w:szCs w:val="24"/>
          <w:lang w:val="es-ES"/>
        </w:rPr>
        <w:t xml:space="preserve"> de la Carta</w:t>
      </w:r>
      <w:r w:rsidR="00500DE5" w:rsidRPr="00B22CA9">
        <w:rPr>
          <w:rFonts w:ascii="Times New Roman" w:hAnsi="Times New Roman" w:cs="Times New Roman"/>
          <w:sz w:val="24"/>
          <w:szCs w:val="24"/>
          <w:lang w:val="es-ES"/>
        </w:rPr>
        <w:t>,</w:t>
      </w:r>
      <w:r w:rsidR="00F44434" w:rsidRPr="00B22CA9">
        <w:rPr>
          <w:rFonts w:ascii="Times New Roman" w:hAnsi="Times New Roman" w:cs="Times New Roman"/>
          <w:sz w:val="24"/>
          <w:szCs w:val="24"/>
          <w:lang w:val="es-ES"/>
        </w:rPr>
        <w:t xml:space="preserve"> en </w:t>
      </w:r>
      <w:r w:rsidR="00F44434" w:rsidRPr="00B22CA9">
        <w:rPr>
          <w:rFonts w:ascii="Times New Roman" w:hAnsi="Times New Roman" w:cs="Times New Roman"/>
          <w:i/>
          <w:iCs/>
          <w:sz w:val="24"/>
          <w:szCs w:val="24"/>
          <w:lang w:val="es-ES"/>
        </w:rPr>
        <w:t>otra</w:t>
      </w:r>
      <w:r w:rsidR="00F44434" w:rsidRPr="00B22CA9">
        <w:rPr>
          <w:rFonts w:ascii="Times New Roman" w:hAnsi="Times New Roman" w:cs="Times New Roman"/>
          <w:sz w:val="24"/>
          <w:szCs w:val="24"/>
          <w:lang w:val="es-ES"/>
        </w:rPr>
        <w:t xml:space="preserve"> parte</w:t>
      </w:r>
      <w:r w:rsidR="00972F84" w:rsidRPr="00B22CA9">
        <w:rPr>
          <w:rFonts w:ascii="Times New Roman" w:hAnsi="Times New Roman" w:cs="Times New Roman"/>
          <w:sz w:val="24"/>
          <w:szCs w:val="24"/>
          <w:lang w:val="es-ES"/>
        </w:rPr>
        <w:t xml:space="preserve"> </w:t>
      </w:r>
      <w:r w:rsidR="00EA291C" w:rsidRPr="00B22CA9">
        <w:rPr>
          <w:rFonts w:ascii="Times New Roman" w:hAnsi="Times New Roman" w:cs="Times New Roman"/>
          <w:sz w:val="24"/>
          <w:szCs w:val="24"/>
          <w:lang w:val="es-ES"/>
        </w:rPr>
        <w:t>se insertaron</w:t>
      </w:r>
      <w:r w:rsidR="00F44434" w:rsidRPr="00B22CA9">
        <w:rPr>
          <w:rFonts w:ascii="Times New Roman" w:hAnsi="Times New Roman" w:cs="Times New Roman"/>
          <w:sz w:val="24"/>
          <w:szCs w:val="24"/>
          <w:lang w:val="es-ES"/>
        </w:rPr>
        <w:t xml:space="preserve"> para </w:t>
      </w:r>
      <w:r w:rsidR="00915A0F" w:rsidRPr="00B22CA9">
        <w:rPr>
          <w:rFonts w:ascii="Times New Roman" w:hAnsi="Times New Roman" w:cs="Times New Roman"/>
          <w:sz w:val="24"/>
          <w:szCs w:val="24"/>
          <w:lang w:val="es-ES"/>
        </w:rPr>
        <w:t>evitar</w:t>
      </w:r>
      <w:r w:rsidR="00500DE5" w:rsidRPr="00B22CA9">
        <w:rPr>
          <w:rFonts w:ascii="Times New Roman" w:hAnsi="Times New Roman" w:cs="Times New Roman"/>
          <w:sz w:val="24"/>
          <w:szCs w:val="24"/>
          <w:lang w:val="es-ES"/>
        </w:rPr>
        <w:t xml:space="preserve"> </w:t>
      </w:r>
      <w:r w:rsidR="00F44434" w:rsidRPr="00B22CA9">
        <w:rPr>
          <w:rFonts w:ascii="Times New Roman" w:hAnsi="Times New Roman" w:cs="Times New Roman"/>
          <w:sz w:val="24"/>
          <w:szCs w:val="24"/>
          <w:lang w:val="es-ES"/>
        </w:rPr>
        <w:t>su plena comprensión federal</w:t>
      </w:r>
      <w:r w:rsidR="007F608A" w:rsidRPr="00B22CA9">
        <w:rPr>
          <w:rFonts w:ascii="Times New Roman" w:hAnsi="Times New Roman" w:cs="Times New Roman"/>
          <w:sz w:val="24"/>
          <w:szCs w:val="24"/>
          <w:lang w:val="es-ES"/>
        </w:rPr>
        <w:t xml:space="preserve"> (</w:t>
      </w:r>
      <w:proofErr w:type="spellStart"/>
      <w:r w:rsidR="0077074B" w:rsidRPr="00B22CA9">
        <w:rPr>
          <w:rFonts w:ascii="Times New Roman" w:hAnsi="Times New Roman" w:cs="Times New Roman"/>
          <w:sz w:val="24"/>
          <w:szCs w:val="24"/>
          <w:lang w:val="es-ES"/>
        </w:rPr>
        <w:t>Biglino</w:t>
      </w:r>
      <w:proofErr w:type="spellEnd"/>
      <w:r w:rsidR="0077074B" w:rsidRPr="00B22CA9">
        <w:rPr>
          <w:rFonts w:ascii="Times New Roman" w:hAnsi="Times New Roman" w:cs="Times New Roman"/>
          <w:sz w:val="24"/>
          <w:szCs w:val="24"/>
          <w:lang w:val="es-ES"/>
        </w:rPr>
        <w:t xml:space="preserve"> Campos, 2003</w:t>
      </w:r>
      <w:r w:rsidR="007F608A" w:rsidRPr="00B22CA9">
        <w:rPr>
          <w:rFonts w:ascii="Times New Roman" w:hAnsi="Times New Roman" w:cs="Times New Roman"/>
          <w:sz w:val="24"/>
          <w:szCs w:val="24"/>
          <w:lang w:val="es-ES"/>
        </w:rPr>
        <w:t>: 46)</w:t>
      </w:r>
      <w:r w:rsidR="00C7666F" w:rsidRPr="00B22CA9">
        <w:rPr>
          <w:rStyle w:val="Refdenotaalpie"/>
          <w:rFonts w:ascii="Times New Roman" w:hAnsi="Times New Roman" w:cs="Times New Roman"/>
          <w:sz w:val="24"/>
          <w:szCs w:val="24"/>
          <w:lang w:val="es-ES"/>
        </w:rPr>
        <w:footnoteReference w:id="4"/>
      </w:r>
      <w:r w:rsidR="00972F84" w:rsidRPr="00B22CA9">
        <w:rPr>
          <w:rFonts w:ascii="Times New Roman" w:hAnsi="Times New Roman" w:cs="Times New Roman"/>
          <w:sz w:val="24"/>
          <w:szCs w:val="24"/>
          <w:lang w:val="es-ES"/>
        </w:rPr>
        <w:t xml:space="preserve">. Se temía </w:t>
      </w:r>
      <w:r w:rsidR="00BD5A20" w:rsidRPr="00B22CA9">
        <w:rPr>
          <w:rFonts w:ascii="Times New Roman" w:hAnsi="Times New Roman" w:cs="Times New Roman"/>
          <w:sz w:val="24"/>
          <w:szCs w:val="24"/>
          <w:lang w:val="es-ES"/>
        </w:rPr>
        <w:t xml:space="preserve">que </w:t>
      </w:r>
      <w:r w:rsidR="004A12E1" w:rsidRPr="00B22CA9">
        <w:rPr>
          <w:rFonts w:ascii="Times New Roman" w:hAnsi="Times New Roman" w:cs="Times New Roman"/>
          <w:sz w:val="24"/>
          <w:szCs w:val="24"/>
          <w:lang w:val="es-ES"/>
        </w:rPr>
        <w:t>la</w:t>
      </w:r>
      <w:r w:rsidR="00716B94" w:rsidRPr="00B22CA9">
        <w:rPr>
          <w:rFonts w:ascii="Times New Roman" w:hAnsi="Times New Roman" w:cs="Times New Roman"/>
          <w:sz w:val="24"/>
          <w:szCs w:val="24"/>
          <w:lang w:val="es-ES"/>
        </w:rPr>
        <w:t xml:space="preserve"> transustan</w:t>
      </w:r>
      <w:r w:rsidR="004A12E1" w:rsidRPr="00B22CA9">
        <w:rPr>
          <w:rFonts w:ascii="Times New Roman" w:hAnsi="Times New Roman" w:cs="Times New Roman"/>
          <w:sz w:val="24"/>
          <w:szCs w:val="24"/>
          <w:lang w:val="es-ES"/>
        </w:rPr>
        <w:t>cia</w:t>
      </w:r>
      <w:r w:rsidR="00716B94" w:rsidRPr="00B22CA9">
        <w:rPr>
          <w:rFonts w:ascii="Times New Roman" w:hAnsi="Times New Roman" w:cs="Times New Roman"/>
          <w:sz w:val="24"/>
          <w:szCs w:val="24"/>
          <w:lang w:val="es-ES"/>
        </w:rPr>
        <w:t>ción</w:t>
      </w:r>
      <w:r w:rsidR="0045743F" w:rsidRPr="00B22CA9">
        <w:rPr>
          <w:rFonts w:ascii="Times New Roman" w:hAnsi="Times New Roman" w:cs="Times New Roman"/>
          <w:sz w:val="24"/>
          <w:szCs w:val="24"/>
          <w:lang w:val="es-ES"/>
        </w:rPr>
        <w:t xml:space="preserve"> de los derechos fundamentales</w:t>
      </w:r>
      <w:r w:rsidR="0052563E" w:rsidRPr="00B22CA9">
        <w:rPr>
          <w:rFonts w:ascii="Times New Roman" w:hAnsi="Times New Roman" w:cs="Times New Roman"/>
          <w:sz w:val="24"/>
          <w:szCs w:val="24"/>
          <w:lang w:val="es-ES"/>
        </w:rPr>
        <w:t xml:space="preserve"> en el orden supranacional</w:t>
      </w:r>
      <w:r w:rsidR="00972F84" w:rsidRPr="00B22CA9">
        <w:rPr>
          <w:rFonts w:ascii="Times New Roman" w:hAnsi="Times New Roman" w:cs="Times New Roman"/>
          <w:sz w:val="24"/>
          <w:szCs w:val="24"/>
          <w:lang w:val="es-ES"/>
        </w:rPr>
        <w:t>,</w:t>
      </w:r>
      <w:r w:rsidR="00716B94" w:rsidRPr="00B22CA9">
        <w:rPr>
          <w:rFonts w:ascii="Times New Roman" w:hAnsi="Times New Roman" w:cs="Times New Roman"/>
          <w:sz w:val="24"/>
          <w:szCs w:val="24"/>
          <w:lang w:val="es-ES"/>
        </w:rPr>
        <w:t xml:space="preserve"> desde </w:t>
      </w:r>
      <w:r w:rsidR="0052563E" w:rsidRPr="00B22CA9">
        <w:rPr>
          <w:rFonts w:ascii="Times New Roman" w:hAnsi="Times New Roman" w:cs="Times New Roman"/>
          <w:sz w:val="24"/>
          <w:szCs w:val="24"/>
          <w:lang w:val="es-ES"/>
        </w:rPr>
        <w:t>su</w:t>
      </w:r>
      <w:r w:rsidR="00716B94" w:rsidRPr="00B22CA9">
        <w:rPr>
          <w:rFonts w:ascii="Times New Roman" w:hAnsi="Times New Roman" w:cs="Times New Roman"/>
          <w:sz w:val="24"/>
          <w:szCs w:val="24"/>
          <w:lang w:val="es-ES"/>
        </w:rPr>
        <w:t xml:space="preserve"> originaria naturaleza</w:t>
      </w:r>
      <w:r w:rsidR="00972F84" w:rsidRPr="00B22CA9">
        <w:rPr>
          <w:rFonts w:ascii="Times New Roman" w:hAnsi="Times New Roman" w:cs="Times New Roman"/>
          <w:sz w:val="24"/>
          <w:szCs w:val="24"/>
          <w:lang w:val="es-ES"/>
        </w:rPr>
        <w:t xml:space="preserve"> </w:t>
      </w:r>
      <w:r w:rsidR="0052563E" w:rsidRPr="00B22CA9">
        <w:rPr>
          <w:rFonts w:ascii="Times New Roman" w:hAnsi="Times New Roman" w:cs="Times New Roman"/>
          <w:sz w:val="24"/>
          <w:szCs w:val="24"/>
          <w:lang w:val="es-ES"/>
        </w:rPr>
        <w:t>jurisprudencial de</w:t>
      </w:r>
      <w:r w:rsidR="00716B94" w:rsidRPr="00B22CA9">
        <w:rPr>
          <w:rFonts w:ascii="Times New Roman" w:hAnsi="Times New Roman" w:cs="Times New Roman"/>
          <w:sz w:val="24"/>
          <w:szCs w:val="24"/>
          <w:lang w:val="es-ES"/>
        </w:rPr>
        <w:t xml:space="preserve"> principios</w:t>
      </w:r>
      <w:r w:rsidR="004A12E1" w:rsidRPr="00B22CA9">
        <w:rPr>
          <w:rFonts w:ascii="Times New Roman" w:hAnsi="Times New Roman" w:cs="Times New Roman"/>
          <w:sz w:val="24"/>
          <w:szCs w:val="24"/>
          <w:lang w:val="es-ES"/>
        </w:rPr>
        <w:t xml:space="preserve"> </w:t>
      </w:r>
      <w:r w:rsidR="00EC5BC0" w:rsidRPr="00B22CA9">
        <w:rPr>
          <w:rFonts w:ascii="Times New Roman" w:hAnsi="Times New Roman" w:cs="Times New Roman"/>
          <w:sz w:val="24"/>
          <w:szCs w:val="24"/>
          <w:lang w:val="es-ES"/>
        </w:rPr>
        <w:t>generales</w:t>
      </w:r>
      <w:r w:rsidR="0052563E" w:rsidRPr="00B22CA9">
        <w:rPr>
          <w:rFonts w:ascii="Times New Roman" w:hAnsi="Times New Roman" w:cs="Times New Roman"/>
          <w:sz w:val="24"/>
          <w:szCs w:val="24"/>
          <w:lang w:val="es-ES"/>
        </w:rPr>
        <w:t xml:space="preserve"> a la codificación</w:t>
      </w:r>
      <w:r w:rsidR="00EC5BC0" w:rsidRPr="00B22CA9">
        <w:rPr>
          <w:rFonts w:ascii="Times New Roman" w:hAnsi="Times New Roman" w:cs="Times New Roman"/>
          <w:sz w:val="24"/>
          <w:szCs w:val="24"/>
          <w:lang w:val="es-ES"/>
        </w:rPr>
        <w:t xml:space="preserve">, </w:t>
      </w:r>
      <w:r w:rsidR="00972F84" w:rsidRPr="00B22CA9">
        <w:rPr>
          <w:rFonts w:ascii="Times New Roman" w:hAnsi="Times New Roman" w:cs="Times New Roman"/>
          <w:sz w:val="24"/>
          <w:szCs w:val="24"/>
          <w:lang w:val="es-ES"/>
        </w:rPr>
        <w:t xml:space="preserve">significara </w:t>
      </w:r>
      <w:r w:rsidR="00BD5A20" w:rsidRPr="00B22CA9">
        <w:rPr>
          <w:rFonts w:ascii="Times New Roman" w:hAnsi="Times New Roman" w:cs="Times New Roman"/>
          <w:sz w:val="24"/>
          <w:szCs w:val="24"/>
          <w:lang w:val="es-ES"/>
        </w:rPr>
        <w:t>una</w:t>
      </w:r>
      <w:r w:rsidR="00972F84" w:rsidRPr="00B22CA9">
        <w:rPr>
          <w:rFonts w:ascii="Times New Roman" w:hAnsi="Times New Roman" w:cs="Times New Roman"/>
          <w:sz w:val="24"/>
          <w:szCs w:val="24"/>
          <w:lang w:val="es-ES"/>
        </w:rPr>
        <w:t xml:space="preserve"> afirmación </w:t>
      </w:r>
      <w:r w:rsidR="00EC5BC0" w:rsidRPr="00B22CA9">
        <w:rPr>
          <w:rFonts w:ascii="Times New Roman" w:hAnsi="Times New Roman" w:cs="Times New Roman"/>
          <w:sz w:val="24"/>
          <w:szCs w:val="24"/>
          <w:lang w:val="es-ES"/>
        </w:rPr>
        <w:t xml:space="preserve">general </w:t>
      </w:r>
      <w:r w:rsidR="00972F84" w:rsidRPr="00B22CA9">
        <w:rPr>
          <w:rFonts w:ascii="Times New Roman" w:hAnsi="Times New Roman" w:cs="Times New Roman"/>
          <w:sz w:val="24"/>
          <w:szCs w:val="24"/>
          <w:lang w:val="es-ES"/>
        </w:rPr>
        <w:t>de derechos</w:t>
      </w:r>
      <w:r w:rsidR="00716B94" w:rsidRPr="00B22CA9">
        <w:rPr>
          <w:rFonts w:ascii="Times New Roman" w:hAnsi="Times New Roman" w:cs="Times New Roman"/>
          <w:sz w:val="24"/>
          <w:szCs w:val="24"/>
          <w:lang w:val="es-ES"/>
        </w:rPr>
        <w:t xml:space="preserve"> subjetivos</w:t>
      </w:r>
      <w:r w:rsidR="00EC5BC0" w:rsidRPr="00B22CA9">
        <w:rPr>
          <w:rFonts w:ascii="Times New Roman" w:hAnsi="Times New Roman" w:cs="Times New Roman"/>
          <w:sz w:val="24"/>
          <w:szCs w:val="24"/>
          <w:lang w:val="es-ES"/>
        </w:rPr>
        <w:t xml:space="preserve"> de la ciudadanía de la Unión</w:t>
      </w:r>
      <w:r w:rsidR="00B23C01" w:rsidRPr="00B22CA9">
        <w:rPr>
          <w:rFonts w:ascii="Times New Roman" w:hAnsi="Times New Roman" w:cs="Times New Roman"/>
          <w:sz w:val="24"/>
          <w:szCs w:val="24"/>
          <w:lang w:val="es-ES"/>
        </w:rPr>
        <w:t xml:space="preserve">. </w:t>
      </w:r>
      <w:r w:rsidR="0045743F" w:rsidRPr="00B22CA9">
        <w:rPr>
          <w:rFonts w:ascii="Times New Roman" w:hAnsi="Times New Roman" w:cs="Times New Roman"/>
          <w:sz w:val="24"/>
          <w:szCs w:val="24"/>
          <w:lang w:val="es-ES"/>
        </w:rPr>
        <w:t>Ad</w:t>
      </w:r>
      <w:r w:rsidR="00D76E96" w:rsidRPr="00B22CA9">
        <w:rPr>
          <w:rFonts w:ascii="Times New Roman" w:hAnsi="Times New Roman" w:cs="Times New Roman"/>
          <w:sz w:val="24"/>
          <w:szCs w:val="24"/>
          <w:lang w:val="es-ES"/>
        </w:rPr>
        <w:t>icionalmente</w:t>
      </w:r>
      <w:r w:rsidR="00E91F30" w:rsidRPr="00B22CA9">
        <w:rPr>
          <w:rFonts w:ascii="Times New Roman" w:hAnsi="Times New Roman" w:cs="Times New Roman"/>
          <w:sz w:val="24"/>
          <w:szCs w:val="24"/>
          <w:lang w:val="es-ES"/>
        </w:rPr>
        <w:t>,</w:t>
      </w:r>
      <w:r w:rsidR="0045743F" w:rsidRPr="00B22CA9">
        <w:rPr>
          <w:rFonts w:ascii="Times New Roman" w:hAnsi="Times New Roman" w:cs="Times New Roman"/>
          <w:sz w:val="24"/>
          <w:szCs w:val="24"/>
          <w:lang w:val="es-ES"/>
        </w:rPr>
        <w:t xml:space="preserve"> e</w:t>
      </w:r>
      <w:r w:rsidRPr="00B22CA9">
        <w:rPr>
          <w:rFonts w:ascii="Times New Roman" w:hAnsi="Times New Roman" w:cs="Times New Roman"/>
          <w:sz w:val="24"/>
          <w:szCs w:val="24"/>
          <w:lang w:val="es-ES"/>
        </w:rPr>
        <w:t xml:space="preserve">l Tratado de Lisboa </w:t>
      </w:r>
      <w:r w:rsidR="00810DAE" w:rsidRPr="00B22CA9">
        <w:rPr>
          <w:rFonts w:ascii="Times New Roman" w:hAnsi="Times New Roman" w:cs="Times New Roman"/>
          <w:sz w:val="24"/>
          <w:szCs w:val="24"/>
          <w:lang w:val="es-ES"/>
        </w:rPr>
        <w:t>incrementaba</w:t>
      </w:r>
      <w:r w:rsidRPr="00B22CA9">
        <w:rPr>
          <w:rFonts w:ascii="Times New Roman" w:hAnsi="Times New Roman" w:cs="Times New Roman"/>
          <w:sz w:val="24"/>
          <w:szCs w:val="24"/>
          <w:lang w:val="es-ES"/>
        </w:rPr>
        <w:t xml:space="preserve"> las posibilidades de</w:t>
      </w:r>
      <w:r w:rsidR="00EA291C" w:rsidRPr="00B22CA9">
        <w:rPr>
          <w:rFonts w:ascii="Times New Roman" w:hAnsi="Times New Roman" w:cs="Times New Roman"/>
          <w:sz w:val="24"/>
          <w:szCs w:val="24"/>
          <w:lang w:val="es-ES"/>
        </w:rPr>
        <w:t xml:space="preserve"> </w:t>
      </w:r>
      <w:proofErr w:type="spellStart"/>
      <w:r w:rsidR="00EA291C" w:rsidRPr="00B22CA9">
        <w:rPr>
          <w:rFonts w:ascii="Times New Roman" w:hAnsi="Times New Roman" w:cs="Times New Roman"/>
          <w:sz w:val="24"/>
          <w:szCs w:val="24"/>
          <w:lang w:val="es-ES"/>
        </w:rPr>
        <w:t>litigiosidad</w:t>
      </w:r>
      <w:proofErr w:type="spellEnd"/>
      <w:r w:rsidR="00EA291C" w:rsidRPr="00B22CA9">
        <w:rPr>
          <w:rFonts w:ascii="Times New Roman" w:hAnsi="Times New Roman" w:cs="Times New Roman"/>
          <w:sz w:val="24"/>
          <w:szCs w:val="24"/>
          <w:lang w:val="es-ES"/>
        </w:rPr>
        <w:t xml:space="preserve"> en torno a </w:t>
      </w:r>
      <w:r w:rsidR="00E91F30" w:rsidRPr="00B22CA9">
        <w:rPr>
          <w:rFonts w:ascii="Times New Roman" w:hAnsi="Times New Roman" w:cs="Times New Roman"/>
          <w:sz w:val="24"/>
          <w:szCs w:val="24"/>
          <w:lang w:val="es-ES"/>
        </w:rPr>
        <w:t xml:space="preserve">los </w:t>
      </w:r>
      <w:r w:rsidR="00EA291C" w:rsidRPr="00B22CA9">
        <w:rPr>
          <w:rFonts w:ascii="Times New Roman" w:hAnsi="Times New Roman" w:cs="Times New Roman"/>
          <w:sz w:val="24"/>
          <w:szCs w:val="24"/>
          <w:lang w:val="es-ES"/>
        </w:rPr>
        <w:t>derechos</w:t>
      </w:r>
      <w:r w:rsidR="00F8563C" w:rsidRPr="00B22CA9">
        <w:rPr>
          <w:rFonts w:ascii="Times New Roman" w:hAnsi="Times New Roman" w:cs="Times New Roman"/>
          <w:sz w:val="24"/>
          <w:szCs w:val="24"/>
          <w:lang w:val="es-ES"/>
        </w:rPr>
        <w:t xml:space="preserve"> fundamentales</w:t>
      </w:r>
      <w:r w:rsidR="0045743F" w:rsidRPr="00B22CA9">
        <w:rPr>
          <w:rFonts w:ascii="Times New Roman" w:hAnsi="Times New Roman" w:cs="Times New Roman"/>
          <w:sz w:val="24"/>
          <w:szCs w:val="24"/>
          <w:lang w:val="es-ES"/>
        </w:rPr>
        <w:t xml:space="preserve">, pues </w:t>
      </w:r>
      <w:r w:rsidR="00810DAE" w:rsidRPr="00B22CA9">
        <w:rPr>
          <w:rFonts w:ascii="Times New Roman" w:hAnsi="Times New Roman" w:cs="Times New Roman"/>
          <w:sz w:val="24"/>
          <w:szCs w:val="24"/>
          <w:lang w:val="es-ES"/>
        </w:rPr>
        <w:t>profundiza</w:t>
      </w:r>
      <w:r w:rsidR="0045743F" w:rsidRPr="00B22CA9">
        <w:rPr>
          <w:rFonts w:ascii="Times New Roman" w:hAnsi="Times New Roman" w:cs="Times New Roman"/>
          <w:sz w:val="24"/>
          <w:szCs w:val="24"/>
          <w:lang w:val="es-ES"/>
        </w:rPr>
        <w:t>ba</w:t>
      </w:r>
      <w:r w:rsidR="00810DAE" w:rsidRPr="00B22CA9">
        <w:rPr>
          <w:rFonts w:ascii="Times New Roman" w:hAnsi="Times New Roman" w:cs="Times New Roman"/>
          <w:sz w:val="24"/>
          <w:szCs w:val="24"/>
          <w:lang w:val="es-ES"/>
        </w:rPr>
        <w:t xml:space="preserve"> en </w:t>
      </w:r>
      <w:r w:rsidR="0045743F" w:rsidRPr="00B22CA9">
        <w:rPr>
          <w:rFonts w:ascii="Times New Roman" w:hAnsi="Times New Roman" w:cs="Times New Roman"/>
          <w:sz w:val="24"/>
          <w:szCs w:val="24"/>
          <w:lang w:val="es-ES"/>
        </w:rPr>
        <w:t xml:space="preserve"> </w:t>
      </w:r>
      <w:r w:rsidR="00810DAE" w:rsidRPr="00B22CA9">
        <w:rPr>
          <w:rFonts w:ascii="Times New Roman" w:hAnsi="Times New Roman" w:cs="Times New Roman"/>
          <w:sz w:val="24"/>
          <w:szCs w:val="24"/>
          <w:lang w:val="es-ES"/>
        </w:rPr>
        <w:t>cooperación judicial y asuntos de interior</w:t>
      </w:r>
      <w:r w:rsidR="00E91F30" w:rsidRPr="00B22CA9">
        <w:rPr>
          <w:rFonts w:ascii="Times New Roman" w:hAnsi="Times New Roman" w:cs="Times New Roman"/>
          <w:sz w:val="24"/>
          <w:szCs w:val="24"/>
          <w:lang w:val="es-ES"/>
        </w:rPr>
        <w:t>,</w:t>
      </w:r>
      <w:r w:rsidR="00EA291C" w:rsidRPr="00B22CA9">
        <w:rPr>
          <w:rFonts w:ascii="Times New Roman" w:hAnsi="Times New Roman" w:cs="Times New Roman"/>
          <w:sz w:val="24"/>
          <w:szCs w:val="24"/>
          <w:lang w:val="es-ES"/>
        </w:rPr>
        <w:t xml:space="preserve"> someti</w:t>
      </w:r>
      <w:r w:rsidR="00F8563C" w:rsidRPr="00B22CA9">
        <w:rPr>
          <w:rFonts w:ascii="Times New Roman" w:hAnsi="Times New Roman" w:cs="Times New Roman"/>
          <w:sz w:val="24"/>
          <w:szCs w:val="24"/>
          <w:lang w:val="es-ES"/>
        </w:rPr>
        <w:t>endo estas materias</w:t>
      </w:r>
      <w:r w:rsidR="0045743F" w:rsidRPr="00B22CA9">
        <w:rPr>
          <w:rFonts w:ascii="Times New Roman" w:hAnsi="Times New Roman" w:cs="Times New Roman"/>
          <w:sz w:val="24"/>
          <w:szCs w:val="24"/>
          <w:lang w:val="es-ES"/>
        </w:rPr>
        <w:t xml:space="preserve"> por completo a</w:t>
      </w:r>
      <w:r w:rsidR="00810DAE" w:rsidRPr="00B22CA9">
        <w:rPr>
          <w:rFonts w:ascii="Times New Roman" w:hAnsi="Times New Roman" w:cs="Times New Roman"/>
          <w:sz w:val="24"/>
          <w:szCs w:val="24"/>
          <w:lang w:val="es-ES"/>
        </w:rPr>
        <w:t xml:space="preserve"> la jurisdi</w:t>
      </w:r>
      <w:r w:rsidR="00F8563C" w:rsidRPr="00B22CA9">
        <w:rPr>
          <w:rFonts w:ascii="Times New Roman" w:hAnsi="Times New Roman" w:cs="Times New Roman"/>
          <w:sz w:val="24"/>
          <w:szCs w:val="24"/>
          <w:lang w:val="es-ES"/>
        </w:rPr>
        <w:t>cción del Tribunal de Luxemburg</w:t>
      </w:r>
      <w:r w:rsidR="000E429D" w:rsidRPr="00B22CA9">
        <w:rPr>
          <w:rFonts w:ascii="Times New Roman" w:hAnsi="Times New Roman" w:cs="Times New Roman"/>
          <w:sz w:val="24"/>
          <w:szCs w:val="24"/>
          <w:lang w:val="es-ES"/>
        </w:rPr>
        <w:t>o</w:t>
      </w:r>
      <w:r w:rsidR="00810DAE" w:rsidRPr="00B22CA9">
        <w:rPr>
          <w:rStyle w:val="Refdenotaalpie"/>
          <w:rFonts w:ascii="Times New Roman" w:hAnsi="Times New Roman" w:cs="Times New Roman"/>
          <w:sz w:val="24"/>
          <w:szCs w:val="24"/>
          <w:lang w:val="es-ES"/>
        </w:rPr>
        <w:footnoteReference w:id="5"/>
      </w:r>
      <w:r w:rsidR="00810DAE" w:rsidRPr="00B22CA9">
        <w:rPr>
          <w:rFonts w:ascii="Times New Roman" w:hAnsi="Times New Roman" w:cs="Times New Roman"/>
          <w:sz w:val="24"/>
          <w:szCs w:val="24"/>
          <w:lang w:val="es-ES"/>
        </w:rPr>
        <w:t xml:space="preserve">. </w:t>
      </w:r>
      <w:r w:rsidR="0052563E" w:rsidRPr="00B22CA9">
        <w:rPr>
          <w:rFonts w:ascii="Times New Roman" w:hAnsi="Times New Roman" w:cs="Times New Roman"/>
          <w:sz w:val="24"/>
          <w:szCs w:val="24"/>
          <w:lang w:val="es-ES"/>
        </w:rPr>
        <w:t>Como consecuencia e</w:t>
      </w:r>
      <w:r w:rsidR="0045743F" w:rsidRPr="00B22CA9">
        <w:rPr>
          <w:rFonts w:ascii="Times New Roman" w:hAnsi="Times New Roman" w:cs="Times New Roman"/>
          <w:sz w:val="24"/>
          <w:szCs w:val="24"/>
          <w:lang w:val="es-ES"/>
        </w:rPr>
        <w:t xml:space="preserve">ra previsible que </w:t>
      </w:r>
      <w:r w:rsidR="0052563E" w:rsidRPr="00B22CA9">
        <w:rPr>
          <w:rFonts w:ascii="Times New Roman" w:hAnsi="Times New Roman" w:cs="Times New Roman"/>
          <w:sz w:val="24"/>
          <w:szCs w:val="24"/>
          <w:lang w:val="es-ES"/>
        </w:rPr>
        <w:t>se</w:t>
      </w:r>
      <w:r w:rsidR="000E429D" w:rsidRPr="00B22CA9">
        <w:rPr>
          <w:rFonts w:ascii="Times New Roman" w:hAnsi="Times New Roman" w:cs="Times New Roman"/>
          <w:sz w:val="24"/>
          <w:szCs w:val="24"/>
          <w:lang w:val="es-ES"/>
        </w:rPr>
        <w:t xml:space="preserve"> alterara </w:t>
      </w:r>
      <w:r w:rsidR="0045743F" w:rsidRPr="00B22CA9">
        <w:rPr>
          <w:rFonts w:ascii="Times New Roman" w:hAnsi="Times New Roman" w:cs="Times New Roman"/>
          <w:sz w:val="24"/>
          <w:szCs w:val="24"/>
          <w:lang w:val="es-ES"/>
        </w:rPr>
        <w:t>la</w:t>
      </w:r>
      <w:r w:rsidR="00E91F30" w:rsidRPr="00B22CA9">
        <w:rPr>
          <w:rFonts w:ascii="Times New Roman" w:hAnsi="Times New Roman" w:cs="Times New Roman"/>
          <w:sz w:val="24"/>
          <w:szCs w:val="24"/>
          <w:lang w:val="es-ES"/>
        </w:rPr>
        <w:t xml:space="preserve"> clásica</w:t>
      </w:r>
      <w:r w:rsidR="0045743F" w:rsidRPr="00B22CA9">
        <w:rPr>
          <w:rFonts w:ascii="Times New Roman" w:hAnsi="Times New Roman" w:cs="Times New Roman"/>
          <w:sz w:val="24"/>
          <w:szCs w:val="24"/>
          <w:lang w:val="es-ES"/>
        </w:rPr>
        <w:t xml:space="preserve"> hermenéutica funcionalista </w:t>
      </w:r>
      <w:r w:rsidR="008B0ABC" w:rsidRPr="00B22CA9">
        <w:rPr>
          <w:rFonts w:ascii="Times New Roman" w:hAnsi="Times New Roman" w:cs="Times New Roman"/>
          <w:sz w:val="24"/>
          <w:szCs w:val="24"/>
          <w:lang w:val="es-ES"/>
        </w:rPr>
        <w:t xml:space="preserve">de </w:t>
      </w:r>
      <w:r w:rsidR="0045743F" w:rsidRPr="00B22CA9">
        <w:rPr>
          <w:rFonts w:ascii="Times New Roman" w:hAnsi="Times New Roman" w:cs="Times New Roman"/>
          <w:sz w:val="24"/>
          <w:szCs w:val="24"/>
          <w:lang w:val="es-ES"/>
        </w:rPr>
        <w:t>los derechos</w:t>
      </w:r>
      <w:r w:rsidR="008B0ABC" w:rsidRPr="00B22CA9">
        <w:rPr>
          <w:rFonts w:ascii="Times New Roman" w:hAnsi="Times New Roman" w:cs="Times New Roman"/>
          <w:sz w:val="24"/>
          <w:szCs w:val="24"/>
          <w:lang w:val="es-ES"/>
        </w:rPr>
        <w:t xml:space="preserve"> </w:t>
      </w:r>
      <w:r w:rsidR="00E91F30" w:rsidRPr="00B22CA9">
        <w:rPr>
          <w:rFonts w:ascii="Times New Roman" w:hAnsi="Times New Roman" w:cs="Times New Roman"/>
          <w:sz w:val="24"/>
          <w:szCs w:val="24"/>
          <w:lang w:val="es-ES"/>
        </w:rPr>
        <w:t>en la Unión</w:t>
      </w:r>
      <w:r w:rsidR="0045743F" w:rsidRPr="00B22CA9">
        <w:rPr>
          <w:rStyle w:val="Refdenotaalpie"/>
          <w:rFonts w:ascii="Times New Roman" w:hAnsi="Times New Roman" w:cs="Times New Roman"/>
          <w:sz w:val="24"/>
          <w:szCs w:val="24"/>
          <w:lang w:val="es-ES"/>
        </w:rPr>
        <w:footnoteReference w:id="6"/>
      </w:r>
      <w:r w:rsidR="0045743F" w:rsidRPr="00B22CA9">
        <w:rPr>
          <w:rFonts w:ascii="Times New Roman" w:hAnsi="Times New Roman" w:cs="Times New Roman"/>
          <w:sz w:val="24"/>
          <w:szCs w:val="24"/>
          <w:lang w:val="es-ES"/>
        </w:rPr>
        <w:t xml:space="preserve"> </w:t>
      </w:r>
      <w:r w:rsidR="00F8563C" w:rsidRPr="00B22CA9">
        <w:rPr>
          <w:rFonts w:ascii="Times New Roman" w:hAnsi="Times New Roman" w:cs="Times New Roman"/>
          <w:sz w:val="24"/>
          <w:szCs w:val="24"/>
          <w:lang w:val="es-ES"/>
        </w:rPr>
        <w:t xml:space="preserve">y </w:t>
      </w:r>
      <w:r w:rsidR="008B0ABC" w:rsidRPr="00B22CA9">
        <w:rPr>
          <w:rFonts w:ascii="Times New Roman" w:hAnsi="Times New Roman" w:cs="Times New Roman"/>
          <w:sz w:val="24"/>
          <w:szCs w:val="24"/>
          <w:lang w:val="es-ES"/>
        </w:rPr>
        <w:t>que se abriera</w:t>
      </w:r>
      <w:r w:rsidR="0045743F" w:rsidRPr="00B22CA9">
        <w:rPr>
          <w:rFonts w:ascii="Times New Roman" w:hAnsi="Times New Roman" w:cs="Times New Roman"/>
          <w:sz w:val="24"/>
          <w:szCs w:val="24"/>
          <w:lang w:val="es-ES"/>
        </w:rPr>
        <w:t xml:space="preserve"> paso una comprensión </w:t>
      </w:r>
      <w:r w:rsidR="0045743F" w:rsidRPr="00B22CA9">
        <w:rPr>
          <w:rFonts w:ascii="Times New Roman" w:hAnsi="Times New Roman" w:cs="Times New Roman"/>
          <w:i/>
          <w:sz w:val="24"/>
          <w:szCs w:val="24"/>
          <w:lang w:val="es-ES"/>
        </w:rPr>
        <w:t>más</w:t>
      </w:r>
      <w:r w:rsidR="0045743F" w:rsidRPr="00B22CA9">
        <w:rPr>
          <w:rFonts w:ascii="Times New Roman" w:hAnsi="Times New Roman" w:cs="Times New Roman"/>
          <w:sz w:val="24"/>
          <w:szCs w:val="24"/>
          <w:lang w:val="es-ES"/>
        </w:rPr>
        <w:t xml:space="preserve"> </w:t>
      </w:r>
      <w:r w:rsidR="0045743F" w:rsidRPr="00B22CA9">
        <w:rPr>
          <w:rFonts w:ascii="Times New Roman" w:hAnsi="Times New Roman" w:cs="Times New Roman"/>
          <w:i/>
          <w:sz w:val="24"/>
          <w:szCs w:val="24"/>
          <w:lang w:val="es-ES"/>
        </w:rPr>
        <w:t>constitucional</w:t>
      </w:r>
      <w:r w:rsidR="0045743F" w:rsidRPr="00B22CA9">
        <w:rPr>
          <w:rFonts w:ascii="Times New Roman" w:hAnsi="Times New Roman" w:cs="Times New Roman"/>
          <w:sz w:val="24"/>
          <w:szCs w:val="24"/>
          <w:lang w:val="es-ES"/>
        </w:rPr>
        <w:t xml:space="preserve">. En tal contexto, </w:t>
      </w:r>
      <w:r w:rsidR="00F8563C" w:rsidRPr="00B22CA9">
        <w:rPr>
          <w:rFonts w:ascii="Times New Roman" w:hAnsi="Times New Roman" w:cs="Times New Roman"/>
          <w:sz w:val="24"/>
          <w:szCs w:val="24"/>
          <w:lang w:val="es-ES"/>
        </w:rPr>
        <w:t>el juego de cláusulas horizontales</w:t>
      </w:r>
      <w:r w:rsidR="0045743F" w:rsidRPr="00B22CA9">
        <w:rPr>
          <w:rFonts w:ascii="Times New Roman" w:hAnsi="Times New Roman" w:cs="Times New Roman"/>
          <w:sz w:val="24"/>
          <w:szCs w:val="24"/>
          <w:lang w:val="es-ES"/>
        </w:rPr>
        <w:t xml:space="preserve"> confirmaba</w:t>
      </w:r>
      <w:r w:rsidR="0052563E" w:rsidRPr="00B22CA9">
        <w:rPr>
          <w:rFonts w:ascii="Times New Roman" w:hAnsi="Times New Roman" w:cs="Times New Roman"/>
          <w:sz w:val="24"/>
          <w:szCs w:val="24"/>
          <w:lang w:val="es-ES"/>
        </w:rPr>
        <w:t>, por una parte,</w:t>
      </w:r>
      <w:r w:rsidR="00EC5BC0" w:rsidRPr="00B22CA9">
        <w:rPr>
          <w:rFonts w:ascii="Times New Roman" w:hAnsi="Times New Roman" w:cs="Times New Roman"/>
          <w:sz w:val="24"/>
          <w:szCs w:val="24"/>
          <w:lang w:val="es-ES"/>
        </w:rPr>
        <w:t xml:space="preserve"> la</w:t>
      </w:r>
      <w:r w:rsidR="000A588E" w:rsidRPr="00B22CA9">
        <w:rPr>
          <w:rFonts w:ascii="Times New Roman" w:hAnsi="Times New Roman" w:cs="Times New Roman"/>
          <w:sz w:val="24"/>
          <w:szCs w:val="24"/>
          <w:lang w:val="es-ES"/>
        </w:rPr>
        <w:t xml:space="preserve"> nueva textura </w:t>
      </w:r>
      <w:r w:rsidR="00EC5BC0" w:rsidRPr="00B22CA9">
        <w:rPr>
          <w:rFonts w:ascii="Times New Roman" w:hAnsi="Times New Roman" w:cs="Times New Roman"/>
          <w:sz w:val="24"/>
          <w:szCs w:val="24"/>
          <w:lang w:val="es-ES"/>
        </w:rPr>
        <w:t>de los derechos fundamentales</w:t>
      </w:r>
      <w:r w:rsidR="000E429D" w:rsidRPr="00B22CA9">
        <w:rPr>
          <w:rFonts w:ascii="Times New Roman" w:hAnsi="Times New Roman" w:cs="Times New Roman"/>
          <w:sz w:val="24"/>
          <w:szCs w:val="24"/>
          <w:lang w:val="es-ES"/>
        </w:rPr>
        <w:t xml:space="preserve"> de la Unión</w:t>
      </w:r>
      <w:r w:rsidR="00EC5BC0" w:rsidRPr="00B22CA9">
        <w:rPr>
          <w:rFonts w:ascii="Times New Roman" w:hAnsi="Times New Roman" w:cs="Times New Roman"/>
          <w:sz w:val="24"/>
          <w:szCs w:val="24"/>
          <w:lang w:val="es-ES"/>
        </w:rPr>
        <w:t xml:space="preserve">, con una fuerza normativa superior a la de su anterior </w:t>
      </w:r>
      <w:proofErr w:type="spellStart"/>
      <w:r w:rsidR="00EC5BC0" w:rsidRPr="00B22CA9">
        <w:rPr>
          <w:rFonts w:ascii="Times New Roman" w:hAnsi="Times New Roman" w:cs="Times New Roman"/>
          <w:sz w:val="24"/>
          <w:szCs w:val="24"/>
          <w:lang w:val="es-ES"/>
        </w:rPr>
        <w:t>invocabilidad</w:t>
      </w:r>
      <w:proofErr w:type="spellEnd"/>
      <w:r w:rsidR="00EC5BC0" w:rsidRPr="00B22CA9">
        <w:rPr>
          <w:rFonts w:ascii="Times New Roman" w:hAnsi="Times New Roman" w:cs="Times New Roman"/>
          <w:sz w:val="24"/>
          <w:szCs w:val="24"/>
          <w:lang w:val="es-ES"/>
        </w:rPr>
        <w:t xml:space="preserve"> </w:t>
      </w:r>
      <w:r w:rsidR="000E429D" w:rsidRPr="00B22CA9">
        <w:rPr>
          <w:rFonts w:ascii="Times New Roman" w:hAnsi="Times New Roman" w:cs="Times New Roman"/>
          <w:sz w:val="24"/>
          <w:szCs w:val="24"/>
          <w:lang w:val="es-ES"/>
        </w:rPr>
        <w:t>y eficacia</w:t>
      </w:r>
      <w:r w:rsidR="00EC5BC0" w:rsidRPr="00B22CA9">
        <w:rPr>
          <w:rFonts w:ascii="Times New Roman" w:hAnsi="Times New Roman" w:cs="Times New Roman"/>
          <w:sz w:val="24"/>
          <w:szCs w:val="24"/>
          <w:lang w:val="es-ES"/>
        </w:rPr>
        <w:t xml:space="preserve"> (Cruz Villalón, 2017) (Carmona Contreras, 2016: 46)</w:t>
      </w:r>
      <w:r w:rsidR="004A12E1" w:rsidRPr="00B22CA9">
        <w:rPr>
          <w:rFonts w:ascii="Times New Roman" w:hAnsi="Times New Roman" w:cs="Times New Roman"/>
          <w:sz w:val="24"/>
          <w:szCs w:val="24"/>
          <w:lang w:val="es-ES"/>
        </w:rPr>
        <w:t xml:space="preserve">, </w:t>
      </w:r>
      <w:r w:rsidR="000E429D" w:rsidRPr="00B22CA9">
        <w:rPr>
          <w:rFonts w:ascii="Times New Roman" w:hAnsi="Times New Roman" w:cs="Times New Roman"/>
          <w:sz w:val="24"/>
          <w:szCs w:val="24"/>
          <w:lang w:val="es-ES"/>
        </w:rPr>
        <w:t>pero</w:t>
      </w:r>
      <w:r w:rsidR="0052563E" w:rsidRPr="00B22CA9">
        <w:rPr>
          <w:rFonts w:ascii="Times New Roman" w:hAnsi="Times New Roman" w:cs="Times New Roman"/>
          <w:sz w:val="24"/>
          <w:szCs w:val="24"/>
          <w:lang w:val="es-ES"/>
        </w:rPr>
        <w:t xml:space="preserve"> por otra parte</w:t>
      </w:r>
      <w:r w:rsidR="00F8563C" w:rsidRPr="00B22CA9">
        <w:rPr>
          <w:rFonts w:ascii="Times New Roman" w:hAnsi="Times New Roman" w:cs="Times New Roman"/>
          <w:sz w:val="24"/>
          <w:szCs w:val="24"/>
          <w:lang w:val="es-ES"/>
        </w:rPr>
        <w:t xml:space="preserve"> el 51 recordaba que </w:t>
      </w:r>
      <w:r w:rsidR="000E429D" w:rsidRPr="00B22CA9">
        <w:rPr>
          <w:rFonts w:ascii="Times New Roman" w:hAnsi="Times New Roman" w:cs="Times New Roman"/>
          <w:sz w:val="24"/>
          <w:szCs w:val="24"/>
          <w:lang w:val="es-ES"/>
        </w:rPr>
        <w:t xml:space="preserve">su comprensión </w:t>
      </w:r>
      <w:r w:rsidR="001E0F25" w:rsidRPr="00B22CA9">
        <w:rPr>
          <w:rFonts w:ascii="Times New Roman" w:hAnsi="Times New Roman" w:cs="Times New Roman"/>
          <w:sz w:val="24"/>
          <w:szCs w:val="24"/>
          <w:lang w:val="es-ES"/>
        </w:rPr>
        <w:t xml:space="preserve">aún </w:t>
      </w:r>
      <w:r w:rsidR="00EC5BC0" w:rsidRPr="00B22CA9">
        <w:rPr>
          <w:rFonts w:ascii="Times New Roman" w:hAnsi="Times New Roman" w:cs="Times New Roman"/>
          <w:sz w:val="24"/>
          <w:szCs w:val="24"/>
          <w:lang w:val="es-ES"/>
        </w:rPr>
        <w:t xml:space="preserve">era </w:t>
      </w:r>
      <w:r w:rsidR="004A12E1" w:rsidRPr="00B22CA9">
        <w:rPr>
          <w:rFonts w:ascii="Times New Roman" w:hAnsi="Times New Roman" w:cs="Times New Roman"/>
          <w:sz w:val="24"/>
          <w:szCs w:val="24"/>
          <w:lang w:val="es-ES"/>
        </w:rPr>
        <w:t>dif</w:t>
      </w:r>
      <w:r w:rsidR="000E429D" w:rsidRPr="00B22CA9">
        <w:rPr>
          <w:rFonts w:ascii="Times New Roman" w:hAnsi="Times New Roman" w:cs="Times New Roman"/>
          <w:sz w:val="24"/>
          <w:szCs w:val="24"/>
          <w:lang w:val="es-ES"/>
        </w:rPr>
        <w:t xml:space="preserve">erente de la de una declaración de derechos en sentido </w:t>
      </w:r>
      <w:r w:rsidR="004A12E1" w:rsidRPr="00B22CA9">
        <w:rPr>
          <w:rFonts w:ascii="Times New Roman" w:hAnsi="Times New Roman" w:cs="Times New Roman"/>
          <w:sz w:val="24"/>
          <w:szCs w:val="24"/>
          <w:lang w:val="es-ES"/>
        </w:rPr>
        <w:t>federal</w:t>
      </w:r>
      <w:r w:rsidR="00A00BB3" w:rsidRPr="00B22CA9">
        <w:rPr>
          <w:rFonts w:ascii="Times New Roman" w:hAnsi="Times New Roman" w:cs="Times New Roman"/>
          <w:sz w:val="24"/>
          <w:szCs w:val="24"/>
          <w:lang w:val="es-ES"/>
        </w:rPr>
        <w:t>.</w:t>
      </w:r>
      <w:r w:rsidR="00A51BDD" w:rsidRPr="00B22CA9">
        <w:rPr>
          <w:rFonts w:ascii="Times New Roman" w:hAnsi="Times New Roman" w:cs="Times New Roman"/>
          <w:sz w:val="24"/>
          <w:szCs w:val="24"/>
          <w:lang w:val="es-ES"/>
        </w:rPr>
        <w:t xml:space="preserve">  </w:t>
      </w:r>
      <w:r w:rsidR="004A12E1" w:rsidRPr="00B22CA9">
        <w:rPr>
          <w:rFonts w:ascii="Times New Roman" w:hAnsi="Times New Roman" w:cs="Times New Roman"/>
          <w:sz w:val="24"/>
          <w:szCs w:val="24"/>
          <w:lang w:val="es-ES"/>
        </w:rPr>
        <w:t xml:space="preserve">  </w:t>
      </w:r>
      <w:r w:rsidR="00915A0F" w:rsidRPr="00B22CA9">
        <w:rPr>
          <w:rFonts w:ascii="Times New Roman" w:hAnsi="Times New Roman" w:cs="Times New Roman"/>
          <w:sz w:val="24"/>
          <w:szCs w:val="24"/>
          <w:lang w:val="es-ES"/>
        </w:rPr>
        <w:t xml:space="preserve">  </w:t>
      </w:r>
    </w:p>
    <w:p w:rsidR="00A00BB3" w:rsidRPr="00B22CA9" w:rsidRDefault="00E47DF9" w:rsidP="00A165C7">
      <w:pPr>
        <w:spacing w:line="240" w:lineRule="auto"/>
        <w:jc w:val="both"/>
        <w:rPr>
          <w:rFonts w:ascii="Times New Roman" w:hAnsi="Times New Roman" w:cs="Times New Roman"/>
          <w:sz w:val="24"/>
          <w:szCs w:val="24"/>
          <w:lang w:val="es-ES"/>
        </w:rPr>
      </w:pPr>
      <w:r w:rsidRPr="00B22CA9">
        <w:rPr>
          <w:rFonts w:ascii="Times New Roman" w:hAnsi="Times New Roman" w:cs="Times New Roman"/>
          <w:sz w:val="24"/>
          <w:szCs w:val="24"/>
          <w:lang w:val="es-ES"/>
        </w:rPr>
        <w:tab/>
      </w:r>
      <w:r w:rsidR="0052563E" w:rsidRPr="00B22CA9">
        <w:rPr>
          <w:rFonts w:ascii="Times New Roman" w:hAnsi="Times New Roman" w:cs="Times New Roman"/>
          <w:sz w:val="24"/>
          <w:szCs w:val="24"/>
          <w:lang w:val="es-ES"/>
        </w:rPr>
        <w:t>Al poco tiempo</w:t>
      </w:r>
      <w:r w:rsidR="00D76E96" w:rsidRPr="00B22CA9">
        <w:rPr>
          <w:rFonts w:ascii="Times New Roman" w:hAnsi="Times New Roman" w:cs="Times New Roman"/>
          <w:sz w:val="24"/>
          <w:szCs w:val="24"/>
          <w:lang w:val="es-ES"/>
        </w:rPr>
        <w:t>,</w:t>
      </w:r>
      <w:r w:rsidR="0052563E" w:rsidRPr="00B22CA9">
        <w:rPr>
          <w:rFonts w:ascii="Times New Roman" w:hAnsi="Times New Roman" w:cs="Times New Roman"/>
          <w:sz w:val="24"/>
          <w:szCs w:val="24"/>
          <w:lang w:val="es-ES"/>
        </w:rPr>
        <w:t xml:space="preserve"> los asuntos</w:t>
      </w:r>
      <w:r w:rsidR="00D76E96" w:rsidRPr="00B22CA9">
        <w:rPr>
          <w:rFonts w:ascii="Times New Roman" w:hAnsi="Times New Roman" w:cs="Times New Roman"/>
          <w:sz w:val="24"/>
          <w:szCs w:val="24"/>
          <w:lang w:val="es-ES"/>
        </w:rPr>
        <w:t xml:space="preserve"> </w:t>
      </w:r>
      <w:proofErr w:type="spellStart"/>
      <w:r w:rsidR="00A51BDD" w:rsidRPr="00B22CA9">
        <w:rPr>
          <w:rFonts w:ascii="Times New Roman" w:hAnsi="Times New Roman" w:cs="Times New Roman"/>
          <w:i/>
          <w:sz w:val="24"/>
          <w:szCs w:val="24"/>
          <w:lang w:val="es-ES"/>
        </w:rPr>
        <w:t>Fransson</w:t>
      </w:r>
      <w:proofErr w:type="spellEnd"/>
      <w:r w:rsidR="00A51BDD" w:rsidRPr="00B22CA9">
        <w:rPr>
          <w:rFonts w:ascii="Times New Roman" w:hAnsi="Times New Roman" w:cs="Times New Roman"/>
          <w:sz w:val="24"/>
          <w:szCs w:val="24"/>
          <w:lang w:val="es-ES"/>
        </w:rPr>
        <w:t xml:space="preserve"> y </w:t>
      </w:r>
      <w:proofErr w:type="spellStart"/>
      <w:r w:rsidR="00A51BDD" w:rsidRPr="00B22CA9">
        <w:rPr>
          <w:rFonts w:ascii="Times New Roman" w:hAnsi="Times New Roman" w:cs="Times New Roman"/>
          <w:i/>
          <w:sz w:val="24"/>
          <w:szCs w:val="24"/>
          <w:lang w:val="es-ES"/>
        </w:rPr>
        <w:t>Melloni</w:t>
      </w:r>
      <w:proofErr w:type="spellEnd"/>
      <w:r w:rsidR="00A51BDD" w:rsidRPr="00B22CA9">
        <w:rPr>
          <w:rStyle w:val="Refdenotaalpie"/>
          <w:rFonts w:ascii="Times New Roman" w:hAnsi="Times New Roman" w:cs="Times New Roman"/>
          <w:sz w:val="24"/>
          <w:szCs w:val="24"/>
          <w:lang w:val="es-ES"/>
        </w:rPr>
        <w:footnoteReference w:id="7"/>
      </w:r>
      <w:r w:rsidR="001E0F25" w:rsidRPr="00B22CA9">
        <w:rPr>
          <w:rFonts w:ascii="Times New Roman" w:hAnsi="Times New Roman" w:cs="Times New Roman"/>
          <w:sz w:val="24"/>
          <w:szCs w:val="24"/>
          <w:lang w:val="es-ES"/>
        </w:rPr>
        <w:t xml:space="preserve"> </w:t>
      </w:r>
      <w:r w:rsidR="00711EB3" w:rsidRPr="00B22CA9">
        <w:rPr>
          <w:rFonts w:ascii="Times New Roman" w:hAnsi="Times New Roman" w:cs="Times New Roman"/>
          <w:sz w:val="24"/>
          <w:szCs w:val="24"/>
          <w:lang w:val="es-ES"/>
        </w:rPr>
        <w:t>delimitaron</w:t>
      </w:r>
      <w:r w:rsidR="00A165C7" w:rsidRPr="00B22CA9">
        <w:rPr>
          <w:rFonts w:ascii="Times New Roman" w:hAnsi="Times New Roman" w:cs="Times New Roman"/>
          <w:sz w:val="24"/>
          <w:szCs w:val="24"/>
          <w:lang w:val="es-ES"/>
        </w:rPr>
        <w:t xml:space="preserve"> </w:t>
      </w:r>
      <w:r w:rsidR="00396412" w:rsidRPr="00B22CA9">
        <w:rPr>
          <w:rFonts w:ascii="Times New Roman" w:hAnsi="Times New Roman" w:cs="Times New Roman"/>
          <w:sz w:val="24"/>
          <w:szCs w:val="24"/>
          <w:lang w:val="es-ES"/>
        </w:rPr>
        <w:t>la proyección</w:t>
      </w:r>
      <w:r w:rsidR="00470157" w:rsidRPr="00B22CA9">
        <w:rPr>
          <w:rFonts w:ascii="Times New Roman" w:hAnsi="Times New Roman" w:cs="Times New Roman"/>
          <w:sz w:val="24"/>
          <w:szCs w:val="24"/>
          <w:lang w:val="es-ES"/>
        </w:rPr>
        <w:t xml:space="preserve"> de los derechos de la Carta</w:t>
      </w:r>
      <w:r w:rsidR="00222238" w:rsidRPr="00B22CA9">
        <w:rPr>
          <w:rFonts w:ascii="Times New Roman" w:hAnsi="Times New Roman" w:cs="Times New Roman"/>
          <w:sz w:val="24"/>
          <w:szCs w:val="24"/>
          <w:lang w:val="es-ES"/>
        </w:rPr>
        <w:t xml:space="preserve"> </w:t>
      </w:r>
      <w:r w:rsidR="00BC592A" w:rsidRPr="00B22CA9">
        <w:rPr>
          <w:rFonts w:ascii="Times New Roman" w:hAnsi="Times New Roman" w:cs="Times New Roman"/>
          <w:sz w:val="24"/>
          <w:szCs w:val="24"/>
          <w:lang w:val="es-ES"/>
        </w:rPr>
        <w:t>sobre los Estados miembros</w:t>
      </w:r>
      <w:r w:rsidR="00A51BDD" w:rsidRPr="00B22CA9">
        <w:rPr>
          <w:rFonts w:ascii="Times New Roman" w:hAnsi="Times New Roman" w:cs="Times New Roman"/>
          <w:sz w:val="24"/>
          <w:szCs w:val="24"/>
          <w:lang w:val="es-ES"/>
        </w:rPr>
        <w:t>. L</w:t>
      </w:r>
      <w:r w:rsidR="00711EB3" w:rsidRPr="00B22CA9">
        <w:rPr>
          <w:rFonts w:ascii="Times New Roman" w:hAnsi="Times New Roman" w:cs="Times New Roman"/>
          <w:sz w:val="24"/>
          <w:szCs w:val="24"/>
          <w:lang w:val="es-ES"/>
        </w:rPr>
        <w:t xml:space="preserve">a Carta se aplicaría </w:t>
      </w:r>
      <w:r w:rsidR="0016453A" w:rsidRPr="00B22CA9">
        <w:rPr>
          <w:rFonts w:ascii="Times New Roman" w:hAnsi="Times New Roman" w:cs="Times New Roman"/>
          <w:sz w:val="24"/>
          <w:szCs w:val="24"/>
          <w:lang w:val="es-ES"/>
        </w:rPr>
        <w:t xml:space="preserve">siempre que </w:t>
      </w:r>
      <w:r w:rsidR="00711EB3" w:rsidRPr="00B22CA9">
        <w:rPr>
          <w:rFonts w:ascii="Times New Roman" w:hAnsi="Times New Roman" w:cs="Times New Roman"/>
          <w:sz w:val="24"/>
          <w:szCs w:val="24"/>
          <w:lang w:val="es-ES"/>
        </w:rPr>
        <w:t>l</w:t>
      </w:r>
      <w:r w:rsidR="005A56C4" w:rsidRPr="00B22CA9">
        <w:rPr>
          <w:rFonts w:ascii="Times New Roman" w:hAnsi="Times New Roman" w:cs="Times New Roman"/>
          <w:sz w:val="24"/>
          <w:szCs w:val="24"/>
          <w:lang w:val="es-ES"/>
        </w:rPr>
        <w:t>a actuación estatal</w:t>
      </w:r>
      <w:r w:rsidR="001E0F25" w:rsidRPr="00B22CA9">
        <w:rPr>
          <w:rFonts w:ascii="Times New Roman" w:hAnsi="Times New Roman" w:cs="Times New Roman"/>
          <w:sz w:val="24"/>
          <w:szCs w:val="24"/>
          <w:lang w:val="es-ES"/>
        </w:rPr>
        <w:t xml:space="preserve"> discu</w:t>
      </w:r>
      <w:r w:rsidR="00A165C7" w:rsidRPr="00B22CA9">
        <w:rPr>
          <w:rFonts w:ascii="Times New Roman" w:hAnsi="Times New Roman" w:cs="Times New Roman"/>
          <w:sz w:val="24"/>
          <w:szCs w:val="24"/>
          <w:lang w:val="es-ES"/>
        </w:rPr>
        <w:t>tida</w:t>
      </w:r>
      <w:r w:rsidR="005A56C4" w:rsidRPr="00B22CA9">
        <w:rPr>
          <w:rFonts w:ascii="Times New Roman" w:hAnsi="Times New Roman" w:cs="Times New Roman"/>
          <w:sz w:val="24"/>
          <w:szCs w:val="24"/>
          <w:lang w:val="es-ES"/>
        </w:rPr>
        <w:t xml:space="preserve"> pudiese conectarse con </w:t>
      </w:r>
      <w:r w:rsidR="00A165C7" w:rsidRPr="00B22CA9">
        <w:rPr>
          <w:rFonts w:ascii="Times New Roman" w:hAnsi="Times New Roman" w:cs="Times New Roman"/>
          <w:sz w:val="24"/>
          <w:szCs w:val="24"/>
          <w:lang w:val="es-ES"/>
        </w:rPr>
        <w:t xml:space="preserve">una </w:t>
      </w:r>
      <w:r w:rsidR="005A56C4" w:rsidRPr="00B22CA9">
        <w:rPr>
          <w:rFonts w:ascii="Times New Roman" w:hAnsi="Times New Roman" w:cs="Times New Roman"/>
          <w:sz w:val="24"/>
          <w:szCs w:val="24"/>
          <w:lang w:val="es-ES"/>
        </w:rPr>
        <w:t>pretensi</w:t>
      </w:r>
      <w:r w:rsidR="00A165C7" w:rsidRPr="00B22CA9">
        <w:rPr>
          <w:rFonts w:ascii="Times New Roman" w:hAnsi="Times New Roman" w:cs="Times New Roman"/>
          <w:sz w:val="24"/>
          <w:szCs w:val="24"/>
          <w:lang w:val="es-ES"/>
        </w:rPr>
        <w:t>ón</w:t>
      </w:r>
      <w:r w:rsidR="005A56C4" w:rsidRPr="00B22CA9">
        <w:rPr>
          <w:rFonts w:ascii="Times New Roman" w:hAnsi="Times New Roman" w:cs="Times New Roman"/>
          <w:sz w:val="24"/>
          <w:szCs w:val="24"/>
          <w:lang w:val="es-ES"/>
        </w:rPr>
        <w:t xml:space="preserve"> de</w:t>
      </w:r>
      <w:r w:rsidR="0016453A" w:rsidRPr="00B22CA9">
        <w:rPr>
          <w:rFonts w:ascii="Times New Roman" w:hAnsi="Times New Roman" w:cs="Times New Roman"/>
          <w:sz w:val="24"/>
          <w:szCs w:val="24"/>
          <w:lang w:val="es-ES"/>
        </w:rPr>
        <w:t xml:space="preserve"> </w:t>
      </w:r>
      <w:r w:rsidR="00BC592A" w:rsidRPr="00B22CA9">
        <w:rPr>
          <w:rFonts w:ascii="Times New Roman" w:hAnsi="Times New Roman" w:cs="Times New Roman"/>
          <w:sz w:val="24"/>
          <w:szCs w:val="24"/>
          <w:lang w:val="es-ES"/>
        </w:rPr>
        <w:t>efectividad</w:t>
      </w:r>
      <w:r w:rsidR="0016453A" w:rsidRPr="00B22CA9">
        <w:rPr>
          <w:rFonts w:ascii="Times New Roman" w:hAnsi="Times New Roman" w:cs="Times New Roman"/>
          <w:sz w:val="24"/>
          <w:szCs w:val="24"/>
          <w:lang w:val="es-ES"/>
        </w:rPr>
        <w:t xml:space="preserve"> del </w:t>
      </w:r>
      <w:r w:rsidR="00EA6435" w:rsidRPr="00B22CA9">
        <w:rPr>
          <w:rFonts w:ascii="Times New Roman" w:hAnsi="Times New Roman" w:cs="Times New Roman"/>
          <w:sz w:val="24"/>
          <w:szCs w:val="24"/>
          <w:lang w:val="es-ES"/>
        </w:rPr>
        <w:t>d</w:t>
      </w:r>
      <w:r w:rsidR="0016453A" w:rsidRPr="00B22CA9">
        <w:rPr>
          <w:rFonts w:ascii="Times New Roman" w:hAnsi="Times New Roman" w:cs="Times New Roman"/>
          <w:sz w:val="24"/>
          <w:szCs w:val="24"/>
          <w:lang w:val="es-ES"/>
        </w:rPr>
        <w:t>erecho de la Unión</w:t>
      </w:r>
      <w:r w:rsidR="00A65F07" w:rsidRPr="00B22CA9">
        <w:rPr>
          <w:rFonts w:ascii="Times New Roman" w:hAnsi="Times New Roman" w:cs="Times New Roman"/>
          <w:sz w:val="24"/>
          <w:szCs w:val="24"/>
          <w:lang w:val="es-ES"/>
        </w:rPr>
        <w:t xml:space="preserve">, </w:t>
      </w:r>
      <w:r w:rsidR="00A165C7" w:rsidRPr="00B22CA9">
        <w:rPr>
          <w:rFonts w:ascii="Times New Roman" w:hAnsi="Times New Roman" w:cs="Times New Roman"/>
          <w:sz w:val="24"/>
          <w:szCs w:val="24"/>
          <w:lang w:val="es-ES"/>
        </w:rPr>
        <w:t xml:space="preserve">con independencia </w:t>
      </w:r>
      <w:r w:rsidR="0016453A" w:rsidRPr="00B22CA9">
        <w:rPr>
          <w:rFonts w:ascii="Times New Roman" w:hAnsi="Times New Roman" w:cs="Times New Roman"/>
          <w:sz w:val="24"/>
          <w:szCs w:val="24"/>
          <w:lang w:val="es-ES"/>
        </w:rPr>
        <w:t xml:space="preserve">de la </w:t>
      </w:r>
      <w:r w:rsidR="00A165C7" w:rsidRPr="00B22CA9">
        <w:rPr>
          <w:rFonts w:ascii="Times New Roman" w:hAnsi="Times New Roman" w:cs="Times New Roman"/>
          <w:sz w:val="24"/>
          <w:szCs w:val="24"/>
          <w:lang w:val="es-ES"/>
        </w:rPr>
        <w:t xml:space="preserve">intensidad de la </w:t>
      </w:r>
      <w:r w:rsidR="0016453A" w:rsidRPr="00B22CA9">
        <w:rPr>
          <w:rFonts w:ascii="Times New Roman" w:hAnsi="Times New Roman" w:cs="Times New Roman"/>
          <w:sz w:val="24"/>
          <w:szCs w:val="24"/>
          <w:lang w:val="es-ES"/>
        </w:rPr>
        <w:t>conexión</w:t>
      </w:r>
      <w:r w:rsidR="00711EB3" w:rsidRPr="00B22CA9">
        <w:rPr>
          <w:rFonts w:ascii="Times New Roman" w:hAnsi="Times New Roman" w:cs="Times New Roman"/>
          <w:sz w:val="24"/>
          <w:szCs w:val="24"/>
          <w:lang w:val="es-ES"/>
        </w:rPr>
        <w:t>, más o menos directa,</w:t>
      </w:r>
      <w:r w:rsidR="0016453A" w:rsidRPr="00B22CA9">
        <w:rPr>
          <w:rFonts w:ascii="Times New Roman" w:hAnsi="Times New Roman" w:cs="Times New Roman"/>
          <w:sz w:val="24"/>
          <w:szCs w:val="24"/>
          <w:lang w:val="es-ES"/>
        </w:rPr>
        <w:t xml:space="preserve"> </w:t>
      </w:r>
      <w:r w:rsidR="00A165C7" w:rsidRPr="00B22CA9">
        <w:rPr>
          <w:rFonts w:ascii="Times New Roman" w:hAnsi="Times New Roman" w:cs="Times New Roman"/>
          <w:sz w:val="24"/>
          <w:szCs w:val="24"/>
          <w:lang w:val="es-ES"/>
        </w:rPr>
        <w:t>entre la acción estatal</w:t>
      </w:r>
      <w:r w:rsidR="00A51BDD" w:rsidRPr="00B22CA9">
        <w:rPr>
          <w:rFonts w:ascii="Times New Roman" w:hAnsi="Times New Roman" w:cs="Times New Roman"/>
          <w:sz w:val="24"/>
          <w:szCs w:val="24"/>
          <w:lang w:val="es-ES"/>
        </w:rPr>
        <w:t xml:space="preserve"> </w:t>
      </w:r>
      <w:r w:rsidR="00A51BDD" w:rsidRPr="00B22CA9">
        <w:rPr>
          <w:rFonts w:ascii="Times New Roman" w:hAnsi="Times New Roman" w:cs="Times New Roman"/>
          <w:sz w:val="24"/>
          <w:szCs w:val="24"/>
          <w:lang w:val="es-ES"/>
        </w:rPr>
        <w:lastRenderedPageBreak/>
        <w:t>discutida</w:t>
      </w:r>
      <w:r w:rsidR="00A165C7" w:rsidRPr="00B22CA9">
        <w:rPr>
          <w:rFonts w:ascii="Times New Roman" w:hAnsi="Times New Roman" w:cs="Times New Roman"/>
          <w:sz w:val="24"/>
          <w:szCs w:val="24"/>
          <w:lang w:val="es-ES"/>
        </w:rPr>
        <w:t xml:space="preserve"> y el</w:t>
      </w:r>
      <w:r w:rsidR="0016453A" w:rsidRPr="00B22CA9">
        <w:rPr>
          <w:rFonts w:ascii="Times New Roman" w:hAnsi="Times New Roman" w:cs="Times New Roman"/>
          <w:sz w:val="24"/>
          <w:szCs w:val="24"/>
          <w:lang w:val="es-ES"/>
        </w:rPr>
        <w:t xml:space="preserve"> mandato</w:t>
      </w:r>
      <w:r w:rsidR="00BC592A" w:rsidRPr="00B22CA9">
        <w:rPr>
          <w:rFonts w:ascii="Times New Roman" w:hAnsi="Times New Roman" w:cs="Times New Roman"/>
          <w:sz w:val="24"/>
          <w:szCs w:val="24"/>
          <w:lang w:val="es-ES"/>
        </w:rPr>
        <w:t xml:space="preserve"> normativo</w:t>
      </w:r>
      <w:r w:rsidR="00A165C7" w:rsidRPr="00B22CA9">
        <w:rPr>
          <w:rFonts w:ascii="Times New Roman" w:hAnsi="Times New Roman" w:cs="Times New Roman"/>
          <w:sz w:val="24"/>
          <w:szCs w:val="24"/>
          <w:lang w:val="es-ES"/>
        </w:rPr>
        <w:t xml:space="preserve"> supranacional</w:t>
      </w:r>
      <w:r w:rsidR="006B0096" w:rsidRPr="00B22CA9">
        <w:rPr>
          <w:rStyle w:val="Refdenotaalpie"/>
          <w:rFonts w:ascii="Times New Roman" w:hAnsi="Times New Roman" w:cs="Times New Roman"/>
          <w:sz w:val="24"/>
          <w:szCs w:val="24"/>
          <w:lang w:val="es-ES"/>
        </w:rPr>
        <w:footnoteReference w:id="8"/>
      </w:r>
      <w:r w:rsidR="0016453A" w:rsidRPr="00B22CA9">
        <w:rPr>
          <w:rFonts w:ascii="Times New Roman" w:hAnsi="Times New Roman" w:cs="Times New Roman"/>
          <w:sz w:val="24"/>
          <w:szCs w:val="24"/>
          <w:lang w:val="es-ES"/>
        </w:rPr>
        <w:t xml:space="preserve">. Una vez determinada la aplicabilidad, </w:t>
      </w:r>
      <w:r w:rsidR="00D76E96" w:rsidRPr="00B22CA9">
        <w:rPr>
          <w:rFonts w:ascii="Times New Roman" w:hAnsi="Times New Roman" w:cs="Times New Roman"/>
          <w:sz w:val="24"/>
          <w:szCs w:val="24"/>
          <w:lang w:val="es-ES"/>
        </w:rPr>
        <w:t xml:space="preserve">primera </w:t>
      </w:r>
      <w:r w:rsidR="0016453A" w:rsidRPr="00B22CA9">
        <w:rPr>
          <w:rFonts w:ascii="Times New Roman" w:hAnsi="Times New Roman" w:cs="Times New Roman"/>
          <w:sz w:val="24"/>
          <w:szCs w:val="24"/>
          <w:lang w:val="es-ES"/>
        </w:rPr>
        <w:t>condición de eficacia, los estándares de protección de los derechos</w:t>
      </w:r>
      <w:r w:rsidR="00A65F07" w:rsidRPr="00B22CA9">
        <w:rPr>
          <w:rFonts w:ascii="Times New Roman" w:hAnsi="Times New Roman" w:cs="Times New Roman"/>
          <w:sz w:val="24"/>
          <w:szCs w:val="24"/>
          <w:lang w:val="es-ES"/>
        </w:rPr>
        <w:t xml:space="preserve"> bien</w:t>
      </w:r>
      <w:r w:rsidR="0016453A" w:rsidRPr="00B22CA9">
        <w:rPr>
          <w:rFonts w:ascii="Times New Roman" w:hAnsi="Times New Roman" w:cs="Times New Roman"/>
          <w:sz w:val="24"/>
          <w:szCs w:val="24"/>
          <w:lang w:val="es-ES"/>
        </w:rPr>
        <w:t xml:space="preserve"> se </w:t>
      </w:r>
      <w:r w:rsidR="00D76E96" w:rsidRPr="00B22CA9">
        <w:rPr>
          <w:rFonts w:ascii="Times New Roman" w:hAnsi="Times New Roman" w:cs="Times New Roman"/>
          <w:sz w:val="24"/>
          <w:szCs w:val="24"/>
          <w:lang w:val="es-ES"/>
        </w:rPr>
        <w:t>deducirían del derecho de la Unión</w:t>
      </w:r>
      <w:r w:rsidR="00B0041D" w:rsidRPr="00B22CA9">
        <w:rPr>
          <w:rFonts w:ascii="Times New Roman" w:hAnsi="Times New Roman" w:cs="Times New Roman"/>
          <w:sz w:val="24"/>
          <w:szCs w:val="24"/>
          <w:lang w:val="es-ES"/>
        </w:rPr>
        <w:t xml:space="preserve"> </w:t>
      </w:r>
      <w:r w:rsidR="00A65F07" w:rsidRPr="00B22CA9">
        <w:rPr>
          <w:rFonts w:ascii="Times New Roman" w:hAnsi="Times New Roman" w:cs="Times New Roman"/>
          <w:sz w:val="24"/>
          <w:szCs w:val="24"/>
          <w:lang w:val="es-ES"/>
        </w:rPr>
        <w:t>bien</w:t>
      </w:r>
      <w:r w:rsidR="00C31BEF" w:rsidRPr="00B22CA9">
        <w:rPr>
          <w:rFonts w:ascii="Times New Roman" w:hAnsi="Times New Roman" w:cs="Times New Roman"/>
          <w:sz w:val="24"/>
          <w:szCs w:val="24"/>
          <w:lang w:val="es-ES"/>
        </w:rPr>
        <w:t xml:space="preserve"> se ajustarían desde las constituciones nacionales</w:t>
      </w:r>
      <w:r w:rsidR="00A65F07" w:rsidRPr="00B22CA9">
        <w:rPr>
          <w:rFonts w:ascii="Times New Roman" w:hAnsi="Times New Roman" w:cs="Times New Roman"/>
          <w:sz w:val="24"/>
          <w:szCs w:val="24"/>
          <w:lang w:val="es-ES"/>
        </w:rPr>
        <w:t>. Dependería de</w:t>
      </w:r>
      <w:r w:rsidR="00C31BEF" w:rsidRPr="00B22CA9">
        <w:rPr>
          <w:rFonts w:ascii="Times New Roman" w:hAnsi="Times New Roman" w:cs="Times New Roman"/>
          <w:sz w:val="24"/>
          <w:szCs w:val="24"/>
          <w:lang w:val="es-ES"/>
        </w:rPr>
        <w:t xml:space="preserve"> la f</w:t>
      </w:r>
      <w:r w:rsidR="00A165C7" w:rsidRPr="00B22CA9">
        <w:rPr>
          <w:rFonts w:ascii="Times New Roman" w:hAnsi="Times New Roman" w:cs="Times New Roman"/>
          <w:sz w:val="24"/>
          <w:szCs w:val="24"/>
          <w:lang w:val="es-ES"/>
        </w:rPr>
        <w:t>ormulación</w:t>
      </w:r>
      <w:r w:rsidR="00D76E96" w:rsidRPr="00B22CA9">
        <w:rPr>
          <w:rFonts w:ascii="Times New Roman" w:hAnsi="Times New Roman" w:cs="Times New Roman"/>
          <w:sz w:val="24"/>
          <w:szCs w:val="24"/>
          <w:lang w:val="es-ES"/>
        </w:rPr>
        <w:t>,</w:t>
      </w:r>
      <w:r w:rsidR="00A165C7" w:rsidRPr="00B22CA9">
        <w:rPr>
          <w:rFonts w:ascii="Times New Roman" w:hAnsi="Times New Roman" w:cs="Times New Roman"/>
          <w:sz w:val="24"/>
          <w:szCs w:val="24"/>
          <w:lang w:val="es-ES"/>
        </w:rPr>
        <w:t xml:space="preserve"> </w:t>
      </w:r>
      <w:r w:rsidR="0016453A" w:rsidRPr="00B22CA9">
        <w:rPr>
          <w:rFonts w:ascii="Times New Roman" w:hAnsi="Times New Roman" w:cs="Times New Roman"/>
          <w:sz w:val="24"/>
          <w:szCs w:val="24"/>
          <w:lang w:val="es-ES"/>
        </w:rPr>
        <w:t>direct</w:t>
      </w:r>
      <w:r w:rsidR="005A56C4" w:rsidRPr="00B22CA9">
        <w:rPr>
          <w:rFonts w:ascii="Times New Roman" w:hAnsi="Times New Roman" w:cs="Times New Roman"/>
          <w:sz w:val="24"/>
          <w:szCs w:val="24"/>
          <w:lang w:val="es-ES"/>
        </w:rPr>
        <w:t>a</w:t>
      </w:r>
      <w:r w:rsidR="00C31BEF" w:rsidRPr="00B22CA9">
        <w:rPr>
          <w:rFonts w:ascii="Times New Roman" w:hAnsi="Times New Roman" w:cs="Times New Roman"/>
          <w:sz w:val="24"/>
          <w:szCs w:val="24"/>
          <w:lang w:val="es-ES"/>
        </w:rPr>
        <w:t xml:space="preserve"> o indirecta</w:t>
      </w:r>
      <w:r w:rsidR="00D76E96" w:rsidRPr="00B22CA9">
        <w:rPr>
          <w:rFonts w:ascii="Times New Roman" w:hAnsi="Times New Roman" w:cs="Times New Roman"/>
          <w:sz w:val="24"/>
          <w:szCs w:val="24"/>
          <w:lang w:val="es-ES"/>
        </w:rPr>
        <w:t>,</w:t>
      </w:r>
      <w:r w:rsidR="00C31BEF" w:rsidRPr="00B22CA9">
        <w:rPr>
          <w:rFonts w:ascii="Times New Roman" w:hAnsi="Times New Roman" w:cs="Times New Roman"/>
          <w:sz w:val="24"/>
          <w:szCs w:val="24"/>
          <w:lang w:val="es-ES"/>
        </w:rPr>
        <w:t xml:space="preserve"> del mandato supranacional</w:t>
      </w:r>
      <w:r w:rsidR="00A65F07" w:rsidRPr="00B22CA9">
        <w:rPr>
          <w:rFonts w:ascii="Times New Roman" w:hAnsi="Times New Roman" w:cs="Times New Roman"/>
          <w:sz w:val="24"/>
          <w:szCs w:val="24"/>
          <w:lang w:val="es-ES"/>
        </w:rPr>
        <w:t xml:space="preserve"> y e</w:t>
      </w:r>
      <w:r w:rsidR="0016453A" w:rsidRPr="00B22CA9">
        <w:rPr>
          <w:rFonts w:ascii="Times New Roman" w:hAnsi="Times New Roman" w:cs="Times New Roman"/>
          <w:sz w:val="24"/>
          <w:szCs w:val="24"/>
          <w:lang w:val="es-ES"/>
        </w:rPr>
        <w:t>l Tri</w:t>
      </w:r>
      <w:r w:rsidR="00396412" w:rsidRPr="00B22CA9">
        <w:rPr>
          <w:rFonts w:ascii="Times New Roman" w:hAnsi="Times New Roman" w:cs="Times New Roman"/>
          <w:sz w:val="24"/>
          <w:szCs w:val="24"/>
          <w:lang w:val="es-ES"/>
        </w:rPr>
        <w:t xml:space="preserve">bunal de Justicia </w:t>
      </w:r>
      <w:r w:rsidR="00A65F07" w:rsidRPr="00B22CA9">
        <w:rPr>
          <w:rFonts w:ascii="Times New Roman" w:hAnsi="Times New Roman" w:cs="Times New Roman"/>
          <w:sz w:val="24"/>
          <w:szCs w:val="24"/>
          <w:lang w:val="es-ES"/>
        </w:rPr>
        <w:t>siempre</w:t>
      </w:r>
      <w:r w:rsidR="00B0041D" w:rsidRPr="00B22CA9">
        <w:rPr>
          <w:rFonts w:ascii="Times New Roman" w:hAnsi="Times New Roman" w:cs="Times New Roman"/>
          <w:sz w:val="24"/>
          <w:szCs w:val="24"/>
          <w:lang w:val="es-ES"/>
        </w:rPr>
        <w:t xml:space="preserve"> </w:t>
      </w:r>
      <w:r w:rsidR="00396412" w:rsidRPr="00B22CA9">
        <w:rPr>
          <w:rFonts w:ascii="Times New Roman" w:hAnsi="Times New Roman" w:cs="Times New Roman"/>
          <w:sz w:val="24"/>
          <w:szCs w:val="24"/>
          <w:lang w:val="es-ES"/>
        </w:rPr>
        <w:t xml:space="preserve">podría </w:t>
      </w:r>
      <w:r w:rsidR="00A165C7" w:rsidRPr="00B22CA9">
        <w:rPr>
          <w:rFonts w:ascii="Times New Roman" w:hAnsi="Times New Roman" w:cs="Times New Roman"/>
          <w:sz w:val="24"/>
          <w:szCs w:val="24"/>
          <w:lang w:val="es-ES"/>
        </w:rPr>
        <w:t>dar pautas</w:t>
      </w:r>
      <w:r w:rsidR="0016453A" w:rsidRPr="00B22CA9">
        <w:rPr>
          <w:rFonts w:ascii="Times New Roman" w:hAnsi="Times New Roman" w:cs="Times New Roman"/>
          <w:sz w:val="24"/>
          <w:szCs w:val="24"/>
          <w:lang w:val="es-ES"/>
        </w:rPr>
        <w:t xml:space="preserve"> para la interpretación</w:t>
      </w:r>
      <w:r w:rsidR="00B0041D" w:rsidRPr="00B22CA9">
        <w:rPr>
          <w:rFonts w:ascii="Times New Roman" w:hAnsi="Times New Roman" w:cs="Times New Roman"/>
          <w:sz w:val="24"/>
          <w:szCs w:val="24"/>
          <w:lang w:val="es-ES"/>
        </w:rPr>
        <w:t xml:space="preserve"> </w:t>
      </w:r>
      <w:r w:rsidR="0016453A" w:rsidRPr="00B22CA9">
        <w:rPr>
          <w:rFonts w:ascii="Times New Roman" w:hAnsi="Times New Roman" w:cs="Times New Roman"/>
          <w:sz w:val="24"/>
          <w:szCs w:val="24"/>
          <w:lang w:val="es-ES"/>
        </w:rPr>
        <w:t>de los derechos</w:t>
      </w:r>
      <w:r w:rsidR="00C31BEF" w:rsidRPr="00B22CA9">
        <w:rPr>
          <w:rFonts w:ascii="Times New Roman" w:hAnsi="Times New Roman" w:cs="Times New Roman"/>
          <w:sz w:val="24"/>
          <w:szCs w:val="24"/>
          <w:lang w:val="es-ES"/>
        </w:rPr>
        <w:t>. L</w:t>
      </w:r>
      <w:r w:rsidR="0016453A" w:rsidRPr="00B22CA9">
        <w:rPr>
          <w:rFonts w:ascii="Times New Roman" w:hAnsi="Times New Roman" w:cs="Times New Roman"/>
          <w:sz w:val="24"/>
          <w:szCs w:val="24"/>
          <w:lang w:val="es-ES"/>
        </w:rPr>
        <w:t xml:space="preserve">a uniformidad en la aplicación del </w:t>
      </w:r>
      <w:r w:rsidR="00711EB3" w:rsidRPr="00B22CA9">
        <w:rPr>
          <w:rFonts w:ascii="Times New Roman" w:hAnsi="Times New Roman" w:cs="Times New Roman"/>
          <w:sz w:val="24"/>
          <w:szCs w:val="24"/>
          <w:lang w:val="es-ES"/>
        </w:rPr>
        <w:t>d</w:t>
      </w:r>
      <w:r w:rsidR="0016453A" w:rsidRPr="00B22CA9">
        <w:rPr>
          <w:rFonts w:ascii="Times New Roman" w:hAnsi="Times New Roman" w:cs="Times New Roman"/>
          <w:sz w:val="24"/>
          <w:szCs w:val="24"/>
          <w:lang w:val="es-ES"/>
        </w:rPr>
        <w:t>erecho de la Unión</w:t>
      </w:r>
      <w:r w:rsidR="00711EB3" w:rsidRPr="00B22CA9">
        <w:rPr>
          <w:rFonts w:ascii="Times New Roman" w:hAnsi="Times New Roman" w:cs="Times New Roman"/>
          <w:sz w:val="24"/>
          <w:szCs w:val="24"/>
          <w:lang w:val="es-ES"/>
        </w:rPr>
        <w:t xml:space="preserve"> e</w:t>
      </w:r>
      <w:r w:rsidR="00A65F07" w:rsidRPr="00B22CA9">
        <w:rPr>
          <w:rFonts w:ascii="Times New Roman" w:hAnsi="Times New Roman" w:cs="Times New Roman"/>
          <w:sz w:val="24"/>
          <w:szCs w:val="24"/>
          <w:lang w:val="es-ES"/>
        </w:rPr>
        <w:t>s</w:t>
      </w:r>
      <w:r w:rsidR="00711EB3" w:rsidRPr="00B22CA9">
        <w:rPr>
          <w:rFonts w:ascii="Times New Roman" w:hAnsi="Times New Roman" w:cs="Times New Roman"/>
          <w:sz w:val="24"/>
          <w:szCs w:val="24"/>
          <w:lang w:val="es-ES"/>
        </w:rPr>
        <w:t xml:space="preserve"> el objetivo primordial de toda esta hermenéutica</w:t>
      </w:r>
      <w:r w:rsidR="00A165C7" w:rsidRPr="00B22CA9">
        <w:rPr>
          <w:rFonts w:ascii="Times New Roman" w:hAnsi="Times New Roman" w:cs="Times New Roman"/>
          <w:sz w:val="24"/>
          <w:szCs w:val="24"/>
          <w:lang w:val="es-ES"/>
        </w:rPr>
        <w:t xml:space="preserve">, que </w:t>
      </w:r>
      <w:r w:rsidR="00D76E96" w:rsidRPr="00B22CA9">
        <w:rPr>
          <w:rFonts w:ascii="Times New Roman" w:hAnsi="Times New Roman" w:cs="Times New Roman"/>
          <w:sz w:val="24"/>
          <w:szCs w:val="24"/>
          <w:lang w:val="es-ES"/>
        </w:rPr>
        <w:t>ha sentado</w:t>
      </w:r>
      <w:r w:rsidR="00A165C7" w:rsidRPr="00B22CA9">
        <w:rPr>
          <w:rFonts w:ascii="Times New Roman" w:hAnsi="Times New Roman" w:cs="Times New Roman"/>
          <w:sz w:val="24"/>
          <w:szCs w:val="24"/>
          <w:lang w:val="es-ES"/>
        </w:rPr>
        <w:t xml:space="preserve"> un </w:t>
      </w:r>
      <w:r w:rsidR="00396412" w:rsidRPr="00B22CA9">
        <w:rPr>
          <w:rFonts w:ascii="Times New Roman" w:hAnsi="Times New Roman" w:cs="Times New Roman"/>
          <w:sz w:val="24"/>
          <w:szCs w:val="24"/>
          <w:lang w:val="es-ES"/>
        </w:rPr>
        <w:t>método de interpretación</w:t>
      </w:r>
      <w:r w:rsidR="0016453A" w:rsidRPr="00B22CA9">
        <w:rPr>
          <w:rFonts w:ascii="Times New Roman" w:hAnsi="Times New Roman" w:cs="Times New Roman"/>
          <w:sz w:val="24"/>
          <w:szCs w:val="24"/>
          <w:lang w:val="es-ES"/>
        </w:rPr>
        <w:t xml:space="preserve"> para </w:t>
      </w:r>
      <w:r w:rsidR="00A165C7" w:rsidRPr="00B22CA9">
        <w:rPr>
          <w:rFonts w:ascii="Times New Roman" w:hAnsi="Times New Roman" w:cs="Times New Roman"/>
          <w:sz w:val="24"/>
          <w:szCs w:val="24"/>
          <w:lang w:val="es-ES"/>
        </w:rPr>
        <w:t>los derechos</w:t>
      </w:r>
      <w:r w:rsidR="00C31BEF" w:rsidRPr="00B22CA9">
        <w:rPr>
          <w:rFonts w:ascii="Times New Roman" w:hAnsi="Times New Roman" w:cs="Times New Roman"/>
          <w:sz w:val="24"/>
          <w:szCs w:val="24"/>
          <w:lang w:val="es-ES"/>
        </w:rPr>
        <w:t xml:space="preserve"> en su proyección sobre los Estados</w:t>
      </w:r>
      <w:r w:rsidR="00D76E96" w:rsidRPr="00B22CA9">
        <w:rPr>
          <w:rFonts w:ascii="Times New Roman" w:hAnsi="Times New Roman" w:cs="Times New Roman"/>
          <w:sz w:val="24"/>
          <w:szCs w:val="24"/>
          <w:lang w:val="es-ES"/>
        </w:rPr>
        <w:t xml:space="preserve"> y que, </w:t>
      </w:r>
      <w:r w:rsidR="008B0ABC" w:rsidRPr="00B22CA9">
        <w:rPr>
          <w:rFonts w:ascii="Times New Roman" w:hAnsi="Times New Roman" w:cs="Times New Roman"/>
          <w:sz w:val="24"/>
          <w:szCs w:val="24"/>
          <w:lang w:val="es-ES"/>
        </w:rPr>
        <w:t>sin embargo, n</w:t>
      </w:r>
      <w:r w:rsidR="00B0041D" w:rsidRPr="00B22CA9">
        <w:rPr>
          <w:rFonts w:ascii="Times New Roman" w:hAnsi="Times New Roman" w:cs="Times New Roman"/>
          <w:sz w:val="24"/>
          <w:szCs w:val="24"/>
          <w:lang w:val="es-ES"/>
        </w:rPr>
        <w:t xml:space="preserve">o </w:t>
      </w:r>
      <w:r w:rsidR="008B0ABC" w:rsidRPr="00B22CA9">
        <w:rPr>
          <w:rFonts w:ascii="Times New Roman" w:hAnsi="Times New Roman" w:cs="Times New Roman"/>
          <w:sz w:val="24"/>
          <w:szCs w:val="24"/>
          <w:lang w:val="es-ES"/>
        </w:rPr>
        <w:t>est</w:t>
      </w:r>
      <w:r w:rsidR="00E91F30" w:rsidRPr="00B22CA9">
        <w:rPr>
          <w:rFonts w:ascii="Times New Roman" w:hAnsi="Times New Roman" w:cs="Times New Roman"/>
          <w:sz w:val="24"/>
          <w:szCs w:val="24"/>
          <w:lang w:val="es-ES"/>
        </w:rPr>
        <w:t>á</w:t>
      </w:r>
      <w:r w:rsidR="008B0ABC" w:rsidRPr="00B22CA9">
        <w:rPr>
          <w:rFonts w:ascii="Times New Roman" w:hAnsi="Times New Roman" w:cs="Times New Roman"/>
          <w:sz w:val="24"/>
          <w:szCs w:val="24"/>
          <w:lang w:val="es-ES"/>
        </w:rPr>
        <w:t xml:space="preserve"> exenta de</w:t>
      </w:r>
      <w:r w:rsidR="00B0041D" w:rsidRPr="00B22CA9">
        <w:rPr>
          <w:rFonts w:ascii="Times New Roman" w:hAnsi="Times New Roman" w:cs="Times New Roman"/>
          <w:sz w:val="24"/>
          <w:szCs w:val="24"/>
          <w:lang w:val="es-ES"/>
        </w:rPr>
        <w:t xml:space="preserve"> </w:t>
      </w:r>
      <w:r w:rsidR="00470157" w:rsidRPr="00B22CA9">
        <w:rPr>
          <w:rFonts w:ascii="Times New Roman" w:hAnsi="Times New Roman" w:cs="Times New Roman"/>
          <w:sz w:val="24"/>
          <w:szCs w:val="24"/>
          <w:lang w:val="es-ES"/>
        </w:rPr>
        <w:t>ambigüedad</w:t>
      </w:r>
      <w:r w:rsidR="008B0ABC" w:rsidRPr="00B22CA9">
        <w:rPr>
          <w:rFonts w:ascii="Times New Roman" w:hAnsi="Times New Roman" w:cs="Times New Roman"/>
          <w:sz w:val="24"/>
          <w:szCs w:val="24"/>
          <w:lang w:val="es-ES"/>
        </w:rPr>
        <w:t xml:space="preserve">. </w:t>
      </w:r>
      <w:r w:rsidR="00E91F30" w:rsidRPr="00B22CA9">
        <w:rPr>
          <w:rFonts w:ascii="Times New Roman" w:hAnsi="Times New Roman" w:cs="Times New Roman"/>
          <w:sz w:val="24"/>
          <w:szCs w:val="24"/>
          <w:lang w:val="es-ES"/>
        </w:rPr>
        <w:t>N</w:t>
      </w:r>
      <w:r w:rsidR="00B0041D" w:rsidRPr="00B22CA9">
        <w:rPr>
          <w:rFonts w:ascii="Times New Roman" w:hAnsi="Times New Roman" w:cs="Times New Roman"/>
          <w:sz w:val="24"/>
          <w:szCs w:val="24"/>
          <w:lang w:val="es-ES"/>
        </w:rPr>
        <w:t>o</w:t>
      </w:r>
      <w:r w:rsidR="001759F9" w:rsidRPr="00B22CA9">
        <w:rPr>
          <w:rFonts w:ascii="Times New Roman" w:hAnsi="Times New Roman" w:cs="Times New Roman"/>
          <w:sz w:val="24"/>
          <w:szCs w:val="24"/>
          <w:lang w:val="es-ES"/>
        </w:rPr>
        <w:t xml:space="preserve"> res</w:t>
      </w:r>
      <w:r w:rsidR="00B0041D" w:rsidRPr="00B22CA9">
        <w:rPr>
          <w:rFonts w:ascii="Times New Roman" w:hAnsi="Times New Roman" w:cs="Times New Roman"/>
          <w:sz w:val="24"/>
          <w:szCs w:val="24"/>
          <w:lang w:val="es-ES"/>
        </w:rPr>
        <w:t>olvía</w:t>
      </w:r>
      <w:r w:rsidR="00F6651F" w:rsidRPr="00B22CA9">
        <w:rPr>
          <w:rFonts w:ascii="Times New Roman" w:hAnsi="Times New Roman" w:cs="Times New Roman"/>
          <w:sz w:val="24"/>
          <w:szCs w:val="24"/>
          <w:lang w:val="es-ES"/>
        </w:rPr>
        <w:t xml:space="preserve"> cualquier duda que pueda plantearse un juez nacional</w:t>
      </w:r>
      <w:r w:rsidR="0005159C" w:rsidRPr="00B22CA9">
        <w:rPr>
          <w:rFonts w:ascii="Times New Roman" w:hAnsi="Times New Roman" w:cs="Times New Roman"/>
          <w:sz w:val="24"/>
          <w:szCs w:val="24"/>
          <w:lang w:val="es-ES"/>
        </w:rPr>
        <w:t xml:space="preserve"> (</w:t>
      </w:r>
      <w:proofErr w:type="spellStart"/>
      <w:r w:rsidR="0005159C" w:rsidRPr="00B22CA9">
        <w:rPr>
          <w:rFonts w:ascii="Times New Roman" w:hAnsi="Times New Roman" w:cs="Times New Roman"/>
          <w:sz w:val="24"/>
          <w:szCs w:val="24"/>
          <w:lang w:val="es-ES"/>
        </w:rPr>
        <w:t>Robin</w:t>
      </w:r>
      <w:proofErr w:type="spellEnd"/>
      <w:r w:rsidR="0005159C" w:rsidRPr="00B22CA9">
        <w:rPr>
          <w:rFonts w:ascii="Times New Roman" w:hAnsi="Times New Roman" w:cs="Times New Roman"/>
          <w:sz w:val="24"/>
          <w:szCs w:val="24"/>
          <w:lang w:val="es-ES"/>
        </w:rPr>
        <w:t xml:space="preserve"> Olivier, 2014: 26)</w:t>
      </w:r>
      <w:r w:rsidR="00BF5B99" w:rsidRPr="00B22CA9">
        <w:rPr>
          <w:rStyle w:val="Refdenotaalpie"/>
          <w:rFonts w:ascii="Times New Roman" w:hAnsi="Times New Roman" w:cs="Times New Roman"/>
          <w:sz w:val="24"/>
          <w:szCs w:val="24"/>
          <w:lang w:val="es-ES"/>
        </w:rPr>
        <w:footnoteReference w:id="9"/>
      </w:r>
      <w:r w:rsidR="00E91F30" w:rsidRPr="00B22CA9">
        <w:rPr>
          <w:rFonts w:ascii="Times New Roman" w:hAnsi="Times New Roman" w:cs="Times New Roman"/>
          <w:sz w:val="24"/>
          <w:szCs w:val="24"/>
          <w:lang w:val="es-ES"/>
        </w:rPr>
        <w:t>, pero,</w:t>
      </w:r>
      <w:r w:rsidR="00221FEA" w:rsidRPr="00B22CA9">
        <w:rPr>
          <w:rFonts w:ascii="Times New Roman" w:hAnsi="Times New Roman" w:cs="Times New Roman"/>
          <w:sz w:val="24"/>
          <w:szCs w:val="24"/>
          <w:lang w:val="es-ES"/>
        </w:rPr>
        <w:t xml:space="preserve"> a</w:t>
      </w:r>
      <w:r w:rsidR="00815E68" w:rsidRPr="00B22CA9">
        <w:rPr>
          <w:rFonts w:ascii="Times New Roman" w:hAnsi="Times New Roman" w:cs="Times New Roman"/>
          <w:sz w:val="24"/>
          <w:szCs w:val="24"/>
          <w:lang w:val="es-ES"/>
        </w:rPr>
        <w:t>demás</w:t>
      </w:r>
      <w:r w:rsidR="001759F9" w:rsidRPr="00B22CA9">
        <w:rPr>
          <w:rFonts w:ascii="Times New Roman" w:hAnsi="Times New Roman" w:cs="Times New Roman"/>
          <w:sz w:val="24"/>
          <w:szCs w:val="24"/>
          <w:lang w:val="es-ES"/>
        </w:rPr>
        <w:t xml:space="preserve">, </w:t>
      </w:r>
      <w:r w:rsidR="00A65F07" w:rsidRPr="00B22CA9">
        <w:rPr>
          <w:rFonts w:ascii="Times New Roman" w:hAnsi="Times New Roman" w:cs="Times New Roman"/>
          <w:sz w:val="24"/>
          <w:szCs w:val="24"/>
          <w:lang w:val="es-ES"/>
        </w:rPr>
        <w:t>se trata de</w:t>
      </w:r>
      <w:r w:rsidR="008B0ABC" w:rsidRPr="00B22CA9">
        <w:rPr>
          <w:rFonts w:ascii="Times New Roman" w:hAnsi="Times New Roman" w:cs="Times New Roman"/>
          <w:sz w:val="24"/>
          <w:szCs w:val="24"/>
          <w:lang w:val="es-ES"/>
        </w:rPr>
        <w:t xml:space="preserve"> </w:t>
      </w:r>
      <w:r w:rsidR="00221FEA" w:rsidRPr="00B22CA9">
        <w:rPr>
          <w:rFonts w:ascii="Times New Roman" w:hAnsi="Times New Roman" w:cs="Times New Roman"/>
          <w:sz w:val="24"/>
          <w:szCs w:val="24"/>
          <w:lang w:val="es-ES"/>
        </w:rPr>
        <w:t>un</w:t>
      </w:r>
      <w:r w:rsidR="00815E68" w:rsidRPr="00B22CA9">
        <w:rPr>
          <w:rFonts w:ascii="Times New Roman" w:hAnsi="Times New Roman" w:cs="Times New Roman"/>
          <w:sz w:val="24"/>
          <w:szCs w:val="24"/>
          <w:lang w:val="es-ES"/>
        </w:rPr>
        <w:t xml:space="preserve"> método </w:t>
      </w:r>
      <w:r w:rsidR="00B0041D" w:rsidRPr="00B22CA9">
        <w:rPr>
          <w:rFonts w:ascii="Times New Roman" w:hAnsi="Times New Roman" w:cs="Times New Roman"/>
          <w:sz w:val="24"/>
          <w:szCs w:val="24"/>
          <w:lang w:val="es-ES"/>
        </w:rPr>
        <w:t>gestado</w:t>
      </w:r>
      <w:r w:rsidR="00761360" w:rsidRPr="00B22CA9">
        <w:rPr>
          <w:rFonts w:ascii="Times New Roman" w:hAnsi="Times New Roman" w:cs="Times New Roman"/>
          <w:sz w:val="24"/>
          <w:szCs w:val="24"/>
          <w:lang w:val="es-ES"/>
        </w:rPr>
        <w:t xml:space="preserve"> </w:t>
      </w:r>
      <w:r w:rsidR="00E91F30" w:rsidRPr="00B22CA9">
        <w:rPr>
          <w:rFonts w:ascii="Times New Roman" w:hAnsi="Times New Roman" w:cs="Times New Roman"/>
          <w:sz w:val="24"/>
          <w:szCs w:val="24"/>
          <w:lang w:val="es-ES"/>
        </w:rPr>
        <w:t>en</w:t>
      </w:r>
      <w:r w:rsidR="001759F9" w:rsidRPr="00B22CA9">
        <w:rPr>
          <w:rFonts w:ascii="Times New Roman" w:hAnsi="Times New Roman" w:cs="Times New Roman"/>
          <w:sz w:val="24"/>
          <w:szCs w:val="24"/>
          <w:lang w:val="es-ES"/>
        </w:rPr>
        <w:t xml:space="preserve"> y para el ámbito del procedimiento prejudicial</w:t>
      </w:r>
      <w:r w:rsidR="00E91F30" w:rsidRPr="00B22CA9">
        <w:rPr>
          <w:rFonts w:ascii="Times New Roman" w:hAnsi="Times New Roman" w:cs="Times New Roman"/>
          <w:sz w:val="24"/>
          <w:szCs w:val="24"/>
          <w:lang w:val="es-ES"/>
        </w:rPr>
        <w:t xml:space="preserve">, cabiendo la </w:t>
      </w:r>
      <w:r w:rsidR="00A65F07" w:rsidRPr="00B22CA9">
        <w:rPr>
          <w:rFonts w:ascii="Times New Roman" w:hAnsi="Times New Roman" w:cs="Times New Roman"/>
          <w:sz w:val="24"/>
          <w:szCs w:val="24"/>
          <w:lang w:val="es-ES"/>
        </w:rPr>
        <w:t>pregunta</w:t>
      </w:r>
      <w:r w:rsidR="00E91F30" w:rsidRPr="00B22CA9">
        <w:rPr>
          <w:rFonts w:ascii="Times New Roman" w:hAnsi="Times New Roman" w:cs="Times New Roman"/>
          <w:sz w:val="24"/>
          <w:szCs w:val="24"/>
          <w:lang w:val="es-ES"/>
        </w:rPr>
        <w:t xml:space="preserve"> de si el método podría trasladarse, o no, a otros contextos procesales</w:t>
      </w:r>
      <w:r w:rsidR="00B0041D" w:rsidRPr="00B22CA9">
        <w:rPr>
          <w:rFonts w:ascii="Times New Roman" w:hAnsi="Times New Roman" w:cs="Times New Roman"/>
          <w:sz w:val="24"/>
          <w:szCs w:val="24"/>
          <w:lang w:val="es-ES"/>
        </w:rPr>
        <w:t xml:space="preserve">. </w:t>
      </w:r>
    </w:p>
    <w:p w:rsidR="001F53FB" w:rsidRPr="00B22CA9" w:rsidRDefault="00E47DF9" w:rsidP="00916707">
      <w:pPr>
        <w:spacing w:line="240" w:lineRule="auto"/>
        <w:jc w:val="both"/>
        <w:rPr>
          <w:rFonts w:ascii="Times New Roman" w:hAnsi="Times New Roman" w:cs="Times New Roman"/>
          <w:sz w:val="24"/>
          <w:szCs w:val="24"/>
          <w:lang w:val="es-ES"/>
        </w:rPr>
      </w:pPr>
      <w:r w:rsidRPr="00B22CA9">
        <w:rPr>
          <w:rFonts w:ascii="Times New Roman" w:hAnsi="Times New Roman" w:cs="Times New Roman"/>
          <w:sz w:val="24"/>
          <w:szCs w:val="24"/>
          <w:lang w:val="es-ES"/>
        </w:rPr>
        <w:tab/>
      </w:r>
      <w:r w:rsidR="00A65F07" w:rsidRPr="00B22CA9">
        <w:rPr>
          <w:rFonts w:ascii="Times New Roman" w:hAnsi="Times New Roman" w:cs="Times New Roman"/>
          <w:sz w:val="24"/>
          <w:szCs w:val="24"/>
          <w:lang w:val="es-ES"/>
        </w:rPr>
        <w:t>De forma paralela</w:t>
      </w:r>
      <w:r w:rsidR="00854E37" w:rsidRPr="00B22CA9">
        <w:rPr>
          <w:rFonts w:ascii="Times New Roman" w:hAnsi="Times New Roman" w:cs="Times New Roman"/>
          <w:sz w:val="24"/>
          <w:szCs w:val="24"/>
          <w:lang w:val="es-ES"/>
        </w:rPr>
        <w:t xml:space="preserve"> la Comisión, </w:t>
      </w:r>
      <w:r w:rsidR="00A65F07" w:rsidRPr="00B22CA9">
        <w:rPr>
          <w:rFonts w:ascii="Times New Roman" w:hAnsi="Times New Roman" w:cs="Times New Roman"/>
          <w:sz w:val="24"/>
          <w:szCs w:val="24"/>
          <w:lang w:val="es-ES"/>
        </w:rPr>
        <w:t>partiendo</w:t>
      </w:r>
      <w:r w:rsidR="00854E37" w:rsidRPr="00B22CA9">
        <w:rPr>
          <w:rFonts w:ascii="Times New Roman" w:hAnsi="Times New Roman" w:cs="Times New Roman"/>
          <w:sz w:val="24"/>
          <w:szCs w:val="24"/>
          <w:lang w:val="es-ES"/>
        </w:rPr>
        <w:t xml:space="preserve"> de una comunicación del</w:t>
      </w:r>
      <w:r w:rsidR="000009C5" w:rsidRPr="00B22CA9">
        <w:rPr>
          <w:rFonts w:ascii="Times New Roman" w:hAnsi="Times New Roman" w:cs="Times New Roman"/>
          <w:sz w:val="24"/>
          <w:szCs w:val="24"/>
          <w:lang w:val="es-ES"/>
        </w:rPr>
        <w:t xml:space="preserve"> año 2010 </w:t>
      </w:r>
      <w:r w:rsidR="00854E37" w:rsidRPr="00B22CA9">
        <w:rPr>
          <w:rFonts w:ascii="Times New Roman" w:hAnsi="Times New Roman" w:cs="Times New Roman"/>
          <w:sz w:val="24"/>
          <w:szCs w:val="24"/>
          <w:lang w:val="es-ES"/>
        </w:rPr>
        <w:t>en la que se declaraba vinculada por objetivos de promoción y protección de los derechos fundamentales,</w:t>
      </w:r>
      <w:r w:rsidR="00A7590D" w:rsidRPr="00B22CA9">
        <w:rPr>
          <w:rFonts w:ascii="Times New Roman" w:hAnsi="Times New Roman" w:cs="Times New Roman"/>
          <w:sz w:val="24"/>
          <w:szCs w:val="24"/>
          <w:lang w:val="es-ES"/>
        </w:rPr>
        <w:t xml:space="preserve"> </w:t>
      </w:r>
      <w:r w:rsidR="00854E37" w:rsidRPr="00B22CA9">
        <w:rPr>
          <w:rFonts w:ascii="Times New Roman" w:hAnsi="Times New Roman" w:cs="Times New Roman"/>
          <w:sz w:val="24"/>
          <w:szCs w:val="24"/>
          <w:lang w:val="es-ES"/>
        </w:rPr>
        <w:t xml:space="preserve">incorporó entre sus misiones </w:t>
      </w:r>
      <w:r w:rsidR="00A7590D" w:rsidRPr="00B22CA9">
        <w:rPr>
          <w:rFonts w:ascii="Times New Roman" w:hAnsi="Times New Roman" w:cs="Times New Roman"/>
          <w:sz w:val="24"/>
          <w:szCs w:val="24"/>
          <w:lang w:val="es-ES"/>
        </w:rPr>
        <w:t>la</w:t>
      </w:r>
      <w:r w:rsidR="00854E37" w:rsidRPr="00B22CA9">
        <w:rPr>
          <w:rFonts w:ascii="Times New Roman" w:hAnsi="Times New Roman" w:cs="Times New Roman"/>
          <w:sz w:val="24"/>
          <w:szCs w:val="24"/>
          <w:lang w:val="es-ES"/>
        </w:rPr>
        <w:t xml:space="preserve"> de vigilar la</w:t>
      </w:r>
      <w:r w:rsidR="00A7590D" w:rsidRPr="00B22CA9">
        <w:rPr>
          <w:rFonts w:ascii="Times New Roman" w:hAnsi="Times New Roman" w:cs="Times New Roman"/>
          <w:sz w:val="24"/>
          <w:szCs w:val="24"/>
          <w:lang w:val="es-ES"/>
        </w:rPr>
        <w:t xml:space="preserve"> implementación de </w:t>
      </w:r>
      <w:r w:rsidR="00854E37" w:rsidRPr="00B22CA9">
        <w:rPr>
          <w:rFonts w:ascii="Times New Roman" w:hAnsi="Times New Roman" w:cs="Times New Roman"/>
          <w:sz w:val="24"/>
          <w:szCs w:val="24"/>
          <w:lang w:val="es-ES"/>
        </w:rPr>
        <w:t>la Carta</w:t>
      </w:r>
      <w:r w:rsidR="002666D4" w:rsidRPr="00B22CA9">
        <w:rPr>
          <w:rFonts w:ascii="Times New Roman" w:hAnsi="Times New Roman" w:cs="Times New Roman"/>
          <w:sz w:val="24"/>
          <w:szCs w:val="24"/>
          <w:lang w:val="es-ES"/>
        </w:rPr>
        <w:t xml:space="preserve"> en los Estados miembros</w:t>
      </w:r>
      <w:r w:rsidR="000F0D8F" w:rsidRPr="00B22CA9">
        <w:rPr>
          <w:rFonts w:ascii="Times New Roman" w:hAnsi="Times New Roman" w:cs="Times New Roman"/>
          <w:sz w:val="24"/>
          <w:szCs w:val="24"/>
          <w:lang w:val="es-ES"/>
        </w:rPr>
        <w:t xml:space="preserve"> cuando aplicasen, transpusiesen o desarrollasen el </w:t>
      </w:r>
      <w:r w:rsidR="000009C5" w:rsidRPr="00B22CA9">
        <w:rPr>
          <w:rFonts w:ascii="Times New Roman" w:hAnsi="Times New Roman" w:cs="Times New Roman"/>
          <w:sz w:val="24"/>
          <w:szCs w:val="24"/>
          <w:lang w:val="es-ES"/>
        </w:rPr>
        <w:t>d</w:t>
      </w:r>
      <w:r w:rsidR="000F0D8F" w:rsidRPr="00B22CA9">
        <w:rPr>
          <w:rFonts w:ascii="Times New Roman" w:hAnsi="Times New Roman" w:cs="Times New Roman"/>
          <w:sz w:val="24"/>
          <w:szCs w:val="24"/>
          <w:lang w:val="es-ES"/>
        </w:rPr>
        <w:t>erecho de la Unión</w:t>
      </w:r>
      <w:r w:rsidR="008D492A" w:rsidRPr="00B22CA9">
        <w:rPr>
          <w:rFonts w:ascii="Times New Roman" w:hAnsi="Times New Roman" w:cs="Times New Roman"/>
          <w:sz w:val="24"/>
          <w:szCs w:val="24"/>
          <w:lang w:val="es-ES"/>
        </w:rPr>
        <w:t>.</w:t>
      </w:r>
      <w:r w:rsidR="00854E37" w:rsidRPr="00B22CA9">
        <w:rPr>
          <w:rFonts w:ascii="Times New Roman" w:hAnsi="Times New Roman" w:cs="Times New Roman"/>
          <w:sz w:val="24"/>
          <w:szCs w:val="24"/>
          <w:lang w:val="es-ES"/>
        </w:rPr>
        <w:t xml:space="preserve"> </w:t>
      </w:r>
      <w:r w:rsidR="00A65F07" w:rsidRPr="00B22CA9">
        <w:rPr>
          <w:rFonts w:ascii="Times New Roman" w:hAnsi="Times New Roman" w:cs="Times New Roman"/>
          <w:sz w:val="24"/>
          <w:szCs w:val="24"/>
          <w:lang w:val="es-ES"/>
        </w:rPr>
        <w:t>Aquel</w:t>
      </w:r>
      <w:r w:rsidR="00854E37" w:rsidRPr="00B22CA9">
        <w:rPr>
          <w:rFonts w:ascii="Times New Roman" w:hAnsi="Times New Roman" w:cs="Times New Roman"/>
          <w:sz w:val="24"/>
          <w:szCs w:val="24"/>
          <w:lang w:val="es-ES"/>
        </w:rPr>
        <w:t xml:space="preserve"> documento</w:t>
      </w:r>
      <w:r w:rsidR="008D492A" w:rsidRPr="00B22CA9">
        <w:rPr>
          <w:rFonts w:ascii="Times New Roman" w:hAnsi="Times New Roman" w:cs="Times New Roman"/>
          <w:sz w:val="24"/>
          <w:szCs w:val="24"/>
          <w:lang w:val="es-ES"/>
        </w:rPr>
        <w:t xml:space="preserve"> </w:t>
      </w:r>
      <w:r w:rsidR="000009C5" w:rsidRPr="00B22CA9">
        <w:rPr>
          <w:rFonts w:ascii="Times New Roman" w:hAnsi="Times New Roman" w:cs="Times New Roman"/>
          <w:sz w:val="24"/>
          <w:szCs w:val="24"/>
          <w:lang w:val="es-ES"/>
        </w:rPr>
        <w:t>se</w:t>
      </w:r>
      <w:r w:rsidR="00227D8A" w:rsidRPr="00B22CA9">
        <w:rPr>
          <w:rFonts w:ascii="Times New Roman" w:hAnsi="Times New Roman" w:cs="Times New Roman"/>
          <w:sz w:val="24"/>
          <w:szCs w:val="24"/>
          <w:lang w:val="es-ES"/>
        </w:rPr>
        <w:t xml:space="preserve"> centraba</w:t>
      </w:r>
      <w:r w:rsidR="005C11F5" w:rsidRPr="00B22CA9">
        <w:rPr>
          <w:rFonts w:ascii="Times New Roman" w:hAnsi="Times New Roman" w:cs="Times New Roman"/>
          <w:sz w:val="24"/>
          <w:szCs w:val="24"/>
          <w:lang w:val="es-ES"/>
        </w:rPr>
        <w:t xml:space="preserve"> en</w:t>
      </w:r>
      <w:r w:rsidR="00227D8A" w:rsidRPr="00B22CA9">
        <w:rPr>
          <w:rFonts w:ascii="Times New Roman" w:hAnsi="Times New Roman" w:cs="Times New Roman"/>
          <w:sz w:val="24"/>
          <w:szCs w:val="24"/>
          <w:lang w:val="es-ES"/>
        </w:rPr>
        <w:t xml:space="preserve"> la implementación de las normas supranacionales</w:t>
      </w:r>
      <w:r w:rsidR="00E91F30" w:rsidRPr="00B22CA9">
        <w:rPr>
          <w:rFonts w:ascii="Times New Roman" w:hAnsi="Times New Roman" w:cs="Times New Roman"/>
          <w:sz w:val="24"/>
          <w:szCs w:val="24"/>
          <w:lang w:val="es-ES"/>
        </w:rPr>
        <w:t xml:space="preserve"> y r</w:t>
      </w:r>
      <w:r w:rsidR="005C11F5" w:rsidRPr="00B22CA9">
        <w:rPr>
          <w:rFonts w:ascii="Times New Roman" w:hAnsi="Times New Roman" w:cs="Times New Roman"/>
          <w:sz w:val="24"/>
          <w:szCs w:val="24"/>
          <w:lang w:val="es-ES"/>
        </w:rPr>
        <w:t>econocía a los Estados la función de</w:t>
      </w:r>
      <w:r w:rsidR="00227D8A" w:rsidRPr="00B22CA9">
        <w:rPr>
          <w:rFonts w:ascii="Times New Roman" w:hAnsi="Times New Roman" w:cs="Times New Roman"/>
          <w:sz w:val="24"/>
          <w:szCs w:val="24"/>
          <w:lang w:val="es-ES"/>
        </w:rPr>
        <w:t xml:space="preserve"> garantes de los derechos en ámbitos </w:t>
      </w:r>
      <w:r w:rsidR="005C11F5" w:rsidRPr="00B22CA9">
        <w:rPr>
          <w:rFonts w:ascii="Times New Roman" w:hAnsi="Times New Roman" w:cs="Times New Roman"/>
          <w:sz w:val="24"/>
          <w:szCs w:val="24"/>
          <w:lang w:val="es-ES"/>
        </w:rPr>
        <w:t>propios de actuación</w:t>
      </w:r>
      <w:r w:rsidR="00D76E96" w:rsidRPr="00B22CA9">
        <w:rPr>
          <w:rFonts w:ascii="Times New Roman" w:hAnsi="Times New Roman" w:cs="Times New Roman"/>
          <w:sz w:val="24"/>
          <w:szCs w:val="24"/>
          <w:lang w:val="es-ES"/>
        </w:rPr>
        <w:t>. En esos</w:t>
      </w:r>
      <w:r w:rsidR="00A65F07" w:rsidRPr="00B22CA9">
        <w:rPr>
          <w:rFonts w:ascii="Times New Roman" w:hAnsi="Times New Roman" w:cs="Times New Roman"/>
          <w:sz w:val="24"/>
          <w:szCs w:val="24"/>
          <w:lang w:val="es-ES"/>
        </w:rPr>
        <w:t xml:space="preserve"> ámbitos</w:t>
      </w:r>
      <w:r w:rsidR="00D76E96" w:rsidRPr="00B22CA9">
        <w:rPr>
          <w:rFonts w:ascii="Times New Roman" w:hAnsi="Times New Roman" w:cs="Times New Roman"/>
          <w:sz w:val="24"/>
          <w:szCs w:val="24"/>
          <w:lang w:val="es-ES"/>
        </w:rPr>
        <w:t xml:space="preserve">, </w:t>
      </w:r>
      <w:r w:rsidR="005C11F5" w:rsidRPr="00B22CA9">
        <w:rPr>
          <w:rFonts w:ascii="Times New Roman" w:hAnsi="Times New Roman" w:cs="Times New Roman"/>
          <w:sz w:val="24"/>
          <w:szCs w:val="24"/>
          <w:lang w:val="es-ES"/>
        </w:rPr>
        <w:t xml:space="preserve">la Unión </w:t>
      </w:r>
      <w:r w:rsidR="00227D8A" w:rsidRPr="00B22CA9">
        <w:rPr>
          <w:rFonts w:ascii="Times New Roman" w:hAnsi="Times New Roman" w:cs="Times New Roman"/>
          <w:sz w:val="24"/>
          <w:szCs w:val="24"/>
          <w:lang w:val="es-ES"/>
        </w:rPr>
        <w:t>solo podía in</w:t>
      </w:r>
      <w:r w:rsidR="005C11F5" w:rsidRPr="00B22CA9">
        <w:rPr>
          <w:rFonts w:ascii="Times New Roman" w:hAnsi="Times New Roman" w:cs="Times New Roman"/>
          <w:sz w:val="24"/>
          <w:szCs w:val="24"/>
          <w:lang w:val="es-ES"/>
        </w:rPr>
        <w:t>tervenir</w:t>
      </w:r>
      <w:r w:rsidR="00227D8A" w:rsidRPr="00B22CA9">
        <w:rPr>
          <w:rFonts w:ascii="Times New Roman" w:hAnsi="Times New Roman" w:cs="Times New Roman"/>
          <w:sz w:val="24"/>
          <w:szCs w:val="24"/>
          <w:lang w:val="es-ES"/>
        </w:rPr>
        <w:t xml:space="preserve"> a través del mecanismo previsto en el artículo 7 del TUE</w:t>
      </w:r>
      <w:r w:rsidR="00227D8A" w:rsidRPr="00B22CA9">
        <w:rPr>
          <w:rStyle w:val="Refdenotaalpie"/>
          <w:rFonts w:ascii="Times New Roman" w:hAnsi="Times New Roman" w:cs="Times New Roman"/>
          <w:sz w:val="24"/>
          <w:szCs w:val="24"/>
        </w:rPr>
        <w:footnoteReference w:id="10"/>
      </w:r>
      <w:r w:rsidR="00A7590D" w:rsidRPr="00B22CA9">
        <w:rPr>
          <w:rFonts w:ascii="Times New Roman" w:hAnsi="Times New Roman" w:cs="Times New Roman"/>
          <w:sz w:val="24"/>
          <w:szCs w:val="24"/>
          <w:lang w:val="es-ES"/>
        </w:rPr>
        <w:t>.</w:t>
      </w:r>
      <w:r w:rsidR="000F0D8F" w:rsidRPr="00B22CA9">
        <w:rPr>
          <w:rFonts w:ascii="Times New Roman" w:hAnsi="Times New Roman" w:cs="Times New Roman"/>
          <w:sz w:val="24"/>
          <w:szCs w:val="24"/>
          <w:lang w:val="es-ES"/>
        </w:rPr>
        <w:t xml:space="preserve"> </w:t>
      </w:r>
      <w:r w:rsidR="001253BF" w:rsidRPr="00B22CA9">
        <w:rPr>
          <w:rFonts w:ascii="Times New Roman" w:hAnsi="Times New Roman" w:cs="Times New Roman"/>
          <w:sz w:val="24"/>
          <w:szCs w:val="24"/>
          <w:lang w:val="es-ES"/>
        </w:rPr>
        <w:t>Pero e</w:t>
      </w:r>
      <w:r w:rsidR="005C11F5" w:rsidRPr="00B22CA9">
        <w:rPr>
          <w:rFonts w:ascii="Times New Roman" w:hAnsi="Times New Roman" w:cs="Times New Roman"/>
          <w:sz w:val="24"/>
          <w:szCs w:val="24"/>
          <w:lang w:val="es-ES"/>
        </w:rPr>
        <w:t>st</w:t>
      </w:r>
      <w:r w:rsidR="00594D38" w:rsidRPr="00B22CA9">
        <w:rPr>
          <w:rFonts w:ascii="Times New Roman" w:hAnsi="Times New Roman" w:cs="Times New Roman"/>
          <w:sz w:val="24"/>
          <w:szCs w:val="24"/>
          <w:lang w:val="es-ES"/>
        </w:rPr>
        <w:t xml:space="preserve">a perspectiva limitada de </w:t>
      </w:r>
      <w:r w:rsidR="005C11F5" w:rsidRPr="00B22CA9">
        <w:rPr>
          <w:rFonts w:ascii="Times New Roman" w:hAnsi="Times New Roman" w:cs="Times New Roman"/>
          <w:sz w:val="24"/>
          <w:szCs w:val="24"/>
          <w:lang w:val="es-ES"/>
        </w:rPr>
        <w:t>la</w:t>
      </w:r>
      <w:r w:rsidR="00594D38" w:rsidRPr="00B22CA9">
        <w:rPr>
          <w:rFonts w:ascii="Times New Roman" w:hAnsi="Times New Roman" w:cs="Times New Roman"/>
          <w:sz w:val="24"/>
          <w:szCs w:val="24"/>
          <w:lang w:val="es-ES"/>
        </w:rPr>
        <w:t xml:space="preserve"> responsabilidad</w:t>
      </w:r>
      <w:r w:rsidR="005C11F5" w:rsidRPr="00B22CA9">
        <w:rPr>
          <w:rFonts w:ascii="Times New Roman" w:hAnsi="Times New Roman" w:cs="Times New Roman"/>
          <w:sz w:val="24"/>
          <w:szCs w:val="24"/>
          <w:lang w:val="es-ES"/>
        </w:rPr>
        <w:t xml:space="preserve"> </w:t>
      </w:r>
      <w:r w:rsidR="00916707" w:rsidRPr="00B22CA9">
        <w:rPr>
          <w:rFonts w:ascii="Times New Roman" w:hAnsi="Times New Roman" w:cs="Times New Roman"/>
          <w:sz w:val="24"/>
          <w:szCs w:val="24"/>
          <w:lang w:val="es-ES"/>
        </w:rPr>
        <w:t>de la Unión</w:t>
      </w:r>
      <w:r w:rsidR="00594D38" w:rsidRPr="00B22CA9">
        <w:rPr>
          <w:rFonts w:ascii="Times New Roman" w:hAnsi="Times New Roman" w:cs="Times New Roman"/>
          <w:sz w:val="24"/>
          <w:szCs w:val="24"/>
          <w:lang w:val="es-ES"/>
        </w:rPr>
        <w:t xml:space="preserve"> sobre la </w:t>
      </w:r>
      <w:r w:rsidR="00854E37" w:rsidRPr="00B22CA9">
        <w:rPr>
          <w:rFonts w:ascii="Times New Roman" w:hAnsi="Times New Roman" w:cs="Times New Roman"/>
          <w:sz w:val="24"/>
          <w:szCs w:val="24"/>
          <w:lang w:val="es-ES"/>
        </w:rPr>
        <w:t>protección</w:t>
      </w:r>
      <w:r w:rsidR="00594D38" w:rsidRPr="00B22CA9">
        <w:rPr>
          <w:rFonts w:ascii="Times New Roman" w:hAnsi="Times New Roman" w:cs="Times New Roman"/>
          <w:sz w:val="24"/>
          <w:szCs w:val="24"/>
          <w:lang w:val="es-ES"/>
        </w:rPr>
        <w:t xml:space="preserve"> de los </w:t>
      </w:r>
      <w:r w:rsidR="002F3CE1" w:rsidRPr="00B22CA9">
        <w:rPr>
          <w:rFonts w:ascii="Times New Roman" w:hAnsi="Times New Roman" w:cs="Times New Roman"/>
          <w:sz w:val="24"/>
          <w:szCs w:val="24"/>
          <w:lang w:val="es-ES"/>
        </w:rPr>
        <w:t>derechos</w:t>
      </w:r>
      <w:r w:rsidR="00181FF4" w:rsidRPr="00B22CA9">
        <w:rPr>
          <w:rFonts w:ascii="Times New Roman" w:hAnsi="Times New Roman" w:cs="Times New Roman"/>
          <w:sz w:val="24"/>
          <w:szCs w:val="24"/>
          <w:lang w:val="es-ES"/>
        </w:rPr>
        <w:t xml:space="preserve"> </w:t>
      </w:r>
      <w:r w:rsidR="00916707" w:rsidRPr="00B22CA9">
        <w:rPr>
          <w:rFonts w:ascii="Times New Roman" w:hAnsi="Times New Roman" w:cs="Times New Roman"/>
          <w:sz w:val="24"/>
          <w:szCs w:val="24"/>
          <w:lang w:val="es-ES"/>
        </w:rPr>
        <w:t xml:space="preserve">fundamentales </w:t>
      </w:r>
      <w:r w:rsidR="008D492A" w:rsidRPr="00B22CA9">
        <w:rPr>
          <w:rFonts w:ascii="Times New Roman" w:hAnsi="Times New Roman" w:cs="Times New Roman"/>
          <w:sz w:val="24"/>
          <w:szCs w:val="24"/>
          <w:lang w:val="es-ES"/>
        </w:rPr>
        <w:t xml:space="preserve">se </w:t>
      </w:r>
      <w:r w:rsidR="00854E37" w:rsidRPr="00B22CA9">
        <w:rPr>
          <w:rFonts w:ascii="Times New Roman" w:hAnsi="Times New Roman" w:cs="Times New Roman"/>
          <w:sz w:val="24"/>
          <w:szCs w:val="24"/>
          <w:lang w:val="es-ES"/>
        </w:rPr>
        <w:t xml:space="preserve">empezó a replantear cuando </w:t>
      </w:r>
      <w:r w:rsidR="00916707" w:rsidRPr="00B22CA9">
        <w:rPr>
          <w:rFonts w:ascii="Times New Roman" w:hAnsi="Times New Roman" w:cs="Times New Roman"/>
          <w:sz w:val="24"/>
          <w:szCs w:val="24"/>
          <w:lang w:val="es-ES"/>
        </w:rPr>
        <w:t>la emergencia del populismo</w:t>
      </w:r>
      <w:r w:rsidR="001F53FB" w:rsidRPr="00B22CA9">
        <w:rPr>
          <w:rFonts w:ascii="Times New Roman" w:hAnsi="Times New Roman" w:cs="Times New Roman"/>
          <w:sz w:val="24"/>
          <w:szCs w:val="24"/>
          <w:lang w:val="es-ES"/>
        </w:rPr>
        <w:t xml:space="preserve"> en Europa</w:t>
      </w:r>
      <w:r w:rsidR="00854E37" w:rsidRPr="00B22CA9">
        <w:rPr>
          <w:rFonts w:ascii="Times New Roman" w:hAnsi="Times New Roman" w:cs="Times New Roman"/>
          <w:sz w:val="24"/>
          <w:szCs w:val="24"/>
          <w:lang w:val="es-ES"/>
        </w:rPr>
        <w:t xml:space="preserve"> provocó ciertos</w:t>
      </w:r>
      <w:r w:rsidR="001F53FB" w:rsidRPr="00B22CA9">
        <w:rPr>
          <w:rFonts w:ascii="Times New Roman" w:hAnsi="Times New Roman" w:cs="Times New Roman"/>
          <w:sz w:val="24"/>
          <w:szCs w:val="24"/>
          <w:lang w:val="es-ES"/>
        </w:rPr>
        <w:t xml:space="preserve"> giros antiliberales </w:t>
      </w:r>
      <w:r w:rsidR="00854E37" w:rsidRPr="00B22CA9">
        <w:rPr>
          <w:rFonts w:ascii="Times New Roman" w:hAnsi="Times New Roman" w:cs="Times New Roman"/>
          <w:sz w:val="24"/>
          <w:szCs w:val="24"/>
          <w:lang w:val="es-ES"/>
        </w:rPr>
        <w:t>en</w:t>
      </w:r>
      <w:r w:rsidR="001F53FB" w:rsidRPr="00B22CA9">
        <w:rPr>
          <w:rFonts w:ascii="Times New Roman" w:hAnsi="Times New Roman" w:cs="Times New Roman"/>
          <w:sz w:val="24"/>
          <w:szCs w:val="24"/>
          <w:lang w:val="es-ES"/>
        </w:rPr>
        <w:t xml:space="preserve"> </w:t>
      </w:r>
      <w:r w:rsidR="00854E37" w:rsidRPr="00B22CA9">
        <w:rPr>
          <w:rFonts w:ascii="Times New Roman" w:hAnsi="Times New Roman" w:cs="Times New Roman"/>
          <w:sz w:val="24"/>
          <w:szCs w:val="24"/>
          <w:lang w:val="es-ES"/>
        </w:rPr>
        <w:t>algunos</w:t>
      </w:r>
      <w:r w:rsidR="001F53FB" w:rsidRPr="00B22CA9">
        <w:rPr>
          <w:rFonts w:ascii="Times New Roman" w:hAnsi="Times New Roman" w:cs="Times New Roman"/>
          <w:sz w:val="24"/>
          <w:szCs w:val="24"/>
          <w:lang w:val="es-ES"/>
        </w:rPr>
        <w:t xml:space="preserve"> Estados miembros</w:t>
      </w:r>
      <w:r w:rsidR="00916707" w:rsidRPr="00B22CA9">
        <w:rPr>
          <w:rFonts w:ascii="Times New Roman" w:hAnsi="Times New Roman" w:cs="Times New Roman"/>
          <w:sz w:val="24"/>
          <w:szCs w:val="24"/>
          <w:lang w:val="es-ES"/>
        </w:rPr>
        <w:t xml:space="preserve">. </w:t>
      </w:r>
      <w:r w:rsidR="00854E37" w:rsidRPr="00B22CA9">
        <w:rPr>
          <w:rFonts w:ascii="Times New Roman" w:hAnsi="Times New Roman" w:cs="Times New Roman"/>
          <w:sz w:val="24"/>
          <w:szCs w:val="24"/>
          <w:lang w:val="es-ES"/>
        </w:rPr>
        <w:t>Era evidente que e</w:t>
      </w:r>
      <w:r w:rsidR="00916707" w:rsidRPr="00B22CA9">
        <w:rPr>
          <w:rFonts w:ascii="Times New Roman" w:hAnsi="Times New Roman" w:cs="Times New Roman"/>
          <w:sz w:val="24"/>
          <w:szCs w:val="24"/>
          <w:lang w:val="es-ES"/>
        </w:rPr>
        <w:t>l espacio europeo común, basado en los principios de cooperación leal y confianza mutua (</w:t>
      </w:r>
      <w:proofErr w:type="spellStart"/>
      <w:r w:rsidR="00916707" w:rsidRPr="00B22CA9">
        <w:rPr>
          <w:rFonts w:ascii="Times New Roman" w:hAnsi="Times New Roman" w:cs="Times New Roman"/>
          <w:sz w:val="24"/>
          <w:szCs w:val="24"/>
          <w:lang w:val="es-ES"/>
        </w:rPr>
        <w:t>Closa</w:t>
      </w:r>
      <w:proofErr w:type="spellEnd"/>
      <w:r w:rsidR="00916707" w:rsidRPr="00B22CA9">
        <w:rPr>
          <w:rFonts w:ascii="Times New Roman" w:hAnsi="Times New Roman" w:cs="Times New Roman"/>
          <w:sz w:val="24"/>
          <w:szCs w:val="24"/>
          <w:lang w:val="es-ES"/>
        </w:rPr>
        <w:t xml:space="preserve"> </w:t>
      </w:r>
      <w:r w:rsidR="00916707" w:rsidRPr="00B22CA9">
        <w:rPr>
          <w:rFonts w:ascii="Times New Roman" w:hAnsi="Times New Roman" w:cs="Times New Roman"/>
          <w:i/>
          <w:iCs/>
          <w:sz w:val="24"/>
          <w:szCs w:val="24"/>
          <w:lang w:val="es-ES"/>
        </w:rPr>
        <w:t>et al.</w:t>
      </w:r>
      <w:r w:rsidR="00916707" w:rsidRPr="00B22CA9">
        <w:rPr>
          <w:rFonts w:ascii="Times New Roman" w:hAnsi="Times New Roman" w:cs="Times New Roman"/>
          <w:sz w:val="24"/>
          <w:szCs w:val="24"/>
          <w:lang w:val="es-ES"/>
        </w:rPr>
        <w:t>, 2016: 2),</w:t>
      </w:r>
      <w:r w:rsidR="00434747" w:rsidRPr="00B22CA9">
        <w:rPr>
          <w:rFonts w:ascii="Times New Roman" w:hAnsi="Times New Roman" w:cs="Times New Roman"/>
          <w:sz w:val="24"/>
          <w:szCs w:val="24"/>
          <w:lang w:val="es-ES"/>
        </w:rPr>
        <w:t xml:space="preserve"> sufr</w:t>
      </w:r>
      <w:r w:rsidR="00854E37" w:rsidRPr="00B22CA9">
        <w:rPr>
          <w:rFonts w:ascii="Times New Roman" w:hAnsi="Times New Roman" w:cs="Times New Roman"/>
          <w:sz w:val="24"/>
          <w:szCs w:val="24"/>
          <w:lang w:val="es-ES"/>
        </w:rPr>
        <w:t>iría</w:t>
      </w:r>
      <w:r w:rsidR="00434747" w:rsidRPr="00B22CA9">
        <w:rPr>
          <w:rFonts w:ascii="Times New Roman" w:hAnsi="Times New Roman" w:cs="Times New Roman"/>
          <w:sz w:val="24"/>
          <w:szCs w:val="24"/>
          <w:lang w:val="es-ES"/>
        </w:rPr>
        <w:t xml:space="preserve"> con el </w:t>
      </w:r>
      <w:r w:rsidR="00916707" w:rsidRPr="00B22CA9">
        <w:rPr>
          <w:rFonts w:ascii="Times New Roman" w:hAnsi="Times New Roman" w:cs="Times New Roman"/>
          <w:sz w:val="24"/>
          <w:szCs w:val="24"/>
          <w:lang w:val="es-ES"/>
        </w:rPr>
        <w:t xml:space="preserve">debilitamiento de las garantías </w:t>
      </w:r>
      <w:r w:rsidR="001253BF" w:rsidRPr="00B22CA9">
        <w:rPr>
          <w:rFonts w:ascii="Times New Roman" w:hAnsi="Times New Roman" w:cs="Times New Roman"/>
          <w:sz w:val="24"/>
          <w:szCs w:val="24"/>
          <w:lang w:val="es-ES"/>
        </w:rPr>
        <w:t>constitucionales en c</w:t>
      </w:r>
      <w:r w:rsidR="001F53FB" w:rsidRPr="00B22CA9">
        <w:rPr>
          <w:rFonts w:ascii="Times New Roman" w:hAnsi="Times New Roman" w:cs="Times New Roman"/>
          <w:sz w:val="24"/>
          <w:szCs w:val="24"/>
          <w:lang w:val="es-ES"/>
        </w:rPr>
        <w:t>ualquier</w:t>
      </w:r>
      <w:r w:rsidR="001253BF" w:rsidRPr="00B22CA9">
        <w:rPr>
          <w:rFonts w:ascii="Times New Roman" w:hAnsi="Times New Roman" w:cs="Times New Roman"/>
          <w:sz w:val="24"/>
          <w:szCs w:val="24"/>
          <w:lang w:val="es-ES"/>
        </w:rPr>
        <w:t>a de sus Estados miembros. A</w:t>
      </w:r>
      <w:r w:rsidR="00854E37" w:rsidRPr="00B22CA9">
        <w:rPr>
          <w:rFonts w:ascii="Times New Roman" w:hAnsi="Times New Roman" w:cs="Times New Roman"/>
          <w:sz w:val="24"/>
          <w:szCs w:val="24"/>
          <w:lang w:val="es-ES"/>
        </w:rPr>
        <w:t>ctuar para reforzar</w:t>
      </w:r>
      <w:r w:rsidR="002C5B76" w:rsidRPr="00B22CA9">
        <w:rPr>
          <w:rFonts w:ascii="Times New Roman" w:hAnsi="Times New Roman" w:cs="Times New Roman"/>
          <w:sz w:val="24"/>
          <w:szCs w:val="24"/>
          <w:lang w:val="es-ES"/>
        </w:rPr>
        <w:t xml:space="preserve"> el Estado de d</w:t>
      </w:r>
      <w:r w:rsidR="001253BF" w:rsidRPr="00B22CA9">
        <w:rPr>
          <w:rFonts w:ascii="Times New Roman" w:hAnsi="Times New Roman" w:cs="Times New Roman"/>
          <w:sz w:val="24"/>
          <w:szCs w:val="24"/>
          <w:lang w:val="es-ES"/>
        </w:rPr>
        <w:t>erecho</w:t>
      </w:r>
      <w:r w:rsidR="00854E37" w:rsidRPr="00B22CA9">
        <w:rPr>
          <w:rFonts w:ascii="Times New Roman" w:hAnsi="Times New Roman" w:cs="Times New Roman"/>
          <w:sz w:val="24"/>
          <w:szCs w:val="24"/>
          <w:lang w:val="es-ES"/>
        </w:rPr>
        <w:t xml:space="preserve"> se convirtió en un imperativo para la Unión</w:t>
      </w:r>
      <w:r w:rsidR="00434747" w:rsidRPr="00B22CA9">
        <w:rPr>
          <w:rFonts w:ascii="Times New Roman" w:hAnsi="Times New Roman" w:cs="Times New Roman"/>
          <w:sz w:val="24"/>
          <w:szCs w:val="24"/>
          <w:lang w:val="es-ES"/>
        </w:rPr>
        <w:t xml:space="preserve">. </w:t>
      </w:r>
    </w:p>
    <w:p w:rsidR="00A52B98" w:rsidRPr="00B22CA9" w:rsidRDefault="001F53FB" w:rsidP="007F11DF">
      <w:pPr>
        <w:spacing w:line="240" w:lineRule="auto"/>
        <w:jc w:val="both"/>
        <w:rPr>
          <w:rFonts w:ascii="Times New Roman" w:hAnsi="Times New Roman" w:cs="Times New Roman"/>
          <w:sz w:val="24"/>
          <w:szCs w:val="24"/>
          <w:lang w:val="es-ES"/>
        </w:rPr>
      </w:pPr>
      <w:r w:rsidRPr="00B22CA9">
        <w:rPr>
          <w:rFonts w:ascii="Times New Roman" w:hAnsi="Times New Roman" w:cs="Times New Roman"/>
          <w:sz w:val="24"/>
          <w:szCs w:val="24"/>
          <w:lang w:val="es-ES"/>
        </w:rPr>
        <w:tab/>
      </w:r>
      <w:r w:rsidR="002A6E25" w:rsidRPr="00B22CA9">
        <w:rPr>
          <w:rFonts w:ascii="Times New Roman" w:hAnsi="Times New Roman" w:cs="Times New Roman"/>
          <w:sz w:val="24"/>
          <w:szCs w:val="24"/>
          <w:lang w:val="es-ES"/>
        </w:rPr>
        <w:t>En este contexto, d</w:t>
      </w:r>
      <w:r w:rsidR="006E19E9" w:rsidRPr="00B22CA9">
        <w:rPr>
          <w:rFonts w:ascii="Times New Roman" w:hAnsi="Times New Roman" w:cs="Times New Roman"/>
          <w:sz w:val="24"/>
          <w:szCs w:val="24"/>
          <w:lang w:val="es-ES"/>
        </w:rPr>
        <w:t>esde ámbitos institucionales, políticos y académicos s</w:t>
      </w:r>
      <w:r w:rsidR="00181FF4" w:rsidRPr="00B22CA9">
        <w:rPr>
          <w:rFonts w:ascii="Times New Roman" w:hAnsi="Times New Roman" w:cs="Times New Roman"/>
          <w:sz w:val="24"/>
          <w:szCs w:val="24"/>
          <w:lang w:val="es-ES"/>
        </w:rPr>
        <w:t xml:space="preserve">e </w:t>
      </w:r>
      <w:r w:rsidR="00C028DF" w:rsidRPr="00B22CA9">
        <w:rPr>
          <w:rFonts w:ascii="Times New Roman" w:hAnsi="Times New Roman" w:cs="Times New Roman"/>
          <w:sz w:val="24"/>
          <w:szCs w:val="24"/>
          <w:lang w:val="es-ES"/>
        </w:rPr>
        <w:t>han ido</w:t>
      </w:r>
      <w:r w:rsidR="00181FF4" w:rsidRPr="00B22CA9">
        <w:rPr>
          <w:rFonts w:ascii="Times New Roman" w:hAnsi="Times New Roman" w:cs="Times New Roman"/>
          <w:sz w:val="24"/>
          <w:szCs w:val="24"/>
          <w:lang w:val="es-ES"/>
        </w:rPr>
        <w:t xml:space="preserve"> proponiendo </w:t>
      </w:r>
      <w:r w:rsidR="00AB1903" w:rsidRPr="00B22CA9">
        <w:rPr>
          <w:rFonts w:ascii="Times New Roman" w:hAnsi="Times New Roman" w:cs="Times New Roman"/>
          <w:sz w:val="24"/>
          <w:szCs w:val="24"/>
          <w:lang w:val="es-ES"/>
        </w:rPr>
        <w:t xml:space="preserve">alternativas </w:t>
      </w:r>
      <w:r w:rsidR="00181FF4" w:rsidRPr="00B22CA9">
        <w:rPr>
          <w:rFonts w:ascii="Times New Roman" w:hAnsi="Times New Roman" w:cs="Times New Roman"/>
          <w:sz w:val="24"/>
          <w:szCs w:val="24"/>
          <w:lang w:val="es-ES"/>
        </w:rPr>
        <w:t xml:space="preserve">para </w:t>
      </w:r>
      <w:r w:rsidR="00A52B98" w:rsidRPr="00B22CA9">
        <w:rPr>
          <w:rFonts w:ascii="Times New Roman" w:hAnsi="Times New Roman" w:cs="Times New Roman"/>
          <w:sz w:val="24"/>
          <w:szCs w:val="24"/>
          <w:lang w:val="es-ES"/>
        </w:rPr>
        <w:t>que la Unión proteja</w:t>
      </w:r>
      <w:r w:rsidR="00181FF4" w:rsidRPr="00B22CA9">
        <w:rPr>
          <w:rFonts w:ascii="Times New Roman" w:hAnsi="Times New Roman" w:cs="Times New Roman"/>
          <w:sz w:val="24"/>
          <w:szCs w:val="24"/>
          <w:lang w:val="es-ES"/>
        </w:rPr>
        <w:t xml:space="preserve"> los derechos </w:t>
      </w:r>
      <w:r w:rsidR="00C028DF" w:rsidRPr="00B22CA9">
        <w:rPr>
          <w:rFonts w:ascii="Times New Roman" w:hAnsi="Times New Roman" w:cs="Times New Roman"/>
          <w:sz w:val="24"/>
          <w:szCs w:val="24"/>
          <w:lang w:val="es-ES"/>
        </w:rPr>
        <w:t>fundamentales</w:t>
      </w:r>
      <w:r w:rsidR="002A6E25" w:rsidRPr="00B22CA9">
        <w:rPr>
          <w:rFonts w:ascii="Times New Roman" w:hAnsi="Times New Roman" w:cs="Times New Roman"/>
          <w:sz w:val="24"/>
          <w:szCs w:val="24"/>
          <w:lang w:val="es-ES"/>
        </w:rPr>
        <w:t>, si es necesario también</w:t>
      </w:r>
      <w:r w:rsidR="00C028DF" w:rsidRPr="00B22CA9">
        <w:rPr>
          <w:rFonts w:ascii="Times New Roman" w:hAnsi="Times New Roman" w:cs="Times New Roman"/>
          <w:sz w:val="24"/>
          <w:szCs w:val="24"/>
          <w:lang w:val="es-ES"/>
        </w:rPr>
        <w:t xml:space="preserve"> </w:t>
      </w:r>
      <w:r w:rsidR="00181FF4" w:rsidRPr="00B22CA9">
        <w:rPr>
          <w:rFonts w:ascii="Times New Roman" w:hAnsi="Times New Roman" w:cs="Times New Roman"/>
          <w:sz w:val="24"/>
          <w:szCs w:val="24"/>
          <w:lang w:val="es-ES"/>
        </w:rPr>
        <w:t>frente a los Estados miembros</w:t>
      </w:r>
      <w:r w:rsidR="00FA43D8" w:rsidRPr="00B22CA9">
        <w:rPr>
          <w:rStyle w:val="Refdenotaalpie"/>
          <w:rFonts w:ascii="Times New Roman" w:hAnsi="Times New Roman" w:cs="Times New Roman"/>
          <w:sz w:val="24"/>
          <w:szCs w:val="24"/>
          <w:lang w:val="es-ES"/>
        </w:rPr>
        <w:footnoteReference w:id="11"/>
      </w:r>
      <w:r w:rsidR="00A52B98" w:rsidRPr="00B22CA9">
        <w:rPr>
          <w:rFonts w:ascii="Times New Roman" w:hAnsi="Times New Roman" w:cs="Times New Roman"/>
          <w:sz w:val="24"/>
          <w:szCs w:val="24"/>
          <w:lang w:val="es-ES"/>
        </w:rPr>
        <w:t>. Al</w:t>
      </w:r>
      <w:r w:rsidR="00181FF4" w:rsidRPr="00B22CA9">
        <w:rPr>
          <w:rFonts w:ascii="Times New Roman" w:hAnsi="Times New Roman" w:cs="Times New Roman"/>
          <w:sz w:val="24"/>
          <w:szCs w:val="24"/>
          <w:lang w:val="es-ES"/>
        </w:rPr>
        <w:t>gunas</w:t>
      </w:r>
      <w:r w:rsidRPr="00B22CA9">
        <w:rPr>
          <w:rFonts w:ascii="Times New Roman" w:hAnsi="Times New Roman" w:cs="Times New Roman"/>
          <w:sz w:val="24"/>
          <w:szCs w:val="24"/>
          <w:lang w:val="es-ES"/>
        </w:rPr>
        <w:t xml:space="preserve"> de esas alternativas</w:t>
      </w:r>
      <w:r w:rsidR="00A52B98" w:rsidRPr="00B22CA9">
        <w:rPr>
          <w:rFonts w:ascii="Times New Roman" w:hAnsi="Times New Roman" w:cs="Times New Roman"/>
          <w:sz w:val="24"/>
          <w:szCs w:val="24"/>
          <w:lang w:val="es-ES"/>
        </w:rPr>
        <w:t xml:space="preserve"> </w:t>
      </w:r>
      <w:r w:rsidR="00FA0A3B" w:rsidRPr="00B22CA9">
        <w:rPr>
          <w:rFonts w:ascii="Times New Roman" w:hAnsi="Times New Roman" w:cs="Times New Roman"/>
          <w:sz w:val="24"/>
          <w:szCs w:val="24"/>
          <w:lang w:val="es-ES"/>
        </w:rPr>
        <w:t>resultan</w:t>
      </w:r>
      <w:r w:rsidR="00181FF4" w:rsidRPr="00B22CA9">
        <w:rPr>
          <w:rFonts w:ascii="Times New Roman" w:hAnsi="Times New Roman" w:cs="Times New Roman"/>
          <w:sz w:val="24"/>
          <w:szCs w:val="24"/>
          <w:lang w:val="es-ES"/>
        </w:rPr>
        <w:t xml:space="preserve"> más </w:t>
      </w:r>
      <w:r w:rsidR="00181FF4" w:rsidRPr="00B22CA9">
        <w:rPr>
          <w:rFonts w:ascii="Times New Roman" w:hAnsi="Times New Roman" w:cs="Times New Roman"/>
          <w:sz w:val="24"/>
          <w:szCs w:val="24"/>
          <w:lang w:val="es-ES"/>
        </w:rPr>
        <w:lastRenderedPageBreak/>
        <w:t xml:space="preserve">contradictorias que otras </w:t>
      </w:r>
      <w:r w:rsidR="002F3CE1" w:rsidRPr="00B22CA9">
        <w:rPr>
          <w:rFonts w:ascii="Times New Roman" w:hAnsi="Times New Roman" w:cs="Times New Roman"/>
          <w:sz w:val="24"/>
          <w:szCs w:val="24"/>
          <w:lang w:val="es-ES"/>
        </w:rPr>
        <w:t xml:space="preserve">con </w:t>
      </w:r>
      <w:r w:rsidR="007F1DF6" w:rsidRPr="00B22CA9">
        <w:rPr>
          <w:rFonts w:ascii="Times New Roman" w:hAnsi="Times New Roman" w:cs="Times New Roman"/>
          <w:sz w:val="24"/>
          <w:szCs w:val="24"/>
          <w:lang w:val="es-ES"/>
        </w:rPr>
        <w:t>la concepción plural del</w:t>
      </w:r>
      <w:r w:rsidR="00181FF4" w:rsidRPr="00B22CA9">
        <w:rPr>
          <w:rFonts w:ascii="Times New Roman" w:hAnsi="Times New Roman" w:cs="Times New Roman"/>
          <w:sz w:val="24"/>
          <w:szCs w:val="24"/>
          <w:lang w:val="es-ES"/>
        </w:rPr>
        <w:t xml:space="preserve"> constitucionalismo de la Unión</w:t>
      </w:r>
      <w:r w:rsidR="00101FD2" w:rsidRPr="00B22CA9">
        <w:rPr>
          <w:rFonts w:ascii="Times New Roman" w:hAnsi="Times New Roman" w:cs="Times New Roman"/>
          <w:sz w:val="24"/>
          <w:szCs w:val="24"/>
          <w:lang w:val="es-ES"/>
        </w:rPr>
        <w:t xml:space="preserve"> (</w:t>
      </w:r>
      <w:proofErr w:type="spellStart"/>
      <w:r w:rsidR="00101FD2" w:rsidRPr="00B22CA9">
        <w:rPr>
          <w:rFonts w:ascii="Times New Roman" w:hAnsi="Times New Roman" w:cs="Times New Roman"/>
          <w:sz w:val="24"/>
          <w:szCs w:val="24"/>
          <w:lang w:val="es-ES"/>
        </w:rPr>
        <w:t>Palombella</w:t>
      </w:r>
      <w:proofErr w:type="spellEnd"/>
      <w:r w:rsidR="00101FD2" w:rsidRPr="00B22CA9">
        <w:rPr>
          <w:rFonts w:ascii="Times New Roman" w:hAnsi="Times New Roman" w:cs="Times New Roman"/>
          <w:sz w:val="24"/>
          <w:szCs w:val="24"/>
          <w:lang w:val="es-ES"/>
        </w:rPr>
        <w:t>, 2016: 39)</w:t>
      </w:r>
      <w:r w:rsidR="00443F1E" w:rsidRPr="00B22CA9">
        <w:rPr>
          <w:rStyle w:val="Refdenotaalpie"/>
          <w:rFonts w:ascii="Times New Roman" w:hAnsi="Times New Roman" w:cs="Times New Roman"/>
          <w:sz w:val="24"/>
          <w:szCs w:val="24"/>
          <w:lang w:val="es-ES"/>
        </w:rPr>
        <w:footnoteReference w:id="12"/>
      </w:r>
      <w:r w:rsidR="00FA0A3B" w:rsidRPr="00B22CA9">
        <w:rPr>
          <w:rFonts w:ascii="Times New Roman" w:hAnsi="Times New Roman" w:cs="Times New Roman"/>
          <w:sz w:val="24"/>
          <w:szCs w:val="24"/>
          <w:lang w:val="es-ES"/>
        </w:rPr>
        <w:t xml:space="preserve"> y el</w:t>
      </w:r>
      <w:r w:rsidR="00181FF4" w:rsidRPr="00B22CA9">
        <w:rPr>
          <w:rFonts w:ascii="Times New Roman" w:hAnsi="Times New Roman" w:cs="Times New Roman"/>
          <w:sz w:val="24"/>
          <w:szCs w:val="24"/>
          <w:lang w:val="es-ES"/>
        </w:rPr>
        <w:t xml:space="preserve"> </w:t>
      </w:r>
      <w:r w:rsidR="00052C06" w:rsidRPr="00B22CA9">
        <w:rPr>
          <w:rFonts w:ascii="Times New Roman" w:hAnsi="Times New Roman" w:cs="Times New Roman"/>
          <w:sz w:val="24"/>
          <w:szCs w:val="24"/>
          <w:lang w:val="es-ES"/>
        </w:rPr>
        <w:t xml:space="preserve">procedimiento </w:t>
      </w:r>
      <w:r w:rsidR="004D1ECB" w:rsidRPr="00B22CA9">
        <w:rPr>
          <w:rFonts w:ascii="Times New Roman" w:hAnsi="Times New Roman" w:cs="Times New Roman"/>
          <w:sz w:val="24"/>
          <w:szCs w:val="24"/>
          <w:lang w:val="es-ES"/>
        </w:rPr>
        <w:t>de</w:t>
      </w:r>
      <w:r w:rsidR="00052C06" w:rsidRPr="00B22CA9">
        <w:rPr>
          <w:rFonts w:ascii="Times New Roman" w:hAnsi="Times New Roman" w:cs="Times New Roman"/>
          <w:sz w:val="24"/>
          <w:szCs w:val="24"/>
          <w:lang w:val="es-ES"/>
        </w:rPr>
        <w:t xml:space="preserve"> incumplimiento</w:t>
      </w:r>
      <w:r w:rsidR="00181FF4" w:rsidRPr="00B22CA9">
        <w:rPr>
          <w:rFonts w:ascii="Times New Roman" w:hAnsi="Times New Roman" w:cs="Times New Roman"/>
          <w:sz w:val="24"/>
          <w:szCs w:val="24"/>
          <w:lang w:val="es-ES"/>
        </w:rPr>
        <w:t>, con el grado de contradicción que se expondrá</w:t>
      </w:r>
      <w:r w:rsidR="00FA0A3B" w:rsidRPr="00B22CA9">
        <w:rPr>
          <w:rFonts w:ascii="Times New Roman" w:hAnsi="Times New Roman" w:cs="Times New Roman"/>
          <w:sz w:val="24"/>
          <w:szCs w:val="24"/>
          <w:lang w:val="es-ES"/>
        </w:rPr>
        <w:t xml:space="preserve"> en las páginas que siguen</w:t>
      </w:r>
      <w:r w:rsidR="00181FF4" w:rsidRPr="00B22CA9">
        <w:rPr>
          <w:rFonts w:ascii="Times New Roman" w:hAnsi="Times New Roman" w:cs="Times New Roman"/>
          <w:sz w:val="24"/>
          <w:szCs w:val="24"/>
          <w:lang w:val="es-ES"/>
        </w:rPr>
        <w:t>,</w:t>
      </w:r>
      <w:r w:rsidR="00052C06" w:rsidRPr="00B22CA9">
        <w:rPr>
          <w:rFonts w:ascii="Times New Roman" w:hAnsi="Times New Roman" w:cs="Times New Roman"/>
          <w:sz w:val="24"/>
          <w:szCs w:val="24"/>
          <w:lang w:val="es-ES"/>
        </w:rPr>
        <w:t xml:space="preserve"> </w:t>
      </w:r>
      <w:r w:rsidR="00181FF4" w:rsidRPr="00B22CA9">
        <w:rPr>
          <w:rFonts w:ascii="Times New Roman" w:hAnsi="Times New Roman" w:cs="Times New Roman"/>
          <w:sz w:val="24"/>
          <w:szCs w:val="24"/>
          <w:lang w:val="es-ES"/>
        </w:rPr>
        <w:t>e</w:t>
      </w:r>
      <w:r w:rsidR="00C028DF" w:rsidRPr="00B22CA9">
        <w:rPr>
          <w:rFonts w:ascii="Times New Roman" w:hAnsi="Times New Roman" w:cs="Times New Roman"/>
          <w:sz w:val="24"/>
          <w:szCs w:val="24"/>
          <w:lang w:val="es-ES"/>
        </w:rPr>
        <w:t>s</w:t>
      </w:r>
      <w:r w:rsidR="00181FF4" w:rsidRPr="00B22CA9">
        <w:rPr>
          <w:rFonts w:ascii="Times New Roman" w:hAnsi="Times New Roman" w:cs="Times New Roman"/>
          <w:sz w:val="24"/>
          <w:szCs w:val="24"/>
          <w:lang w:val="es-ES"/>
        </w:rPr>
        <w:t xml:space="preserve"> </w:t>
      </w:r>
      <w:r w:rsidR="00052C06" w:rsidRPr="00B22CA9">
        <w:rPr>
          <w:rFonts w:ascii="Times New Roman" w:hAnsi="Times New Roman" w:cs="Times New Roman"/>
          <w:sz w:val="24"/>
          <w:szCs w:val="24"/>
          <w:lang w:val="es-ES"/>
        </w:rPr>
        <w:t xml:space="preserve">una de </w:t>
      </w:r>
      <w:r w:rsidR="00A52B98" w:rsidRPr="00B22CA9">
        <w:rPr>
          <w:rFonts w:ascii="Times New Roman" w:hAnsi="Times New Roman" w:cs="Times New Roman"/>
          <w:sz w:val="24"/>
          <w:szCs w:val="24"/>
          <w:lang w:val="es-ES"/>
        </w:rPr>
        <w:t>ellas.</w:t>
      </w:r>
      <w:r w:rsidR="00FA0A3B" w:rsidRPr="00B22CA9">
        <w:rPr>
          <w:rFonts w:ascii="Times New Roman" w:hAnsi="Times New Roman" w:cs="Times New Roman"/>
          <w:sz w:val="24"/>
          <w:szCs w:val="24"/>
          <w:lang w:val="es-ES"/>
        </w:rPr>
        <w:t xml:space="preserve"> </w:t>
      </w:r>
      <w:r w:rsidR="00A52B98" w:rsidRPr="00B22CA9">
        <w:rPr>
          <w:rFonts w:ascii="Times New Roman" w:hAnsi="Times New Roman" w:cs="Times New Roman"/>
          <w:sz w:val="24"/>
          <w:szCs w:val="24"/>
          <w:lang w:val="es-ES"/>
        </w:rPr>
        <w:t xml:space="preserve">  </w:t>
      </w:r>
    </w:p>
    <w:p w:rsidR="000308D1" w:rsidRPr="00B22CA9" w:rsidRDefault="00E47DF9" w:rsidP="00DE66F4">
      <w:pPr>
        <w:spacing w:line="240" w:lineRule="auto"/>
        <w:jc w:val="both"/>
        <w:rPr>
          <w:rFonts w:ascii="Times New Roman" w:hAnsi="Times New Roman" w:cs="Times New Roman"/>
          <w:sz w:val="24"/>
          <w:szCs w:val="24"/>
          <w:lang w:val="es-ES"/>
        </w:rPr>
      </w:pPr>
      <w:r w:rsidRPr="00B22CA9">
        <w:rPr>
          <w:rFonts w:ascii="Times New Roman" w:hAnsi="Times New Roman" w:cs="Times New Roman"/>
          <w:sz w:val="24"/>
          <w:szCs w:val="24"/>
          <w:lang w:val="es-ES"/>
        </w:rPr>
        <w:tab/>
      </w:r>
      <w:r w:rsidR="002A6E25" w:rsidRPr="00B22CA9">
        <w:rPr>
          <w:rFonts w:ascii="Times New Roman" w:hAnsi="Times New Roman" w:cs="Times New Roman"/>
          <w:sz w:val="24"/>
          <w:szCs w:val="24"/>
          <w:lang w:val="es-ES"/>
        </w:rPr>
        <w:t>D</w:t>
      </w:r>
      <w:r w:rsidR="00C028DF" w:rsidRPr="00B22CA9">
        <w:rPr>
          <w:rFonts w:ascii="Times New Roman" w:hAnsi="Times New Roman" w:cs="Times New Roman"/>
          <w:sz w:val="24"/>
          <w:szCs w:val="24"/>
          <w:lang w:val="es-ES"/>
        </w:rPr>
        <w:t xml:space="preserve">e entrada, </w:t>
      </w:r>
      <w:r w:rsidR="00BD20BC" w:rsidRPr="00B22CA9">
        <w:rPr>
          <w:rFonts w:ascii="Times New Roman" w:hAnsi="Times New Roman" w:cs="Times New Roman"/>
          <w:sz w:val="24"/>
          <w:szCs w:val="24"/>
          <w:lang w:val="es-ES"/>
        </w:rPr>
        <w:t>al escrutar</w:t>
      </w:r>
      <w:r w:rsidR="00FA0A3B" w:rsidRPr="00B22CA9">
        <w:rPr>
          <w:rFonts w:ascii="Times New Roman" w:hAnsi="Times New Roman" w:cs="Times New Roman"/>
          <w:sz w:val="24"/>
          <w:szCs w:val="24"/>
          <w:lang w:val="es-ES"/>
        </w:rPr>
        <w:t xml:space="preserve"> las virtualidades del </w:t>
      </w:r>
      <w:r w:rsidR="00EC1083" w:rsidRPr="00B22CA9">
        <w:rPr>
          <w:rFonts w:ascii="Times New Roman" w:hAnsi="Times New Roman" w:cs="Times New Roman"/>
          <w:sz w:val="24"/>
          <w:szCs w:val="24"/>
          <w:lang w:val="es-ES"/>
        </w:rPr>
        <w:t xml:space="preserve">procedimiento </w:t>
      </w:r>
      <w:r w:rsidR="009C1029" w:rsidRPr="00B22CA9">
        <w:rPr>
          <w:rFonts w:ascii="Times New Roman" w:hAnsi="Times New Roman" w:cs="Times New Roman"/>
          <w:sz w:val="24"/>
          <w:szCs w:val="24"/>
          <w:lang w:val="es-ES"/>
        </w:rPr>
        <w:t>de</w:t>
      </w:r>
      <w:r w:rsidR="00EC1083" w:rsidRPr="00B22CA9">
        <w:rPr>
          <w:rFonts w:ascii="Times New Roman" w:hAnsi="Times New Roman" w:cs="Times New Roman"/>
          <w:sz w:val="24"/>
          <w:szCs w:val="24"/>
          <w:lang w:val="es-ES"/>
        </w:rPr>
        <w:t xml:space="preserve"> incumplimiento</w:t>
      </w:r>
      <w:r w:rsidR="00BD20BC" w:rsidRPr="00B22CA9">
        <w:rPr>
          <w:rFonts w:ascii="Times New Roman" w:hAnsi="Times New Roman" w:cs="Times New Roman"/>
          <w:sz w:val="24"/>
          <w:szCs w:val="24"/>
          <w:lang w:val="es-ES"/>
        </w:rPr>
        <w:t xml:space="preserve"> para articular </w:t>
      </w:r>
      <w:r w:rsidR="00FA0A3B" w:rsidRPr="00B22CA9">
        <w:rPr>
          <w:rFonts w:ascii="Times New Roman" w:hAnsi="Times New Roman" w:cs="Times New Roman"/>
          <w:sz w:val="24"/>
          <w:szCs w:val="24"/>
          <w:lang w:val="es-ES"/>
        </w:rPr>
        <w:t>garantías de los derechos fundamentales</w:t>
      </w:r>
      <w:r w:rsidR="00BD20BC" w:rsidRPr="00B22CA9">
        <w:rPr>
          <w:rFonts w:ascii="Times New Roman" w:hAnsi="Times New Roman" w:cs="Times New Roman"/>
          <w:sz w:val="24"/>
          <w:szCs w:val="24"/>
          <w:lang w:val="es-ES"/>
        </w:rPr>
        <w:t xml:space="preserve"> surge una dificultad, puesto que</w:t>
      </w:r>
      <w:r w:rsidR="00FA0A3B" w:rsidRPr="00B22CA9">
        <w:rPr>
          <w:rFonts w:ascii="Times New Roman" w:hAnsi="Times New Roman" w:cs="Times New Roman"/>
          <w:sz w:val="24"/>
          <w:szCs w:val="24"/>
          <w:lang w:val="es-ES"/>
        </w:rPr>
        <w:t xml:space="preserve"> no ha sido este</w:t>
      </w:r>
      <w:r w:rsidR="00BD20BC" w:rsidRPr="00B22CA9">
        <w:rPr>
          <w:rFonts w:ascii="Times New Roman" w:hAnsi="Times New Roman" w:cs="Times New Roman"/>
          <w:sz w:val="24"/>
          <w:szCs w:val="24"/>
          <w:lang w:val="es-ES"/>
        </w:rPr>
        <w:t xml:space="preserve"> cauce procesal</w:t>
      </w:r>
      <w:r w:rsidR="00FA0A3B" w:rsidRPr="00B22CA9">
        <w:rPr>
          <w:rFonts w:ascii="Times New Roman" w:hAnsi="Times New Roman" w:cs="Times New Roman"/>
          <w:sz w:val="24"/>
          <w:szCs w:val="24"/>
          <w:lang w:val="es-ES"/>
        </w:rPr>
        <w:t>, s</w:t>
      </w:r>
      <w:r w:rsidR="00EC1083" w:rsidRPr="00B22CA9">
        <w:rPr>
          <w:rFonts w:ascii="Times New Roman" w:hAnsi="Times New Roman" w:cs="Times New Roman"/>
          <w:sz w:val="24"/>
          <w:szCs w:val="24"/>
          <w:lang w:val="es-ES"/>
        </w:rPr>
        <w:t xml:space="preserve">ino el prejudicial, el que </w:t>
      </w:r>
      <w:r w:rsidR="009C1029" w:rsidRPr="00B22CA9">
        <w:rPr>
          <w:rFonts w:ascii="Times New Roman" w:hAnsi="Times New Roman" w:cs="Times New Roman"/>
          <w:sz w:val="24"/>
          <w:szCs w:val="24"/>
          <w:lang w:val="es-ES"/>
        </w:rPr>
        <w:t>ha</w:t>
      </w:r>
      <w:r w:rsidR="00FA0A3B" w:rsidRPr="00B22CA9">
        <w:rPr>
          <w:rFonts w:ascii="Times New Roman" w:hAnsi="Times New Roman" w:cs="Times New Roman"/>
          <w:sz w:val="24"/>
          <w:szCs w:val="24"/>
          <w:lang w:val="es-ES"/>
        </w:rPr>
        <w:t>sta ahora ha</w:t>
      </w:r>
      <w:r w:rsidR="00EC1083" w:rsidRPr="00B22CA9">
        <w:rPr>
          <w:rFonts w:ascii="Times New Roman" w:hAnsi="Times New Roman" w:cs="Times New Roman"/>
          <w:sz w:val="24"/>
          <w:szCs w:val="24"/>
          <w:lang w:val="es-ES"/>
        </w:rPr>
        <w:t xml:space="preserve"> </w:t>
      </w:r>
      <w:r w:rsidR="00BD20BC" w:rsidRPr="00B22CA9">
        <w:rPr>
          <w:rFonts w:ascii="Times New Roman" w:hAnsi="Times New Roman" w:cs="Times New Roman"/>
          <w:sz w:val="24"/>
          <w:szCs w:val="24"/>
          <w:lang w:val="es-ES"/>
        </w:rPr>
        <w:t>vertebrado</w:t>
      </w:r>
      <w:r w:rsidR="00EC1083" w:rsidRPr="00B22CA9">
        <w:rPr>
          <w:rFonts w:ascii="Times New Roman" w:hAnsi="Times New Roman" w:cs="Times New Roman"/>
          <w:sz w:val="24"/>
          <w:szCs w:val="24"/>
          <w:lang w:val="es-ES"/>
        </w:rPr>
        <w:t xml:space="preserve"> la </w:t>
      </w:r>
      <w:r w:rsidR="00BD20BC" w:rsidRPr="00B22CA9">
        <w:rPr>
          <w:rFonts w:ascii="Times New Roman" w:hAnsi="Times New Roman" w:cs="Times New Roman"/>
          <w:sz w:val="24"/>
          <w:szCs w:val="24"/>
          <w:lang w:val="es-ES"/>
        </w:rPr>
        <w:t>protección</w:t>
      </w:r>
      <w:r w:rsidR="00FA0A3B" w:rsidRPr="00B22CA9">
        <w:rPr>
          <w:rFonts w:ascii="Times New Roman" w:hAnsi="Times New Roman" w:cs="Times New Roman"/>
          <w:sz w:val="24"/>
          <w:szCs w:val="24"/>
          <w:lang w:val="es-ES"/>
        </w:rPr>
        <w:t xml:space="preserve"> jurisdiccional</w:t>
      </w:r>
      <w:r w:rsidR="00EC1083" w:rsidRPr="00B22CA9">
        <w:rPr>
          <w:rFonts w:ascii="Times New Roman" w:hAnsi="Times New Roman" w:cs="Times New Roman"/>
          <w:sz w:val="24"/>
          <w:szCs w:val="24"/>
          <w:lang w:val="es-ES"/>
        </w:rPr>
        <w:t xml:space="preserve"> de los derechos fundamentales en la Unión</w:t>
      </w:r>
      <w:r w:rsidR="00BD20BC" w:rsidRPr="00B22CA9">
        <w:rPr>
          <w:rFonts w:ascii="Times New Roman" w:hAnsi="Times New Roman" w:cs="Times New Roman"/>
          <w:sz w:val="24"/>
          <w:szCs w:val="24"/>
          <w:lang w:val="es-ES"/>
        </w:rPr>
        <w:t xml:space="preserve"> frente a los Estados miembros</w:t>
      </w:r>
      <w:r w:rsidR="00597142" w:rsidRPr="00B22CA9">
        <w:rPr>
          <w:rStyle w:val="Refdenotaalpie"/>
          <w:rFonts w:ascii="Times New Roman" w:hAnsi="Times New Roman" w:cs="Times New Roman"/>
          <w:sz w:val="24"/>
          <w:szCs w:val="24"/>
          <w:lang w:val="es-ES"/>
        </w:rPr>
        <w:footnoteReference w:id="13"/>
      </w:r>
      <w:r w:rsidR="009C1029" w:rsidRPr="00B22CA9">
        <w:rPr>
          <w:rFonts w:ascii="Times New Roman" w:hAnsi="Times New Roman" w:cs="Times New Roman"/>
          <w:sz w:val="24"/>
          <w:szCs w:val="24"/>
          <w:lang w:val="es-ES"/>
        </w:rPr>
        <w:t xml:space="preserve">. </w:t>
      </w:r>
      <w:r w:rsidR="00BD20BC" w:rsidRPr="00B22CA9">
        <w:rPr>
          <w:rFonts w:ascii="Times New Roman" w:hAnsi="Times New Roman" w:cs="Times New Roman"/>
          <w:sz w:val="24"/>
          <w:szCs w:val="24"/>
          <w:lang w:val="es-ES"/>
        </w:rPr>
        <w:t>L</w:t>
      </w:r>
      <w:r w:rsidR="00C028DF" w:rsidRPr="00B22CA9">
        <w:rPr>
          <w:rFonts w:ascii="Times New Roman" w:hAnsi="Times New Roman" w:cs="Times New Roman"/>
          <w:sz w:val="24"/>
          <w:szCs w:val="24"/>
          <w:lang w:val="es-ES"/>
        </w:rPr>
        <w:t xml:space="preserve">as remisiones prejudiciales </w:t>
      </w:r>
      <w:r w:rsidR="00FA0A3B" w:rsidRPr="00B22CA9">
        <w:rPr>
          <w:rFonts w:ascii="Times New Roman" w:hAnsi="Times New Roman" w:cs="Times New Roman"/>
          <w:sz w:val="24"/>
          <w:szCs w:val="24"/>
          <w:lang w:val="es-ES"/>
        </w:rPr>
        <w:t>h</w:t>
      </w:r>
      <w:r w:rsidR="009C1029" w:rsidRPr="00B22CA9">
        <w:rPr>
          <w:rFonts w:ascii="Times New Roman" w:hAnsi="Times New Roman" w:cs="Times New Roman"/>
          <w:sz w:val="24"/>
          <w:szCs w:val="24"/>
          <w:lang w:val="es-ES"/>
        </w:rPr>
        <w:t>abía</w:t>
      </w:r>
      <w:r w:rsidR="00C028DF" w:rsidRPr="00B22CA9">
        <w:rPr>
          <w:rFonts w:ascii="Times New Roman" w:hAnsi="Times New Roman" w:cs="Times New Roman"/>
          <w:sz w:val="24"/>
          <w:szCs w:val="24"/>
          <w:lang w:val="es-ES"/>
        </w:rPr>
        <w:t>n</w:t>
      </w:r>
      <w:r w:rsidR="009C1029" w:rsidRPr="00B22CA9">
        <w:rPr>
          <w:rFonts w:ascii="Times New Roman" w:hAnsi="Times New Roman" w:cs="Times New Roman"/>
          <w:sz w:val="24"/>
          <w:szCs w:val="24"/>
          <w:lang w:val="es-ES"/>
        </w:rPr>
        <w:t xml:space="preserve"> facilitado </w:t>
      </w:r>
      <w:r w:rsidR="00BD20BC" w:rsidRPr="00B22CA9">
        <w:rPr>
          <w:rFonts w:ascii="Times New Roman" w:hAnsi="Times New Roman" w:cs="Times New Roman"/>
          <w:sz w:val="24"/>
          <w:szCs w:val="24"/>
          <w:lang w:val="es-ES"/>
        </w:rPr>
        <w:t xml:space="preserve">tanto </w:t>
      </w:r>
      <w:r w:rsidR="001F53FB" w:rsidRPr="00B22CA9">
        <w:rPr>
          <w:rFonts w:ascii="Times New Roman" w:hAnsi="Times New Roman" w:cs="Times New Roman"/>
          <w:sz w:val="24"/>
          <w:szCs w:val="24"/>
          <w:lang w:val="es-ES"/>
        </w:rPr>
        <w:t xml:space="preserve">el control de adecuación </w:t>
      </w:r>
      <w:r w:rsidR="009C1029" w:rsidRPr="00B22CA9">
        <w:rPr>
          <w:rFonts w:ascii="Times New Roman" w:hAnsi="Times New Roman" w:cs="Times New Roman"/>
          <w:sz w:val="24"/>
          <w:szCs w:val="24"/>
          <w:lang w:val="es-ES"/>
        </w:rPr>
        <w:t>d</w:t>
      </w:r>
      <w:r w:rsidR="008D492A" w:rsidRPr="00B22CA9">
        <w:rPr>
          <w:rFonts w:ascii="Times New Roman" w:hAnsi="Times New Roman" w:cs="Times New Roman"/>
          <w:sz w:val="24"/>
          <w:szCs w:val="24"/>
          <w:lang w:val="es-ES"/>
        </w:rPr>
        <w:t xml:space="preserve">e las disposiciones </w:t>
      </w:r>
      <w:r w:rsidR="009C1029" w:rsidRPr="00B22CA9">
        <w:rPr>
          <w:rFonts w:ascii="Times New Roman" w:hAnsi="Times New Roman" w:cs="Times New Roman"/>
          <w:sz w:val="24"/>
          <w:szCs w:val="24"/>
          <w:lang w:val="es-ES"/>
        </w:rPr>
        <w:t>supranacionales</w:t>
      </w:r>
      <w:r w:rsidR="008D492A" w:rsidRPr="00B22CA9">
        <w:rPr>
          <w:rFonts w:ascii="Times New Roman" w:hAnsi="Times New Roman" w:cs="Times New Roman"/>
          <w:sz w:val="24"/>
          <w:szCs w:val="24"/>
          <w:lang w:val="es-ES"/>
        </w:rPr>
        <w:t xml:space="preserve"> a los </w:t>
      </w:r>
      <w:r w:rsidR="00460EEA" w:rsidRPr="00B22CA9">
        <w:rPr>
          <w:rFonts w:ascii="Times New Roman" w:hAnsi="Times New Roman" w:cs="Times New Roman"/>
          <w:sz w:val="24"/>
          <w:szCs w:val="24"/>
          <w:lang w:val="es-ES"/>
        </w:rPr>
        <w:t>de</w:t>
      </w:r>
      <w:r w:rsidR="008B3471" w:rsidRPr="00B22CA9">
        <w:rPr>
          <w:rFonts w:ascii="Times New Roman" w:hAnsi="Times New Roman" w:cs="Times New Roman"/>
          <w:sz w:val="24"/>
          <w:szCs w:val="24"/>
          <w:lang w:val="es-ES"/>
        </w:rPr>
        <w:t>rechos fundamentales</w:t>
      </w:r>
      <w:r w:rsidR="009C1029" w:rsidRPr="00B22CA9">
        <w:rPr>
          <w:rFonts w:ascii="Times New Roman" w:hAnsi="Times New Roman" w:cs="Times New Roman"/>
          <w:sz w:val="24"/>
          <w:szCs w:val="24"/>
          <w:lang w:val="es-ES"/>
        </w:rPr>
        <w:t>,</w:t>
      </w:r>
      <w:r w:rsidR="00BD20BC" w:rsidRPr="00B22CA9">
        <w:rPr>
          <w:rFonts w:ascii="Times New Roman" w:hAnsi="Times New Roman" w:cs="Times New Roman"/>
          <w:sz w:val="24"/>
          <w:szCs w:val="24"/>
          <w:lang w:val="es-ES"/>
        </w:rPr>
        <w:t xml:space="preserve"> desde </w:t>
      </w:r>
      <w:proofErr w:type="spellStart"/>
      <w:r w:rsidR="00BD20BC" w:rsidRPr="00B22CA9">
        <w:rPr>
          <w:rFonts w:ascii="Times New Roman" w:hAnsi="Times New Roman" w:cs="Times New Roman"/>
          <w:i/>
          <w:sz w:val="24"/>
          <w:szCs w:val="24"/>
          <w:lang w:val="es-ES"/>
        </w:rPr>
        <w:t>Stauder</w:t>
      </w:r>
      <w:proofErr w:type="spellEnd"/>
      <w:r w:rsidR="00BD20BC" w:rsidRPr="00B22CA9">
        <w:rPr>
          <w:rFonts w:ascii="Times New Roman" w:hAnsi="Times New Roman" w:cs="Times New Roman"/>
          <w:sz w:val="24"/>
          <w:szCs w:val="24"/>
          <w:lang w:val="es-ES"/>
        </w:rPr>
        <w:t>, como</w:t>
      </w:r>
      <w:r w:rsidR="009C1029" w:rsidRPr="00B22CA9">
        <w:rPr>
          <w:rFonts w:ascii="Times New Roman" w:hAnsi="Times New Roman" w:cs="Times New Roman"/>
          <w:sz w:val="24"/>
          <w:szCs w:val="24"/>
          <w:lang w:val="es-ES"/>
        </w:rPr>
        <w:t xml:space="preserve"> confirmado, </w:t>
      </w:r>
      <w:r w:rsidR="00C028DF" w:rsidRPr="00B22CA9">
        <w:rPr>
          <w:rFonts w:ascii="Times New Roman" w:hAnsi="Times New Roman" w:cs="Times New Roman"/>
          <w:sz w:val="24"/>
          <w:szCs w:val="24"/>
          <w:lang w:val="es-ES"/>
        </w:rPr>
        <w:t>desde</w:t>
      </w:r>
      <w:r w:rsidR="0033597A" w:rsidRPr="00B22CA9">
        <w:rPr>
          <w:rFonts w:ascii="Times New Roman" w:hAnsi="Times New Roman" w:cs="Times New Roman"/>
          <w:sz w:val="24"/>
          <w:szCs w:val="24"/>
          <w:lang w:val="es-ES"/>
        </w:rPr>
        <w:t xml:space="preserve"> </w:t>
      </w:r>
      <w:proofErr w:type="spellStart"/>
      <w:r w:rsidR="0033597A" w:rsidRPr="00B22CA9">
        <w:rPr>
          <w:rFonts w:ascii="Times New Roman" w:hAnsi="Times New Roman" w:cs="Times New Roman"/>
          <w:i/>
          <w:sz w:val="24"/>
          <w:szCs w:val="24"/>
          <w:lang w:val="es-ES"/>
        </w:rPr>
        <w:t>Wachauf</w:t>
      </w:r>
      <w:proofErr w:type="spellEnd"/>
      <w:r w:rsidR="00912FE6" w:rsidRPr="00B22CA9">
        <w:rPr>
          <w:rFonts w:ascii="Times New Roman" w:hAnsi="Times New Roman" w:cs="Times New Roman"/>
          <w:sz w:val="24"/>
          <w:szCs w:val="24"/>
          <w:lang w:val="es-ES"/>
        </w:rPr>
        <w:t>,</w:t>
      </w:r>
      <w:r w:rsidR="0033597A" w:rsidRPr="00B22CA9">
        <w:rPr>
          <w:rFonts w:ascii="Times New Roman" w:hAnsi="Times New Roman" w:cs="Times New Roman"/>
          <w:sz w:val="24"/>
          <w:szCs w:val="24"/>
          <w:lang w:val="es-ES"/>
        </w:rPr>
        <w:t xml:space="preserve"> </w:t>
      </w:r>
      <w:r w:rsidR="00661B8C" w:rsidRPr="00B22CA9">
        <w:rPr>
          <w:rFonts w:ascii="Times New Roman" w:hAnsi="Times New Roman" w:cs="Times New Roman"/>
          <w:sz w:val="24"/>
          <w:szCs w:val="24"/>
          <w:lang w:val="es-ES"/>
        </w:rPr>
        <w:t xml:space="preserve">que </w:t>
      </w:r>
      <w:r w:rsidR="00DE66F4" w:rsidRPr="00B22CA9">
        <w:rPr>
          <w:rFonts w:ascii="Times New Roman" w:hAnsi="Times New Roman" w:cs="Times New Roman"/>
          <w:sz w:val="24"/>
          <w:szCs w:val="24"/>
          <w:lang w:val="es-ES"/>
        </w:rPr>
        <w:t>e</w:t>
      </w:r>
      <w:r w:rsidR="003C6BF6" w:rsidRPr="00B22CA9">
        <w:rPr>
          <w:rFonts w:ascii="Times New Roman" w:hAnsi="Times New Roman" w:cs="Times New Roman"/>
          <w:sz w:val="24"/>
          <w:szCs w:val="24"/>
          <w:lang w:val="es-ES"/>
        </w:rPr>
        <w:t xml:space="preserve">l Estado </w:t>
      </w:r>
      <w:r w:rsidR="00DE66F4" w:rsidRPr="00B22CA9">
        <w:rPr>
          <w:rFonts w:ascii="Times New Roman" w:hAnsi="Times New Roman" w:cs="Times New Roman"/>
          <w:sz w:val="24"/>
          <w:szCs w:val="24"/>
          <w:lang w:val="es-ES"/>
        </w:rPr>
        <w:t xml:space="preserve">miembro </w:t>
      </w:r>
      <w:r w:rsidR="003C6BF6" w:rsidRPr="00B22CA9">
        <w:rPr>
          <w:rFonts w:ascii="Times New Roman" w:hAnsi="Times New Roman" w:cs="Times New Roman"/>
          <w:sz w:val="24"/>
          <w:szCs w:val="24"/>
          <w:lang w:val="es-ES"/>
        </w:rPr>
        <w:t xml:space="preserve">que </w:t>
      </w:r>
      <w:r w:rsidR="00104C63" w:rsidRPr="00B22CA9">
        <w:rPr>
          <w:rFonts w:ascii="Times New Roman" w:hAnsi="Times New Roman" w:cs="Times New Roman"/>
          <w:sz w:val="24"/>
          <w:szCs w:val="24"/>
          <w:lang w:val="es-ES"/>
        </w:rPr>
        <w:t>implement</w:t>
      </w:r>
      <w:r w:rsidR="009C1029" w:rsidRPr="00B22CA9">
        <w:rPr>
          <w:rFonts w:ascii="Times New Roman" w:hAnsi="Times New Roman" w:cs="Times New Roman"/>
          <w:sz w:val="24"/>
          <w:szCs w:val="24"/>
          <w:lang w:val="es-ES"/>
        </w:rPr>
        <w:t>ase</w:t>
      </w:r>
      <w:r w:rsidR="00104C63" w:rsidRPr="00B22CA9">
        <w:rPr>
          <w:rFonts w:ascii="Times New Roman" w:hAnsi="Times New Roman" w:cs="Times New Roman"/>
          <w:sz w:val="24"/>
          <w:szCs w:val="24"/>
          <w:lang w:val="es-ES"/>
        </w:rPr>
        <w:t xml:space="preserve"> normas supranacionales</w:t>
      </w:r>
      <w:r w:rsidR="00661B8C" w:rsidRPr="00B22CA9">
        <w:rPr>
          <w:rFonts w:ascii="Times New Roman" w:hAnsi="Times New Roman" w:cs="Times New Roman"/>
          <w:sz w:val="24"/>
          <w:szCs w:val="24"/>
          <w:lang w:val="es-ES"/>
        </w:rPr>
        <w:t>,</w:t>
      </w:r>
      <w:r w:rsidR="00104C63" w:rsidRPr="00B22CA9">
        <w:rPr>
          <w:rFonts w:ascii="Times New Roman" w:hAnsi="Times New Roman" w:cs="Times New Roman"/>
          <w:sz w:val="24"/>
          <w:szCs w:val="24"/>
          <w:lang w:val="es-ES"/>
        </w:rPr>
        <w:t xml:space="preserve"> o </w:t>
      </w:r>
      <w:r w:rsidR="00661B8C" w:rsidRPr="00B22CA9">
        <w:rPr>
          <w:rFonts w:ascii="Times New Roman" w:hAnsi="Times New Roman" w:cs="Times New Roman"/>
          <w:sz w:val="24"/>
          <w:szCs w:val="24"/>
          <w:lang w:val="es-ES"/>
        </w:rPr>
        <w:t>incid</w:t>
      </w:r>
      <w:r w:rsidR="009C1029" w:rsidRPr="00B22CA9">
        <w:rPr>
          <w:rFonts w:ascii="Times New Roman" w:hAnsi="Times New Roman" w:cs="Times New Roman"/>
          <w:sz w:val="24"/>
          <w:szCs w:val="24"/>
          <w:lang w:val="es-ES"/>
        </w:rPr>
        <w:t>iese</w:t>
      </w:r>
      <w:r w:rsidR="00661B8C" w:rsidRPr="00B22CA9">
        <w:rPr>
          <w:rFonts w:ascii="Times New Roman" w:hAnsi="Times New Roman" w:cs="Times New Roman"/>
          <w:sz w:val="24"/>
          <w:szCs w:val="24"/>
          <w:lang w:val="es-ES"/>
        </w:rPr>
        <w:t xml:space="preserve"> </w:t>
      </w:r>
      <w:r w:rsidR="00104C63" w:rsidRPr="00B22CA9">
        <w:rPr>
          <w:rFonts w:ascii="Times New Roman" w:hAnsi="Times New Roman" w:cs="Times New Roman"/>
          <w:sz w:val="24"/>
          <w:szCs w:val="24"/>
          <w:lang w:val="es-ES"/>
        </w:rPr>
        <w:t>en el ámbito de las mismas</w:t>
      </w:r>
      <w:r w:rsidR="00DE66F4" w:rsidRPr="00B22CA9">
        <w:rPr>
          <w:rFonts w:ascii="Times New Roman" w:hAnsi="Times New Roman" w:cs="Times New Roman"/>
          <w:sz w:val="24"/>
          <w:szCs w:val="24"/>
          <w:lang w:val="es-ES"/>
        </w:rPr>
        <w:t>,</w:t>
      </w:r>
      <w:r w:rsidR="00FF215C" w:rsidRPr="00B22CA9">
        <w:rPr>
          <w:rFonts w:ascii="Times New Roman" w:hAnsi="Times New Roman" w:cs="Times New Roman"/>
          <w:sz w:val="24"/>
          <w:szCs w:val="24"/>
          <w:lang w:val="es-ES"/>
        </w:rPr>
        <w:t xml:space="preserve"> </w:t>
      </w:r>
      <w:r w:rsidR="00F25C94" w:rsidRPr="00B22CA9">
        <w:rPr>
          <w:rFonts w:ascii="Times New Roman" w:hAnsi="Times New Roman" w:cs="Times New Roman"/>
          <w:sz w:val="24"/>
          <w:szCs w:val="24"/>
          <w:lang w:val="es-ES"/>
        </w:rPr>
        <w:t>se somet</w:t>
      </w:r>
      <w:r w:rsidR="009C1029" w:rsidRPr="00B22CA9">
        <w:rPr>
          <w:rFonts w:ascii="Times New Roman" w:hAnsi="Times New Roman" w:cs="Times New Roman"/>
          <w:sz w:val="24"/>
          <w:szCs w:val="24"/>
          <w:lang w:val="es-ES"/>
        </w:rPr>
        <w:t>ía</w:t>
      </w:r>
      <w:r w:rsidR="00F25C94" w:rsidRPr="00B22CA9">
        <w:rPr>
          <w:rFonts w:ascii="Times New Roman" w:hAnsi="Times New Roman" w:cs="Times New Roman"/>
          <w:sz w:val="24"/>
          <w:szCs w:val="24"/>
          <w:lang w:val="es-ES"/>
        </w:rPr>
        <w:t xml:space="preserve"> a</w:t>
      </w:r>
      <w:r w:rsidR="00FF215C" w:rsidRPr="00B22CA9">
        <w:rPr>
          <w:rFonts w:ascii="Times New Roman" w:hAnsi="Times New Roman" w:cs="Times New Roman"/>
          <w:sz w:val="24"/>
          <w:szCs w:val="24"/>
          <w:lang w:val="es-ES"/>
        </w:rPr>
        <w:t xml:space="preserve"> los parámetros </w:t>
      </w:r>
      <w:r w:rsidR="00460EEA" w:rsidRPr="00B22CA9">
        <w:rPr>
          <w:rFonts w:ascii="Times New Roman" w:hAnsi="Times New Roman" w:cs="Times New Roman"/>
          <w:sz w:val="24"/>
          <w:szCs w:val="24"/>
          <w:lang w:val="es-ES"/>
        </w:rPr>
        <w:t>iusfundamentales de</w:t>
      </w:r>
      <w:r w:rsidR="00DE66F4" w:rsidRPr="00B22CA9">
        <w:rPr>
          <w:rFonts w:ascii="Times New Roman" w:hAnsi="Times New Roman" w:cs="Times New Roman"/>
          <w:sz w:val="24"/>
          <w:szCs w:val="24"/>
          <w:lang w:val="es-ES"/>
        </w:rPr>
        <w:t>l derecho de la Unión</w:t>
      </w:r>
      <w:r w:rsidR="00661B8C" w:rsidRPr="00B22CA9">
        <w:rPr>
          <w:rFonts w:ascii="Times New Roman" w:hAnsi="Times New Roman" w:cs="Times New Roman"/>
          <w:sz w:val="24"/>
          <w:szCs w:val="24"/>
          <w:lang w:val="es-ES"/>
        </w:rPr>
        <w:t xml:space="preserve">. La eficacia del procedimiento prejudicial como mecanismo de </w:t>
      </w:r>
      <w:r w:rsidR="0033597A" w:rsidRPr="00B22CA9">
        <w:rPr>
          <w:rFonts w:ascii="Times New Roman" w:hAnsi="Times New Roman" w:cs="Times New Roman"/>
          <w:sz w:val="24"/>
          <w:szCs w:val="24"/>
          <w:lang w:val="es-ES"/>
        </w:rPr>
        <w:t>protección de derechos fundamentales</w:t>
      </w:r>
      <w:r w:rsidR="00B22908" w:rsidRPr="00B22CA9">
        <w:rPr>
          <w:rFonts w:ascii="Times New Roman" w:hAnsi="Times New Roman" w:cs="Times New Roman"/>
          <w:sz w:val="24"/>
          <w:szCs w:val="24"/>
          <w:lang w:val="es-ES"/>
        </w:rPr>
        <w:t xml:space="preserve"> </w:t>
      </w:r>
      <w:r w:rsidR="00661B8C" w:rsidRPr="00B22CA9">
        <w:rPr>
          <w:rFonts w:ascii="Times New Roman" w:hAnsi="Times New Roman" w:cs="Times New Roman"/>
          <w:sz w:val="24"/>
          <w:szCs w:val="24"/>
          <w:lang w:val="es-ES"/>
        </w:rPr>
        <w:t>resid</w:t>
      </w:r>
      <w:r w:rsidR="009C1029" w:rsidRPr="00B22CA9">
        <w:rPr>
          <w:rFonts w:ascii="Times New Roman" w:hAnsi="Times New Roman" w:cs="Times New Roman"/>
          <w:sz w:val="24"/>
          <w:szCs w:val="24"/>
          <w:lang w:val="es-ES"/>
        </w:rPr>
        <w:t>ía, y reside,</w:t>
      </w:r>
      <w:r w:rsidR="00661B8C" w:rsidRPr="00B22CA9">
        <w:rPr>
          <w:rFonts w:ascii="Times New Roman" w:hAnsi="Times New Roman" w:cs="Times New Roman"/>
          <w:sz w:val="24"/>
          <w:szCs w:val="24"/>
          <w:lang w:val="es-ES"/>
        </w:rPr>
        <w:t xml:space="preserve"> en el valor ejecutivo de la sentencia del</w:t>
      </w:r>
      <w:r w:rsidR="00E363CC" w:rsidRPr="00B22CA9">
        <w:rPr>
          <w:rFonts w:ascii="Times New Roman" w:hAnsi="Times New Roman" w:cs="Times New Roman"/>
          <w:sz w:val="24"/>
          <w:szCs w:val="24"/>
          <w:lang w:val="es-ES"/>
        </w:rPr>
        <w:t xml:space="preserve"> juez nacional</w:t>
      </w:r>
      <w:r w:rsidR="009C1029" w:rsidRPr="00B22CA9">
        <w:rPr>
          <w:rFonts w:ascii="Times New Roman" w:hAnsi="Times New Roman" w:cs="Times New Roman"/>
          <w:sz w:val="24"/>
          <w:szCs w:val="24"/>
          <w:lang w:val="es-ES"/>
        </w:rPr>
        <w:t xml:space="preserve">, </w:t>
      </w:r>
      <w:r w:rsidR="00BD20BC" w:rsidRPr="00B22CA9">
        <w:rPr>
          <w:rFonts w:ascii="Times New Roman" w:hAnsi="Times New Roman" w:cs="Times New Roman"/>
          <w:sz w:val="24"/>
          <w:szCs w:val="24"/>
          <w:lang w:val="es-ES"/>
        </w:rPr>
        <w:t>que hace</w:t>
      </w:r>
      <w:r w:rsidR="009C1029" w:rsidRPr="00B22CA9">
        <w:rPr>
          <w:rFonts w:ascii="Times New Roman" w:hAnsi="Times New Roman" w:cs="Times New Roman"/>
          <w:sz w:val="24"/>
          <w:szCs w:val="24"/>
          <w:lang w:val="es-ES"/>
        </w:rPr>
        <w:t xml:space="preserve"> </w:t>
      </w:r>
      <w:r w:rsidR="00E363CC" w:rsidRPr="00B22CA9">
        <w:rPr>
          <w:rFonts w:ascii="Times New Roman" w:hAnsi="Times New Roman" w:cs="Times New Roman"/>
          <w:sz w:val="24"/>
          <w:szCs w:val="24"/>
          <w:lang w:val="es-ES"/>
        </w:rPr>
        <w:t xml:space="preserve">de la normatividad interpretada por el TJUE, </w:t>
      </w:r>
      <w:r w:rsidR="00B22908" w:rsidRPr="00B22CA9">
        <w:rPr>
          <w:rFonts w:ascii="Times New Roman" w:hAnsi="Times New Roman" w:cs="Times New Roman"/>
          <w:sz w:val="24"/>
          <w:szCs w:val="24"/>
          <w:lang w:val="es-ES"/>
        </w:rPr>
        <w:t xml:space="preserve">y </w:t>
      </w:r>
      <w:r w:rsidR="00460EEA" w:rsidRPr="00B22CA9">
        <w:rPr>
          <w:rFonts w:ascii="Times New Roman" w:hAnsi="Times New Roman" w:cs="Times New Roman"/>
          <w:sz w:val="24"/>
          <w:szCs w:val="24"/>
          <w:lang w:val="es-ES"/>
        </w:rPr>
        <w:t xml:space="preserve">por lo general </w:t>
      </w:r>
      <w:r w:rsidR="00E363CC" w:rsidRPr="00B22CA9">
        <w:rPr>
          <w:rFonts w:ascii="Times New Roman" w:hAnsi="Times New Roman" w:cs="Times New Roman"/>
          <w:sz w:val="24"/>
          <w:szCs w:val="24"/>
          <w:lang w:val="es-ES"/>
        </w:rPr>
        <w:t>formulada de manera hipotética, una auténtica regla aplicable, como mínimo, al caso concreto</w:t>
      </w:r>
      <w:r w:rsidR="00101FD2" w:rsidRPr="00B22CA9">
        <w:rPr>
          <w:rFonts w:ascii="Times New Roman" w:hAnsi="Times New Roman" w:cs="Times New Roman"/>
          <w:sz w:val="24"/>
          <w:szCs w:val="24"/>
          <w:lang w:val="es-ES"/>
        </w:rPr>
        <w:t xml:space="preserve"> (</w:t>
      </w:r>
      <w:proofErr w:type="spellStart"/>
      <w:r w:rsidR="00101FD2" w:rsidRPr="00B22CA9">
        <w:rPr>
          <w:rFonts w:ascii="Times New Roman" w:hAnsi="Times New Roman" w:cs="Times New Roman"/>
          <w:sz w:val="24"/>
          <w:szCs w:val="24"/>
          <w:lang w:val="es-ES"/>
        </w:rPr>
        <w:t>Weiler</w:t>
      </w:r>
      <w:proofErr w:type="spellEnd"/>
      <w:r w:rsidR="00101FD2" w:rsidRPr="00B22CA9">
        <w:rPr>
          <w:rFonts w:ascii="Times New Roman" w:hAnsi="Times New Roman" w:cs="Times New Roman"/>
          <w:sz w:val="24"/>
          <w:szCs w:val="24"/>
          <w:lang w:val="es-ES"/>
        </w:rPr>
        <w:t>, 1991: 2420)</w:t>
      </w:r>
      <w:r w:rsidR="00E535BE" w:rsidRPr="00B22CA9">
        <w:rPr>
          <w:rStyle w:val="Refdenotaalpie"/>
          <w:rFonts w:ascii="Times New Roman" w:hAnsi="Times New Roman" w:cs="Times New Roman"/>
          <w:sz w:val="24"/>
          <w:szCs w:val="24"/>
          <w:lang w:val="es-ES"/>
        </w:rPr>
        <w:footnoteReference w:id="14"/>
      </w:r>
      <w:r w:rsidR="00E363CC" w:rsidRPr="00B22CA9">
        <w:rPr>
          <w:rFonts w:ascii="Times New Roman" w:hAnsi="Times New Roman" w:cs="Times New Roman"/>
          <w:sz w:val="24"/>
          <w:szCs w:val="24"/>
          <w:lang w:val="es-ES"/>
        </w:rPr>
        <w:t>.</w:t>
      </w:r>
      <w:r w:rsidR="00104C63" w:rsidRPr="00B22CA9">
        <w:rPr>
          <w:rFonts w:ascii="Times New Roman" w:hAnsi="Times New Roman" w:cs="Times New Roman"/>
          <w:sz w:val="24"/>
          <w:szCs w:val="24"/>
          <w:lang w:val="es-ES"/>
        </w:rPr>
        <w:t xml:space="preserve"> Los derechos de la Carta, invocados por litigantes particulares, alcanz</w:t>
      </w:r>
      <w:r w:rsidR="009C1029" w:rsidRPr="00B22CA9">
        <w:rPr>
          <w:rFonts w:ascii="Times New Roman" w:hAnsi="Times New Roman" w:cs="Times New Roman"/>
          <w:sz w:val="24"/>
          <w:szCs w:val="24"/>
          <w:lang w:val="es-ES"/>
        </w:rPr>
        <w:t>ab</w:t>
      </w:r>
      <w:r w:rsidR="00104C63" w:rsidRPr="00B22CA9">
        <w:rPr>
          <w:rFonts w:ascii="Times New Roman" w:hAnsi="Times New Roman" w:cs="Times New Roman"/>
          <w:sz w:val="24"/>
          <w:szCs w:val="24"/>
          <w:lang w:val="es-ES"/>
        </w:rPr>
        <w:t>an</w:t>
      </w:r>
      <w:r w:rsidR="009C1029" w:rsidRPr="00B22CA9">
        <w:rPr>
          <w:rFonts w:ascii="Times New Roman" w:hAnsi="Times New Roman" w:cs="Times New Roman"/>
          <w:sz w:val="24"/>
          <w:szCs w:val="24"/>
          <w:lang w:val="es-ES"/>
        </w:rPr>
        <w:t xml:space="preserve"> y alcanzan</w:t>
      </w:r>
      <w:r w:rsidR="00104C63" w:rsidRPr="00B22CA9">
        <w:rPr>
          <w:rFonts w:ascii="Times New Roman" w:hAnsi="Times New Roman" w:cs="Times New Roman"/>
          <w:sz w:val="24"/>
          <w:szCs w:val="24"/>
          <w:lang w:val="es-ES"/>
        </w:rPr>
        <w:t xml:space="preserve"> así su </w:t>
      </w:r>
      <w:r w:rsidR="00BD20BC" w:rsidRPr="00B22CA9">
        <w:rPr>
          <w:rFonts w:ascii="Times New Roman" w:hAnsi="Times New Roman" w:cs="Times New Roman"/>
          <w:sz w:val="24"/>
          <w:szCs w:val="24"/>
          <w:lang w:val="es-ES"/>
        </w:rPr>
        <w:t>protección</w:t>
      </w:r>
      <w:r w:rsidR="00104C63" w:rsidRPr="00B22CA9">
        <w:rPr>
          <w:rStyle w:val="Refdenotaalpie"/>
          <w:rFonts w:ascii="Times New Roman" w:hAnsi="Times New Roman" w:cs="Times New Roman"/>
          <w:sz w:val="24"/>
          <w:szCs w:val="24"/>
          <w:lang w:val="es-ES"/>
        </w:rPr>
        <w:footnoteReference w:id="15"/>
      </w:r>
      <w:r w:rsidR="00FA0A3B" w:rsidRPr="00B22CA9">
        <w:rPr>
          <w:rFonts w:ascii="Times New Roman" w:hAnsi="Times New Roman" w:cs="Times New Roman"/>
          <w:sz w:val="24"/>
          <w:szCs w:val="24"/>
          <w:lang w:val="es-ES"/>
        </w:rPr>
        <w:t>, confirmando que las remisiones prejudiciales ayudan a construir el espacio europeo de derechos fundamentales.</w:t>
      </w:r>
      <w:r w:rsidR="00B7159E" w:rsidRPr="00B22CA9">
        <w:rPr>
          <w:rFonts w:ascii="Times New Roman" w:hAnsi="Times New Roman" w:cs="Times New Roman"/>
          <w:sz w:val="24"/>
          <w:szCs w:val="24"/>
          <w:lang w:val="es-ES"/>
        </w:rPr>
        <w:t xml:space="preserve">  </w:t>
      </w:r>
    </w:p>
    <w:p w:rsidR="003F7751" w:rsidRPr="00B22CA9" w:rsidRDefault="00E47DF9" w:rsidP="007F11DF">
      <w:pPr>
        <w:spacing w:line="240" w:lineRule="auto"/>
        <w:jc w:val="both"/>
        <w:rPr>
          <w:rFonts w:ascii="Times New Roman" w:hAnsi="Times New Roman" w:cs="Times New Roman"/>
          <w:sz w:val="24"/>
          <w:szCs w:val="24"/>
          <w:lang w:val="es-ES"/>
        </w:rPr>
      </w:pPr>
      <w:r w:rsidRPr="00B22CA9">
        <w:rPr>
          <w:rFonts w:ascii="Times New Roman" w:hAnsi="Times New Roman" w:cs="Times New Roman"/>
          <w:sz w:val="24"/>
          <w:szCs w:val="24"/>
          <w:lang w:val="es-ES"/>
        </w:rPr>
        <w:tab/>
      </w:r>
      <w:r w:rsidR="00FA0A3B" w:rsidRPr="00B22CA9">
        <w:rPr>
          <w:rFonts w:ascii="Times New Roman" w:hAnsi="Times New Roman" w:cs="Times New Roman"/>
          <w:sz w:val="24"/>
          <w:szCs w:val="24"/>
          <w:lang w:val="es-ES"/>
        </w:rPr>
        <w:t>Pero l</w:t>
      </w:r>
      <w:r w:rsidR="0033597A" w:rsidRPr="00B22CA9">
        <w:rPr>
          <w:rFonts w:ascii="Times New Roman" w:hAnsi="Times New Roman" w:cs="Times New Roman"/>
          <w:sz w:val="24"/>
          <w:szCs w:val="24"/>
          <w:lang w:val="es-ES"/>
        </w:rPr>
        <w:t>a pregunta</w:t>
      </w:r>
      <w:r w:rsidR="00FA0A3B" w:rsidRPr="00B22CA9">
        <w:rPr>
          <w:rFonts w:ascii="Times New Roman" w:hAnsi="Times New Roman" w:cs="Times New Roman"/>
          <w:sz w:val="24"/>
          <w:szCs w:val="24"/>
          <w:lang w:val="es-ES"/>
        </w:rPr>
        <w:t xml:space="preserve"> que se plantea </w:t>
      </w:r>
      <w:r w:rsidR="00CD5CCA" w:rsidRPr="00B22CA9">
        <w:rPr>
          <w:rFonts w:ascii="Times New Roman" w:hAnsi="Times New Roman" w:cs="Times New Roman"/>
          <w:sz w:val="24"/>
          <w:szCs w:val="24"/>
          <w:lang w:val="es-ES"/>
        </w:rPr>
        <w:t>aquí</w:t>
      </w:r>
      <w:r w:rsidR="0033597A" w:rsidRPr="00B22CA9">
        <w:rPr>
          <w:rFonts w:ascii="Times New Roman" w:hAnsi="Times New Roman" w:cs="Times New Roman"/>
          <w:sz w:val="24"/>
          <w:szCs w:val="24"/>
          <w:lang w:val="es-ES"/>
        </w:rPr>
        <w:t xml:space="preserve"> </w:t>
      </w:r>
      <w:r w:rsidR="00FA0A3B" w:rsidRPr="00B22CA9">
        <w:rPr>
          <w:rFonts w:ascii="Times New Roman" w:hAnsi="Times New Roman" w:cs="Times New Roman"/>
          <w:sz w:val="24"/>
          <w:szCs w:val="24"/>
          <w:lang w:val="es-ES"/>
        </w:rPr>
        <w:t xml:space="preserve">es </w:t>
      </w:r>
      <w:r w:rsidR="00661B8C" w:rsidRPr="00B22CA9">
        <w:rPr>
          <w:rFonts w:ascii="Times New Roman" w:hAnsi="Times New Roman" w:cs="Times New Roman"/>
          <w:sz w:val="24"/>
          <w:szCs w:val="24"/>
          <w:lang w:val="es-ES"/>
        </w:rPr>
        <w:t>qué ocurre con los derechos fundamentales en e</w:t>
      </w:r>
      <w:r w:rsidR="003C6BF6" w:rsidRPr="00B22CA9">
        <w:rPr>
          <w:rFonts w:ascii="Times New Roman" w:hAnsi="Times New Roman" w:cs="Times New Roman"/>
          <w:sz w:val="24"/>
          <w:szCs w:val="24"/>
          <w:lang w:val="es-ES"/>
        </w:rPr>
        <w:t>l procedimiento por incumplimiento</w:t>
      </w:r>
      <w:r w:rsidR="009C1029" w:rsidRPr="00B22CA9">
        <w:rPr>
          <w:rFonts w:ascii="Times New Roman" w:hAnsi="Times New Roman" w:cs="Times New Roman"/>
          <w:sz w:val="24"/>
          <w:szCs w:val="24"/>
          <w:lang w:val="es-ES"/>
        </w:rPr>
        <w:t>,</w:t>
      </w:r>
      <w:r w:rsidR="0033597A" w:rsidRPr="00B22CA9">
        <w:rPr>
          <w:rFonts w:ascii="Times New Roman" w:hAnsi="Times New Roman" w:cs="Times New Roman"/>
          <w:sz w:val="24"/>
          <w:szCs w:val="24"/>
          <w:lang w:val="es-ES"/>
        </w:rPr>
        <w:t xml:space="preserve"> </w:t>
      </w:r>
      <w:r w:rsidR="007C5904" w:rsidRPr="00B22CA9">
        <w:rPr>
          <w:rFonts w:ascii="Times New Roman" w:hAnsi="Times New Roman" w:cs="Times New Roman"/>
          <w:sz w:val="24"/>
          <w:szCs w:val="24"/>
          <w:lang w:val="es-ES"/>
        </w:rPr>
        <w:t>donde</w:t>
      </w:r>
      <w:r w:rsidR="0033597A" w:rsidRPr="00B22CA9">
        <w:rPr>
          <w:rFonts w:ascii="Times New Roman" w:hAnsi="Times New Roman" w:cs="Times New Roman"/>
          <w:sz w:val="24"/>
          <w:szCs w:val="24"/>
          <w:lang w:val="es-ES"/>
        </w:rPr>
        <w:t xml:space="preserve"> no </w:t>
      </w:r>
      <w:r w:rsidR="00CD5CCA" w:rsidRPr="00B22CA9">
        <w:rPr>
          <w:rFonts w:ascii="Times New Roman" w:hAnsi="Times New Roman" w:cs="Times New Roman"/>
          <w:sz w:val="24"/>
          <w:szCs w:val="24"/>
          <w:lang w:val="es-ES"/>
        </w:rPr>
        <w:t>los reivindican</w:t>
      </w:r>
      <w:r w:rsidR="0033597A" w:rsidRPr="00B22CA9">
        <w:rPr>
          <w:rFonts w:ascii="Times New Roman" w:hAnsi="Times New Roman" w:cs="Times New Roman"/>
          <w:sz w:val="24"/>
          <w:szCs w:val="24"/>
          <w:lang w:val="es-ES"/>
        </w:rPr>
        <w:t xml:space="preserve"> particulares,</w:t>
      </w:r>
      <w:r w:rsidR="00CD5CCA" w:rsidRPr="00B22CA9">
        <w:rPr>
          <w:rFonts w:ascii="Times New Roman" w:hAnsi="Times New Roman" w:cs="Times New Roman"/>
          <w:sz w:val="24"/>
          <w:szCs w:val="24"/>
          <w:lang w:val="es-ES"/>
        </w:rPr>
        <w:t xml:space="preserve"> titulares de los mismos,</w:t>
      </w:r>
      <w:r w:rsidR="0033597A" w:rsidRPr="00B22CA9">
        <w:rPr>
          <w:rFonts w:ascii="Times New Roman" w:hAnsi="Times New Roman" w:cs="Times New Roman"/>
          <w:sz w:val="24"/>
          <w:szCs w:val="24"/>
          <w:lang w:val="es-ES"/>
        </w:rPr>
        <w:t xml:space="preserve"> sino una institución supranacional</w:t>
      </w:r>
      <w:r w:rsidR="00B22908" w:rsidRPr="00B22CA9">
        <w:rPr>
          <w:rFonts w:ascii="Times New Roman" w:hAnsi="Times New Roman" w:cs="Times New Roman"/>
          <w:sz w:val="24"/>
          <w:szCs w:val="24"/>
          <w:lang w:val="es-ES"/>
        </w:rPr>
        <w:t xml:space="preserve"> frente a Estado</w:t>
      </w:r>
      <w:r w:rsidR="00CD5CCA" w:rsidRPr="00B22CA9">
        <w:rPr>
          <w:rFonts w:ascii="Times New Roman" w:hAnsi="Times New Roman" w:cs="Times New Roman"/>
          <w:sz w:val="24"/>
          <w:szCs w:val="24"/>
          <w:lang w:val="es-ES"/>
        </w:rPr>
        <w:t>s</w:t>
      </w:r>
      <w:r w:rsidR="00B22908" w:rsidRPr="00B22CA9">
        <w:rPr>
          <w:rFonts w:ascii="Times New Roman" w:hAnsi="Times New Roman" w:cs="Times New Roman"/>
          <w:sz w:val="24"/>
          <w:szCs w:val="24"/>
          <w:lang w:val="es-ES"/>
        </w:rPr>
        <w:t xml:space="preserve"> miembro</w:t>
      </w:r>
      <w:r w:rsidR="00CD5CCA" w:rsidRPr="00B22CA9">
        <w:rPr>
          <w:rFonts w:ascii="Times New Roman" w:hAnsi="Times New Roman" w:cs="Times New Roman"/>
          <w:sz w:val="24"/>
          <w:szCs w:val="24"/>
          <w:lang w:val="es-ES"/>
        </w:rPr>
        <w:t>s que, por su parte, tienen sistemas propios de garantía constitucional de los derechos</w:t>
      </w:r>
      <w:r w:rsidR="0033597A" w:rsidRPr="00B22CA9">
        <w:rPr>
          <w:rFonts w:ascii="Times New Roman" w:hAnsi="Times New Roman" w:cs="Times New Roman"/>
          <w:sz w:val="24"/>
          <w:szCs w:val="24"/>
          <w:lang w:val="es-ES"/>
        </w:rPr>
        <w:t xml:space="preserve">. </w:t>
      </w:r>
      <w:r w:rsidR="00C028DF" w:rsidRPr="00B22CA9">
        <w:rPr>
          <w:rFonts w:ascii="Times New Roman" w:hAnsi="Times New Roman" w:cs="Times New Roman"/>
          <w:sz w:val="24"/>
          <w:szCs w:val="24"/>
          <w:lang w:val="es-ES"/>
        </w:rPr>
        <w:t>E</w:t>
      </w:r>
      <w:r w:rsidR="007C5904" w:rsidRPr="00B22CA9">
        <w:rPr>
          <w:rFonts w:ascii="Times New Roman" w:hAnsi="Times New Roman" w:cs="Times New Roman"/>
          <w:sz w:val="24"/>
          <w:szCs w:val="24"/>
          <w:lang w:val="es-ES"/>
        </w:rPr>
        <w:t>l</w:t>
      </w:r>
      <w:r w:rsidR="0054380A" w:rsidRPr="00B22CA9">
        <w:rPr>
          <w:rFonts w:ascii="Times New Roman" w:hAnsi="Times New Roman" w:cs="Times New Roman"/>
          <w:sz w:val="24"/>
          <w:szCs w:val="24"/>
          <w:lang w:val="es-ES"/>
        </w:rPr>
        <w:t xml:space="preserve"> de incumplimiento es un contencioso que</w:t>
      </w:r>
      <w:r w:rsidR="000308D1" w:rsidRPr="00B22CA9">
        <w:rPr>
          <w:rFonts w:ascii="Times New Roman" w:hAnsi="Times New Roman" w:cs="Times New Roman"/>
          <w:sz w:val="24"/>
          <w:szCs w:val="24"/>
          <w:lang w:val="es-ES"/>
        </w:rPr>
        <w:t xml:space="preserve"> persigue la ejecución forzosa del </w:t>
      </w:r>
      <w:r w:rsidR="002377A5" w:rsidRPr="00B22CA9">
        <w:rPr>
          <w:rFonts w:ascii="Times New Roman" w:hAnsi="Times New Roman" w:cs="Times New Roman"/>
          <w:sz w:val="24"/>
          <w:szCs w:val="24"/>
          <w:lang w:val="es-ES"/>
        </w:rPr>
        <w:t>d</w:t>
      </w:r>
      <w:r w:rsidR="000308D1" w:rsidRPr="00B22CA9">
        <w:rPr>
          <w:rFonts w:ascii="Times New Roman" w:hAnsi="Times New Roman" w:cs="Times New Roman"/>
          <w:sz w:val="24"/>
          <w:szCs w:val="24"/>
          <w:lang w:val="es-ES"/>
        </w:rPr>
        <w:t>erecho de la Unión a través de la declaración de responsabilidad</w:t>
      </w:r>
      <w:r w:rsidR="00F1323D" w:rsidRPr="00B22CA9">
        <w:rPr>
          <w:rFonts w:ascii="Times New Roman" w:hAnsi="Times New Roman" w:cs="Times New Roman"/>
          <w:sz w:val="24"/>
          <w:szCs w:val="24"/>
          <w:lang w:val="es-ES"/>
        </w:rPr>
        <w:t xml:space="preserve"> del Estado</w:t>
      </w:r>
      <w:r w:rsidR="000308D1" w:rsidRPr="00B22CA9">
        <w:rPr>
          <w:rFonts w:ascii="Times New Roman" w:hAnsi="Times New Roman" w:cs="Times New Roman"/>
          <w:sz w:val="24"/>
          <w:szCs w:val="24"/>
          <w:lang w:val="es-ES"/>
        </w:rPr>
        <w:t xml:space="preserve"> y</w:t>
      </w:r>
      <w:r w:rsidR="00B72C31" w:rsidRPr="00B22CA9">
        <w:rPr>
          <w:rFonts w:ascii="Times New Roman" w:hAnsi="Times New Roman" w:cs="Times New Roman"/>
          <w:sz w:val="24"/>
          <w:szCs w:val="24"/>
          <w:lang w:val="es-ES"/>
        </w:rPr>
        <w:t xml:space="preserve">, en su caso, </w:t>
      </w:r>
      <w:r w:rsidR="003C6BF6" w:rsidRPr="00B22CA9">
        <w:rPr>
          <w:rFonts w:ascii="Times New Roman" w:hAnsi="Times New Roman" w:cs="Times New Roman"/>
          <w:sz w:val="24"/>
          <w:szCs w:val="24"/>
          <w:lang w:val="es-ES"/>
        </w:rPr>
        <w:t xml:space="preserve">de </w:t>
      </w:r>
      <w:r w:rsidR="00B72C31" w:rsidRPr="00B22CA9">
        <w:rPr>
          <w:rFonts w:ascii="Times New Roman" w:hAnsi="Times New Roman" w:cs="Times New Roman"/>
          <w:sz w:val="24"/>
          <w:szCs w:val="24"/>
          <w:lang w:val="es-ES"/>
        </w:rPr>
        <w:t>la imposición de sanciones</w:t>
      </w:r>
      <w:r w:rsidR="00B72C31" w:rsidRPr="00B22CA9">
        <w:rPr>
          <w:rStyle w:val="Refdenotaalpie"/>
          <w:rFonts w:ascii="Times New Roman" w:hAnsi="Times New Roman" w:cs="Times New Roman"/>
          <w:sz w:val="24"/>
          <w:szCs w:val="24"/>
          <w:lang w:val="es-ES"/>
        </w:rPr>
        <w:footnoteReference w:id="16"/>
      </w:r>
      <w:r w:rsidR="00716A09" w:rsidRPr="00B22CA9">
        <w:rPr>
          <w:rFonts w:ascii="Times New Roman" w:hAnsi="Times New Roman" w:cs="Times New Roman"/>
          <w:sz w:val="24"/>
          <w:szCs w:val="24"/>
          <w:lang w:val="es-ES"/>
        </w:rPr>
        <w:t>, pero l</w:t>
      </w:r>
      <w:r w:rsidR="00396067" w:rsidRPr="00B22CA9">
        <w:rPr>
          <w:rFonts w:ascii="Times New Roman" w:hAnsi="Times New Roman" w:cs="Times New Roman"/>
          <w:sz w:val="24"/>
          <w:szCs w:val="24"/>
          <w:lang w:val="es-ES"/>
        </w:rPr>
        <w:t>a experiencia sobre la hermenéutica de los derechos fundamentales en recursos por incumplimiento</w:t>
      </w:r>
      <w:r w:rsidR="00716A09" w:rsidRPr="00B22CA9">
        <w:rPr>
          <w:rFonts w:ascii="Times New Roman" w:hAnsi="Times New Roman" w:cs="Times New Roman"/>
          <w:sz w:val="24"/>
          <w:szCs w:val="24"/>
          <w:lang w:val="es-ES"/>
        </w:rPr>
        <w:t xml:space="preserve"> es</w:t>
      </w:r>
      <w:r w:rsidR="00396067" w:rsidRPr="00B22CA9">
        <w:rPr>
          <w:rFonts w:ascii="Times New Roman" w:hAnsi="Times New Roman" w:cs="Times New Roman"/>
          <w:sz w:val="24"/>
          <w:szCs w:val="24"/>
          <w:lang w:val="es-ES"/>
        </w:rPr>
        <w:t xml:space="preserve"> insignificante</w:t>
      </w:r>
      <w:r w:rsidR="00716A09" w:rsidRPr="00B22CA9">
        <w:rPr>
          <w:rFonts w:ascii="Times New Roman" w:hAnsi="Times New Roman" w:cs="Times New Roman"/>
          <w:sz w:val="24"/>
          <w:szCs w:val="24"/>
          <w:lang w:val="es-ES"/>
        </w:rPr>
        <w:t>, en especial</w:t>
      </w:r>
      <w:r w:rsidR="00396067" w:rsidRPr="00B22CA9">
        <w:rPr>
          <w:rFonts w:ascii="Times New Roman" w:hAnsi="Times New Roman" w:cs="Times New Roman"/>
          <w:sz w:val="24"/>
          <w:szCs w:val="24"/>
          <w:lang w:val="es-ES"/>
        </w:rPr>
        <w:t xml:space="preserve"> s</w:t>
      </w:r>
      <w:r w:rsidR="00CD5CCA" w:rsidRPr="00B22CA9">
        <w:rPr>
          <w:rFonts w:ascii="Times New Roman" w:hAnsi="Times New Roman" w:cs="Times New Roman"/>
          <w:sz w:val="24"/>
          <w:szCs w:val="24"/>
          <w:lang w:val="es-ES"/>
        </w:rPr>
        <w:t>i se compara con la acumulada</w:t>
      </w:r>
      <w:r w:rsidR="00716A09" w:rsidRPr="00B22CA9">
        <w:rPr>
          <w:rFonts w:ascii="Times New Roman" w:hAnsi="Times New Roman" w:cs="Times New Roman"/>
          <w:sz w:val="24"/>
          <w:szCs w:val="24"/>
          <w:lang w:val="es-ES"/>
        </w:rPr>
        <w:t xml:space="preserve"> gracias a las remisiones prejudiciales</w:t>
      </w:r>
      <w:r w:rsidR="00396067" w:rsidRPr="00B22CA9">
        <w:rPr>
          <w:rFonts w:ascii="Times New Roman" w:hAnsi="Times New Roman" w:cs="Times New Roman"/>
          <w:sz w:val="24"/>
          <w:szCs w:val="24"/>
          <w:lang w:val="es-ES"/>
        </w:rPr>
        <w:t xml:space="preserve">. </w:t>
      </w:r>
      <w:r w:rsidR="007C5904" w:rsidRPr="00B22CA9">
        <w:rPr>
          <w:rFonts w:ascii="Times New Roman" w:hAnsi="Times New Roman" w:cs="Times New Roman"/>
          <w:sz w:val="24"/>
          <w:szCs w:val="24"/>
          <w:lang w:val="es-ES"/>
        </w:rPr>
        <w:lastRenderedPageBreak/>
        <w:t>La naturaleza del procedimiento y su estructura formal será, por tanto, el primer aspecto en el que indagar</w:t>
      </w:r>
      <w:r w:rsidR="00716A09" w:rsidRPr="00B22CA9">
        <w:rPr>
          <w:rFonts w:ascii="Times New Roman" w:hAnsi="Times New Roman" w:cs="Times New Roman"/>
          <w:sz w:val="24"/>
          <w:szCs w:val="24"/>
          <w:lang w:val="es-ES"/>
        </w:rPr>
        <w:t xml:space="preserve"> (II). El objetivo de esa indagación será prefigurar, en un análisis abstracto, cómo la disposición del procedimiento ayuda o entorpece la protección de los derechos fundamentales</w:t>
      </w:r>
      <w:r w:rsidR="00396067" w:rsidRPr="00B22CA9">
        <w:rPr>
          <w:rFonts w:ascii="Times New Roman" w:hAnsi="Times New Roman" w:cs="Times New Roman"/>
          <w:sz w:val="24"/>
          <w:szCs w:val="24"/>
          <w:lang w:val="es-ES"/>
        </w:rPr>
        <w:t xml:space="preserve"> (II</w:t>
      </w:r>
      <w:r w:rsidR="00716A09" w:rsidRPr="00B22CA9">
        <w:rPr>
          <w:rFonts w:ascii="Times New Roman" w:hAnsi="Times New Roman" w:cs="Times New Roman"/>
          <w:sz w:val="24"/>
          <w:szCs w:val="24"/>
          <w:lang w:val="es-ES"/>
        </w:rPr>
        <w:t>I</w:t>
      </w:r>
      <w:r w:rsidR="00396067" w:rsidRPr="00B22CA9">
        <w:rPr>
          <w:rFonts w:ascii="Times New Roman" w:hAnsi="Times New Roman" w:cs="Times New Roman"/>
          <w:sz w:val="24"/>
          <w:szCs w:val="24"/>
          <w:lang w:val="es-ES"/>
        </w:rPr>
        <w:t>)</w:t>
      </w:r>
      <w:r w:rsidR="007C5904" w:rsidRPr="00B22CA9">
        <w:rPr>
          <w:rFonts w:ascii="Times New Roman" w:hAnsi="Times New Roman" w:cs="Times New Roman"/>
          <w:sz w:val="24"/>
          <w:szCs w:val="24"/>
          <w:lang w:val="es-ES"/>
        </w:rPr>
        <w:t>.</w:t>
      </w:r>
      <w:r w:rsidR="00396067" w:rsidRPr="00B22CA9">
        <w:rPr>
          <w:rFonts w:ascii="Times New Roman" w:hAnsi="Times New Roman" w:cs="Times New Roman"/>
          <w:sz w:val="24"/>
          <w:szCs w:val="24"/>
          <w:lang w:val="es-ES"/>
        </w:rPr>
        <w:t xml:space="preserve"> </w:t>
      </w:r>
      <w:r w:rsidR="00716A09" w:rsidRPr="00B22CA9">
        <w:rPr>
          <w:rFonts w:ascii="Times New Roman" w:hAnsi="Times New Roman" w:cs="Times New Roman"/>
          <w:sz w:val="24"/>
          <w:szCs w:val="24"/>
          <w:lang w:val="es-ES"/>
        </w:rPr>
        <w:t xml:space="preserve">Esas averiguaciones formales darán luego </w:t>
      </w:r>
      <w:r w:rsidR="00396067" w:rsidRPr="00B22CA9">
        <w:rPr>
          <w:rFonts w:ascii="Times New Roman" w:hAnsi="Times New Roman" w:cs="Times New Roman"/>
          <w:sz w:val="24"/>
          <w:szCs w:val="24"/>
          <w:lang w:val="es-ES"/>
        </w:rPr>
        <w:t xml:space="preserve">paso al análisis empírico (IV), antes de finalizar con unas breves conclusiones (V). </w:t>
      </w:r>
    </w:p>
    <w:p w:rsidR="00A7590D" w:rsidRPr="00B22CA9" w:rsidRDefault="00A7590D" w:rsidP="007F11DF">
      <w:pPr>
        <w:spacing w:line="240" w:lineRule="auto"/>
        <w:rPr>
          <w:rFonts w:ascii="Times New Roman" w:hAnsi="Times New Roman" w:cs="Times New Roman"/>
          <w:sz w:val="24"/>
          <w:szCs w:val="24"/>
          <w:lang w:val="es-ES"/>
        </w:rPr>
      </w:pPr>
    </w:p>
    <w:p w:rsidR="00BD08BA" w:rsidRPr="00B22CA9" w:rsidRDefault="00D50BCA" w:rsidP="007F11DF">
      <w:pPr>
        <w:spacing w:line="240" w:lineRule="auto"/>
        <w:jc w:val="both"/>
        <w:rPr>
          <w:rFonts w:ascii="Times New Roman" w:hAnsi="Times New Roman" w:cs="Times New Roman"/>
          <w:b/>
          <w:bCs/>
          <w:sz w:val="24"/>
          <w:szCs w:val="24"/>
          <w:lang w:val="es-ES"/>
        </w:rPr>
      </w:pPr>
      <w:r w:rsidRPr="00B22CA9">
        <w:rPr>
          <w:rFonts w:ascii="Times New Roman" w:hAnsi="Times New Roman" w:cs="Times New Roman"/>
          <w:b/>
          <w:bCs/>
          <w:sz w:val="24"/>
          <w:szCs w:val="24"/>
          <w:lang w:val="es-ES"/>
        </w:rPr>
        <w:t>II</w:t>
      </w:r>
      <w:r w:rsidR="00C873BC" w:rsidRPr="00B22CA9">
        <w:rPr>
          <w:rFonts w:ascii="Times New Roman" w:hAnsi="Times New Roman" w:cs="Times New Roman"/>
          <w:b/>
          <w:bCs/>
          <w:sz w:val="24"/>
          <w:szCs w:val="24"/>
          <w:lang w:val="es-ES"/>
        </w:rPr>
        <w:t xml:space="preserve">. </w:t>
      </w:r>
      <w:r w:rsidR="00427A50" w:rsidRPr="00B22CA9">
        <w:rPr>
          <w:rFonts w:ascii="Times New Roman" w:hAnsi="Times New Roman" w:cs="Times New Roman"/>
          <w:b/>
          <w:bCs/>
          <w:sz w:val="24"/>
          <w:szCs w:val="24"/>
          <w:lang w:val="es-ES"/>
        </w:rPr>
        <w:t xml:space="preserve">SOBRE EL PROCEDIMIENTO POR INCUMPLIMIENTO Y SU DIMENSIÓN CONSTITUCIONAL </w:t>
      </w:r>
    </w:p>
    <w:p w:rsidR="001E35AB" w:rsidRPr="00B22CA9" w:rsidRDefault="00597142" w:rsidP="007F11DF">
      <w:pPr>
        <w:spacing w:line="240" w:lineRule="auto"/>
        <w:jc w:val="both"/>
        <w:rPr>
          <w:rFonts w:ascii="Times New Roman" w:hAnsi="Times New Roman" w:cs="Times New Roman"/>
          <w:sz w:val="24"/>
          <w:szCs w:val="24"/>
          <w:lang w:val="es-ES"/>
        </w:rPr>
      </w:pPr>
      <w:r w:rsidRPr="00B22CA9">
        <w:rPr>
          <w:rFonts w:ascii="Times New Roman" w:hAnsi="Times New Roman" w:cs="Times New Roman"/>
          <w:sz w:val="24"/>
          <w:szCs w:val="24"/>
          <w:lang w:val="es-ES"/>
        </w:rPr>
        <w:tab/>
      </w:r>
      <w:r w:rsidR="001925AA" w:rsidRPr="00B22CA9">
        <w:rPr>
          <w:rFonts w:ascii="Times New Roman" w:hAnsi="Times New Roman" w:cs="Times New Roman"/>
          <w:sz w:val="24"/>
          <w:szCs w:val="24"/>
          <w:lang w:val="es-ES"/>
        </w:rPr>
        <w:t>E</w:t>
      </w:r>
      <w:r w:rsidR="00716A09" w:rsidRPr="00B22CA9">
        <w:rPr>
          <w:rFonts w:ascii="Times New Roman" w:hAnsi="Times New Roman" w:cs="Times New Roman"/>
          <w:sz w:val="24"/>
          <w:szCs w:val="24"/>
          <w:lang w:val="es-ES"/>
        </w:rPr>
        <w:t>ste</w:t>
      </w:r>
      <w:r w:rsidR="001925AA" w:rsidRPr="00B22CA9">
        <w:rPr>
          <w:rFonts w:ascii="Times New Roman" w:hAnsi="Times New Roman" w:cs="Times New Roman"/>
          <w:sz w:val="24"/>
          <w:szCs w:val="24"/>
          <w:lang w:val="es-ES"/>
        </w:rPr>
        <w:t xml:space="preserve"> análisis </w:t>
      </w:r>
      <w:r w:rsidR="00716A09" w:rsidRPr="00B22CA9">
        <w:rPr>
          <w:rFonts w:ascii="Times New Roman" w:hAnsi="Times New Roman" w:cs="Times New Roman"/>
          <w:sz w:val="24"/>
          <w:szCs w:val="24"/>
          <w:lang w:val="es-ES"/>
        </w:rPr>
        <w:t>sobre el</w:t>
      </w:r>
      <w:r w:rsidR="00255E47" w:rsidRPr="00B22CA9">
        <w:rPr>
          <w:rFonts w:ascii="Times New Roman" w:hAnsi="Times New Roman" w:cs="Times New Roman"/>
          <w:sz w:val="24"/>
          <w:szCs w:val="24"/>
          <w:lang w:val="es-ES"/>
        </w:rPr>
        <w:t xml:space="preserve"> recurso por incumplimiento </w:t>
      </w:r>
      <w:r w:rsidR="001925AA" w:rsidRPr="00B22CA9">
        <w:rPr>
          <w:rFonts w:ascii="Times New Roman" w:hAnsi="Times New Roman" w:cs="Times New Roman"/>
          <w:sz w:val="24"/>
          <w:szCs w:val="24"/>
          <w:lang w:val="es-ES"/>
        </w:rPr>
        <w:t>en relación con la protección de</w:t>
      </w:r>
      <w:r w:rsidR="00255E47" w:rsidRPr="00B22CA9">
        <w:rPr>
          <w:rFonts w:ascii="Times New Roman" w:hAnsi="Times New Roman" w:cs="Times New Roman"/>
          <w:sz w:val="24"/>
          <w:szCs w:val="24"/>
          <w:lang w:val="es-ES"/>
        </w:rPr>
        <w:t xml:space="preserve"> los derechos fundamentales </w:t>
      </w:r>
      <w:r w:rsidR="00716A09" w:rsidRPr="00B22CA9">
        <w:rPr>
          <w:rFonts w:ascii="Times New Roman" w:hAnsi="Times New Roman" w:cs="Times New Roman"/>
          <w:sz w:val="24"/>
          <w:szCs w:val="24"/>
          <w:lang w:val="es-ES"/>
        </w:rPr>
        <w:t>comienza con</w:t>
      </w:r>
      <w:r w:rsidR="00EB2A23" w:rsidRPr="00B22CA9">
        <w:rPr>
          <w:rFonts w:ascii="Times New Roman" w:hAnsi="Times New Roman" w:cs="Times New Roman"/>
          <w:sz w:val="24"/>
          <w:szCs w:val="24"/>
          <w:lang w:val="es-ES"/>
        </w:rPr>
        <w:t xml:space="preserve"> </w:t>
      </w:r>
      <w:r w:rsidR="001925AA" w:rsidRPr="00B22CA9">
        <w:rPr>
          <w:rFonts w:ascii="Times New Roman" w:hAnsi="Times New Roman" w:cs="Times New Roman"/>
          <w:sz w:val="24"/>
          <w:szCs w:val="24"/>
          <w:lang w:val="es-ES"/>
        </w:rPr>
        <w:t>un recorrido por</w:t>
      </w:r>
      <w:r w:rsidR="00474D8C" w:rsidRPr="00B22CA9">
        <w:rPr>
          <w:rFonts w:ascii="Times New Roman" w:hAnsi="Times New Roman" w:cs="Times New Roman"/>
          <w:sz w:val="24"/>
          <w:szCs w:val="24"/>
          <w:lang w:val="es-ES"/>
        </w:rPr>
        <w:t xml:space="preserve"> algunos</w:t>
      </w:r>
      <w:r w:rsidR="007569D1" w:rsidRPr="00B22CA9">
        <w:rPr>
          <w:rFonts w:ascii="Times New Roman" w:hAnsi="Times New Roman" w:cs="Times New Roman"/>
          <w:sz w:val="24"/>
          <w:szCs w:val="24"/>
          <w:lang w:val="es-ES"/>
        </w:rPr>
        <w:t xml:space="preserve"> </w:t>
      </w:r>
      <w:r w:rsidR="00255E47" w:rsidRPr="00B22CA9">
        <w:rPr>
          <w:rFonts w:ascii="Times New Roman" w:hAnsi="Times New Roman" w:cs="Times New Roman"/>
          <w:sz w:val="24"/>
          <w:szCs w:val="24"/>
          <w:lang w:val="es-ES"/>
        </w:rPr>
        <w:t>aspectos de</w:t>
      </w:r>
      <w:r w:rsidRPr="00B22CA9">
        <w:rPr>
          <w:rFonts w:ascii="Times New Roman" w:hAnsi="Times New Roman" w:cs="Times New Roman"/>
          <w:sz w:val="24"/>
          <w:szCs w:val="24"/>
          <w:lang w:val="es-ES"/>
        </w:rPr>
        <w:t>l procedimiento</w:t>
      </w:r>
      <w:r w:rsidR="00716A09" w:rsidRPr="00B22CA9">
        <w:rPr>
          <w:rFonts w:ascii="Times New Roman" w:hAnsi="Times New Roman" w:cs="Times New Roman"/>
          <w:sz w:val="24"/>
          <w:szCs w:val="24"/>
          <w:lang w:val="es-ES"/>
        </w:rPr>
        <w:t xml:space="preserve"> tras un intento de definir</w:t>
      </w:r>
      <w:r w:rsidR="001925AA" w:rsidRPr="00B22CA9">
        <w:rPr>
          <w:rFonts w:ascii="Times New Roman" w:hAnsi="Times New Roman" w:cs="Times New Roman"/>
          <w:sz w:val="24"/>
          <w:szCs w:val="24"/>
          <w:lang w:val="es-ES"/>
        </w:rPr>
        <w:t xml:space="preserve"> </w:t>
      </w:r>
      <w:r w:rsidR="005D6F2D" w:rsidRPr="00B22CA9">
        <w:rPr>
          <w:rFonts w:ascii="Times New Roman" w:hAnsi="Times New Roman" w:cs="Times New Roman"/>
          <w:sz w:val="24"/>
          <w:szCs w:val="24"/>
          <w:lang w:val="es-ES"/>
        </w:rPr>
        <w:t xml:space="preserve">su </w:t>
      </w:r>
      <w:r w:rsidR="001925AA" w:rsidRPr="00B22CA9">
        <w:rPr>
          <w:rFonts w:ascii="Times New Roman" w:hAnsi="Times New Roman" w:cs="Times New Roman"/>
          <w:sz w:val="24"/>
          <w:szCs w:val="24"/>
          <w:lang w:val="es-ES"/>
        </w:rPr>
        <w:t xml:space="preserve">peculiar </w:t>
      </w:r>
      <w:r w:rsidR="001E35AB" w:rsidRPr="00B22CA9">
        <w:rPr>
          <w:rFonts w:ascii="Times New Roman" w:hAnsi="Times New Roman" w:cs="Times New Roman"/>
          <w:sz w:val="24"/>
          <w:szCs w:val="24"/>
          <w:lang w:val="es-ES"/>
        </w:rPr>
        <w:t>naturaleza</w:t>
      </w:r>
      <w:r w:rsidR="00716A09" w:rsidRPr="00B22CA9">
        <w:rPr>
          <w:rFonts w:ascii="Times New Roman" w:hAnsi="Times New Roman" w:cs="Times New Roman"/>
          <w:sz w:val="24"/>
          <w:szCs w:val="24"/>
          <w:lang w:val="es-ES"/>
        </w:rPr>
        <w:t>. E</w:t>
      </w:r>
      <w:r w:rsidR="005D6F2D" w:rsidRPr="00B22CA9">
        <w:rPr>
          <w:rFonts w:ascii="Times New Roman" w:hAnsi="Times New Roman" w:cs="Times New Roman"/>
          <w:sz w:val="24"/>
          <w:szCs w:val="24"/>
          <w:lang w:val="es-ES"/>
        </w:rPr>
        <w:t xml:space="preserve">n tanto </w:t>
      </w:r>
      <w:r w:rsidR="001E35AB" w:rsidRPr="00B22CA9">
        <w:rPr>
          <w:rFonts w:ascii="Times New Roman" w:hAnsi="Times New Roman" w:cs="Times New Roman"/>
          <w:sz w:val="24"/>
          <w:szCs w:val="24"/>
          <w:lang w:val="es-ES"/>
        </w:rPr>
        <w:t>herramienta</w:t>
      </w:r>
      <w:r w:rsidR="00844EB4" w:rsidRPr="00B22CA9">
        <w:rPr>
          <w:rFonts w:ascii="Times New Roman" w:hAnsi="Times New Roman" w:cs="Times New Roman"/>
          <w:sz w:val="24"/>
          <w:szCs w:val="24"/>
          <w:lang w:val="es-ES"/>
        </w:rPr>
        <w:t xml:space="preserve"> de aplicación forzosa </w:t>
      </w:r>
      <w:r w:rsidR="00405469" w:rsidRPr="00B22CA9">
        <w:rPr>
          <w:rFonts w:ascii="Times New Roman" w:hAnsi="Times New Roman" w:cs="Times New Roman"/>
          <w:sz w:val="24"/>
          <w:szCs w:val="24"/>
          <w:lang w:val="es-ES"/>
        </w:rPr>
        <w:t xml:space="preserve">del </w:t>
      </w:r>
      <w:r w:rsidR="00CA4FC8" w:rsidRPr="00B22CA9">
        <w:rPr>
          <w:rFonts w:ascii="Times New Roman" w:hAnsi="Times New Roman" w:cs="Times New Roman"/>
          <w:sz w:val="24"/>
          <w:szCs w:val="24"/>
          <w:lang w:val="es-ES"/>
        </w:rPr>
        <w:t>d</w:t>
      </w:r>
      <w:r w:rsidR="00405469" w:rsidRPr="00B22CA9">
        <w:rPr>
          <w:rFonts w:ascii="Times New Roman" w:hAnsi="Times New Roman" w:cs="Times New Roman"/>
          <w:sz w:val="24"/>
          <w:szCs w:val="24"/>
          <w:lang w:val="es-ES"/>
        </w:rPr>
        <w:t>erecho de la Unión</w:t>
      </w:r>
      <w:r w:rsidR="00716A09" w:rsidRPr="00B22CA9">
        <w:rPr>
          <w:rFonts w:ascii="Times New Roman" w:hAnsi="Times New Roman" w:cs="Times New Roman"/>
          <w:sz w:val="24"/>
          <w:szCs w:val="24"/>
          <w:lang w:val="es-ES"/>
        </w:rPr>
        <w:t>, el incumplimiento se encuentra</w:t>
      </w:r>
      <w:r w:rsidR="001925AA" w:rsidRPr="00B22CA9">
        <w:rPr>
          <w:rFonts w:ascii="Times New Roman" w:hAnsi="Times New Roman" w:cs="Times New Roman"/>
          <w:sz w:val="24"/>
          <w:szCs w:val="24"/>
          <w:lang w:val="es-ES"/>
        </w:rPr>
        <w:t xml:space="preserve"> en</w:t>
      </w:r>
      <w:r w:rsidR="001E35AB" w:rsidRPr="00B22CA9">
        <w:rPr>
          <w:rFonts w:ascii="Times New Roman" w:hAnsi="Times New Roman" w:cs="Times New Roman"/>
          <w:sz w:val="24"/>
          <w:szCs w:val="24"/>
          <w:lang w:val="es-ES"/>
        </w:rPr>
        <w:t xml:space="preserve"> algú</w:t>
      </w:r>
      <w:r w:rsidR="00564A1E" w:rsidRPr="00B22CA9">
        <w:rPr>
          <w:rFonts w:ascii="Times New Roman" w:hAnsi="Times New Roman" w:cs="Times New Roman"/>
          <w:sz w:val="24"/>
          <w:szCs w:val="24"/>
          <w:lang w:val="es-ES"/>
        </w:rPr>
        <w:t xml:space="preserve">n punto intermedio </w:t>
      </w:r>
      <w:r w:rsidR="001925AA" w:rsidRPr="00B22CA9">
        <w:rPr>
          <w:rFonts w:ascii="Times New Roman" w:hAnsi="Times New Roman" w:cs="Times New Roman"/>
          <w:sz w:val="24"/>
          <w:szCs w:val="24"/>
          <w:lang w:val="es-ES"/>
        </w:rPr>
        <w:t>entre la ejecución</w:t>
      </w:r>
      <w:r w:rsidR="001E35AB" w:rsidRPr="00B22CA9">
        <w:rPr>
          <w:rFonts w:ascii="Times New Roman" w:hAnsi="Times New Roman" w:cs="Times New Roman"/>
          <w:sz w:val="24"/>
          <w:szCs w:val="24"/>
          <w:lang w:val="es-ES"/>
        </w:rPr>
        <w:t xml:space="preserve"> federal y la</w:t>
      </w:r>
      <w:r w:rsidR="001925AA" w:rsidRPr="00B22CA9">
        <w:rPr>
          <w:rFonts w:ascii="Times New Roman" w:hAnsi="Times New Roman" w:cs="Times New Roman"/>
          <w:sz w:val="24"/>
          <w:szCs w:val="24"/>
          <w:lang w:val="es-ES"/>
        </w:rPr>
        <w:t xml:space="preserve"> exigencia de</w:t>
      </w:r>
      <w:r w:rsidR="001E35AB" w:rsidRPr="00B22CA9">
        <w:rPr>
          <w:rFonts w:ascii="Times New Roman" w:hAnsi="Times New Roman" w:cs="Times New Roman"/>
          <w:sz w:val="24"/>
          <w:szCs w:val="24"/>
          <w:lang w:val="es-ES"/>
        </w:rPr>
        <w:t xml:space="preserve"> responsabilidad internacional</w:t>
      </w:r>
      <w:r w:rsidR="001925AA" w:rsidRPr="00B22CA9">
        <w:rPr>
          <w:rFonts w:ascii="Times New Roman" w:hAnsi="Times New Roman" w:cs="Times New Roman"/>
          <w:sz w:val="24"/>
          <w:szCs w:val="24"/>
          <w:lang w:val="es-ES"/>
        </w:rPr>
        <w:t xml:space="preserve">. </w:t>
      </w:r>
      <w:r w:rsidR="00716A09" w:rsidRPr="00B22CA9">
        <w:rPr>
          <w:rFonts w:ascii="Times New Roman" w:hAnsi="Times New Roman" w:cs="Times New Roman"/>
          <w:sz w:val="24"/>
          <w:szCs w:val="24"/>
          <w:lang w:val="es-ES"/>
        </w:rPr>
        <w:t>La hipótesis de su</w:t>
      </w:r>
      <w:r w:rsidR="001925AA" w:rsidRPr="00B22CA9">
        <w:rPr>
          <w:rFonts w:ascii="Times New Roman" w:hAnsi="Times New Roman" w:cs="Times New Roman"/>
          <w:sz w:val="24"/>
          <w:szCs w:val="24"/>
          <w:lang w:val="es-ES"/>
        </w:rPr>
        <w:t xml:space="preserve"> relación con</w:t>
      </w:r>
      <w:r w:rsidR="00474D8C" w:rsidRPr="00B22CA9">
        <w:rPr>
          <w:rFonts w:ascii="Times New Roman" w:hAnsi="Times New Roman" w:cs="Times New Roman"/>
          <w:sz w:val="24"/>
          <w:szCs w:val="24"/>
          <w:lang w:val="es-ES"/>
        </w:rPr>
        <w:t xml:space="preserve"> los derechos fundamentales añade un interrogante sobre la dimensión constitucional de su naturaleza</w:t>
      </w:r>
      <w:r w:rsidR="00204C85" w:rsidRPr="00B22CA9">
        <w:rPr>
          <w:rStyle w:val="Refdenotaalpie"/>
          <w:rFonts w:ascii="Times New Roman" w:hAnsi="Times New Roman" w:cs="Times New Roman"/>
          <w:sz w:val="24"/>
          <w:szCs w:val="24"/>
          <w:lang w:val="es-ES"/>
        </w:rPr>
        <w:footnoteReference w:id="17"/>
      </w:r>
      <w:r w:rsidRPr="00B22CA9">
        <w:rPr>
          <w:rFonts w:ascii="Times New Roman" w:hAnsi="Times New Roman" w:cs="Times New Roman"/>
          <w:sz w:val="24"/>
          <w:szCs w:val="24"/>
          <w:lang w:val="es-ES"/>
        </w:rPr>
        <w:t>.</w:t>
      </w:r>
      <w:r w:rsidR="00474D8C" w:rsidRPr="00B22CA9">
        <w:rPr>
          <w:rFonts w:ascii="Times New Roman" w:hAnsi="Times New Roman" w:cs="Times New Roman"/>
          <w:sz w:val="24"/>
          <w:szCs w:val="24"/>
          <w:lang w:val="es-ES"/>
        </w:rPr>
        <w:t xml:space="preserve"> </w:t>
      </w:r>
      <w:r w:rsidR="00D8257F" w:rsidRPr="00B22CA9">
        <w:rPr>
          <w:rFonts w:ascii="Times New Roman" w:hAnsi="Times New Roman" w:cs="Times New Roman"/>
          <w:sz w:val="24"/>
          <w:szCs w:val="24"/>
          <w:lang w:val="es-ES"/>
        </w:rPr>
        <w:t xml:space="preserve">El hecho de que </w:t>
      </w:r>
      <w:r w:rsidR="001E35AB" w:rsidRPr="00B22CA9">
        <w:rPr>
          <w:rFonts w:ascii="Times New Roman" w:hAnsi="Times New Roman" w:cs="Times New Roman"/>
          <w:sz w:val="24"/>
          <w:szCs w:val="24"/>
          <w:lang w:val="es-ES"/>
        </w:rPr>
        <w:t>la Comisión</w:t>
      </w:r>
      <w:r w:rsidR="00474D8C" w:rsidRPr="00B22CA9">
        <w:rPr>
          <w:rFonts w:ascii="Times New Roman" w:hAnsi="Times New Roman" w:cs="Times New Roman"/>
          <w:sz w:val="24"/>
          <w:szCs w:val="24"/>
          <w:lang w:val="es-ES"/>
        </w:rPr>
        <w:t xml:space="preserve"> </w:t>
      </w:r>
      <w:r w:rsidR="00D8257F" w:rsidRPr="00B22CA9">
        <w:rPr>
          <w:rFonts w:ascii="Times New Roman" w:hAnsi="Times New Roman" w:cs="Times New Roman"/>
          <w:sz w:val="24"/>
          <w:szCs w:val="24"/>
          <w:lang w:val="es-ES"/>
        </w:rPr>
        <w:t>sea</w:t>
      </w:r>
      <w:r w:rsidR="00716A09" w:rsidRPr="00B22CA9">
        <w:rPr>
          <w:rFonts w:ascii="Times New Roman" w:hAnsi="Times New Roman" w:cs="Times New Roman"/>
          <w:sz w:val="24"/>
          <w:szCs w:val="24"/>
          <w:lang w:val="es-ES"/>
        </w:rPr>
        <w:t>,</w:t>
      </w:r>
      <w:r w:rsidR="00D8257F" w:rsidRPr="00B22CA9">
        <w:rPr>
          <w:rFonts w:ascii="Times New Roman" w:hAnsi="Times New Roman" w:cs="Times New Roman"/>
          <w:sz w:val="24"/>
          <w:szCs w:val="24"/>
          <w:lang w:val="es-ES"/>
        </w:rPr>
        <w:t xml:space="preserve"> en la práctica</w:t>
      </w:r>
      <w:r w:rsidR="00716A09" w:rsidRPr="00B22CA9">
        <w:rPr>
          <w:rFonts w:ascii="Times New Roman" w:hAnsi="Times New Roman" w:cs="Times New Roman"/>
          <w:sz w:val="24"/>
          <w:szCs w:val="24"/>
          <w:lang w:val="es-ES"/>
        </w:rPr>
        <w:t>,</w:t>
      </w:r>
      <w:r w:rsidR="00D8257F" w:rsidRPr="00B22CA9">
        <w:rPr>
          <w:rFonts w:ascii="Times New Roman" w:hAnsi="Times New Roman" w:cs="Times New Roman"/>
          <w:sz w:val="24"/>
          <w:szCs w:val="24"/>
          <w:lang w:val="es-ES"/>
        </w:rPr>
        <w:t xml:space="preserve"> la </w:t>
      </w:r>
      <w:r w:rsidR="00474D8C" w:rsidRPr="00B22CA9">
        <w:rPr>
          <w:rFonts w:ascii="Times New Roman" w:hAnsi="Times New Roman" w:cs="Times New Roman"/>
          <w:sz w:val="24"/>
          <w:szCs w:val="24"/>
          <w:lang w:val="es-ES"/>
        </w:rPr>
        <w:t>exclusiva impuls</w:t>
      </w:r>
      <w:r w:rsidR="00D8257F" w:rsidRPr="00B22CA9">
        <w:rPr>
          <w:rFonts w:ascii="Times New Roman" w:hAnsi="Times New Roman" w:cs="Times New Roman"/>
          <w:sz w:val="24"/>
          <w:szCs w:val="24"/>
          <w:lang w:val="es-ES"/>
        </w:rPr>
        <w:t>ora del procedimiento por incumplimiento</w:t>
      </w:r>
      <w:r w:rsidR="001E48D7" w:rsidRPr="00B22CA9">
        <w:rPr>
          <w:rStyle w:val="Refdenotaalpie"/>
          <w:rFonts w:ascii="Times New Roman" w:hAnsi="Times New Roman" w:cs="Times New Roman"/>
          <w:sz w:val="24"/>
          <w:szCs w:val="24"/>
          <w:lang w:val="es-ES"/>
        </w:rPr>
        <w:footnoteReference w:id="18"/>
      </w:r>
      <w:r w:rsidR="00D8257F" w:rsidRPr="00B22CA9">
        <w:rPr>
          <w:rFonts w:ascii="Times New Roman" w:hAnsi="Times New Roman" w:cs="Times New Roman"/>
          <w:sz w:val="24"/>
          <w:szCs w:val="24"/>
          <w:lang w:val="es-ES"/>
        </w:rPr>
        <w:t xml:space="preserve"> hace </w:t>
      </w:r>
      <w:r w:rsidR="004A31B4" w:rsidRPr="00B22CA9">
        <w:rPr>
          <w:rFonts w:ascii="Times New Roman" w:hAnsi="Times New Roman" w:cs="Times New Roman"/>
          <w:sz w:val="24"/>
          <w:szCs w:val="24"/>
          <w:lang w:val="es-ES"/>
        </w:rPr>
        <w:t>que</w:t>
      </w:r>
      <w:r w:rsidR="00D8257F" w:rsidRPr="00B22CA9">
        <w:rPr>
          <w:rFonts w:ascii="Times New Roman" w:hAnsi="Times New Roman" w:cs="Times New Roman"/>
          <w:sz w:val="24"/>
          <w:szCs w:val="24"/>
          <w:lang w:val="es-ES"/>
        </w:rPr>
        <w:t xml:space="preserve"> la atención a</w:t>
      </w:r>
      <w:r w:rsidR="004A31B4" w:rsidRPr="00B22CA9">
        <w:rPr>
          <w:rFonts w:ascii="Times New Roman" w:hAnsi="Times New Roman" w:cs="Times New Roman"/>
          <w:sz w:val="24"/>
          <w:szCs w:val="24"/>
          <w:lang w:val="es-ES"/>
        </w:rPr>
        <w:t xml:space="preserve"> </w:t>
      </w:r>
      <w:r w:rsidR="001E35AB" w:rsidRPr="00B22CA9">
        <w:rPr>
          <w:rFonts w:ascii="Times New Roman" w:hAnsi="Times New Roman" w:cs="Times New Roman"/>
          <w:sz w:val="24"/>
          <w:szCs w:val="24"/>
          <w:lang w:val="es-ES"/>
        </w:rPr>
        <w:t xml:space="preserve">los factores políticos e institucionales </w:t>
      </w:r>
      <w:r w:rsidR="00D8257F" w:rsidRPr="00B22CA9">
        <w:rPr>
          <w:rFonts w:ascii="Times New Roman" w:hAnsi="Times New Roman" w:cs="Times New Roman"/>
          <w:sz w:val="24"/>
          <w:szCs w:val="24"/>
          <w:lang w:val="es-ES"/>
        </w:rPr>
        <w:t xml:space="preserve">sea </w:t>
      </w:r>
      <w:r w:rsidR="001925AA" w:rsidRPr="00B22CA9">
        <w:rPr>
          <w:rFonts w:ascii="Times New Roman" w:hAnsi="Times New Roman" w:cs="Times New Roman"/>
          <w:sz w:val="24"/>
          <w:szCs w:val="24"/>
          <w:lang w:val="es-ES"/>
        </w:rPr>
        <w:t>imprescindible</w:t>
      </w:r>
      <w:r w:rsidR="001E35AB" w:rsidRPr="00B22CA9">
        <w:rPr>
          <w:rFonts w:ascii="Times New Roman" w:hAnsi="Times New Roman" w:cs="Times New Roman"/>
          <w:sz w:val="24"/>
          <w:szCs w:val="24"/>
          <w:lang w:val="es-ES"/>
        </w:rPr>
        <w:t xml:space="preserve"> para comprender su funcionamiento</w:t>
      </w:r>
      <w:r w:rsidR="007569D1" w:rsidRPr="00B22CA9">
        <w:rPr>
          <w:rFonts w:ascii="Times New Roman" w:hAnsi="Times New Roman" w:cs="Times New Roman"/>
          <w:sz w:val="24"/>
          <w:szCs w:val="24"/>
          <w:lang w:val="es-ES"/>
        </w:rPr>
        <w:t xml:space="preserve"> y</w:t>
      </w:r>
      <w:r w:rsidR="00474D8C" w:rsidRPr="00B22CA9">
        <w:rPr>
          <w:rFonts w:ascii="Times New Roman" w:hAnsi="Times New Roman" w:cs="Times New Roman"/>
          <w:sz w:val="24"/>
          <w:szCs w:val="24"/>
          <w:lang w:val="es-ES"/>
        </w:rPr>
        <w:t xml:space="preserve"> sus</w:t>
      </w:r>
      <w:r w:rsidR="00CB192A" w:rsidRPr="00B22CA9">
        <w:rPr>
          <w:rFonts w:ascii="Times New Roman" w:hAnsi="Times New Roman" w:cs="Times New Roman"/>
          <w:sz w:val="24"/>
          <w:szCs w:val="24"/>
          <w:lang w:val="es-ES"/>
        </w:rPr>
        <w:t xml:space="preserve"> potencialidades</w:t>
      </w:r>
      <w:r w:rsidR="00A47E60" w:rsidRPr="00B22CA9">
        <w:rPr>
          <w:rFonts w:ascii="Times New Roman" w:hAnsi="Times New Roman" w:cs="Times New Roman"/>
          <w:sz w:val="24"/>
          <w:szCs w:val="24"/>
          <w:lang w:val="es-ES"/>
        </w:rPr>
        <w:t>.</w:t>
      </w:r>
      <w:r w:rsidR="00716A09" w:rsidRPr="00B22CA9">
        <w:rPr>
          <w:rFonts w:ascii="Times New Roman" w:hAnsi="Times New Roman" w:cs="Times New Roman"/>
          <w:sz w:val="24"/>
          <w:szCs w:val="24"/>
          <w:lang w:val="es-ES"/>
        </w:rPr>
        <w:t xml:space="preserve"> Todos esos aspectos serán centrales, y aparecerán entrelazados, en la exposición que sigue.</w:t>
      </w:r>
      <w:r w:rsidR="00C53BE2" w:rsidRPr="00B22CA9">
        <w:rPr>
          <w:rFonts w:ascii="Times New Roman" w:hAnsi="Times New Roman" w:cs="Times New Roman"/>
          <w:sz w:val="24"/>
          <w:szCs w:val="24"/>
          <w:lang w:val="es-ES"/>
        </w:rPr>
        <w:t xml:space="preserve"> </w:t>
      </w:r>
    </w:p>
    <w:p w:rsidR="002A2CFC" w:rsidRPr="00B22CA9" w:rsidRDefault="002A2CFC" w:rsidP="00181B6E">
      <w:pPr>
        <w:pStyle w:val="Prrafodelista"/>
        <w:numPr>
          <w:ilvl w:val="0"/>
          <w:numId w:val="4"/>
        </w:numPr>
        <w:spacing w:line="240" w:lineRule="auto"/>
        <w:jc w:val="both"/>
        <w:rPr>
          <w:rFonts w:ascii="Times New Roman" w:hAnsi="Times New Roman" w:cs="Times New Roman"/>
          <w:sz w:val="24"/>
          <w:szCs w:val="24"/>
          <w:lang w:val="es-ES"/>
        </w:rPr>
      </w:pPr>
      <w:r w:rsidRPr="00B22CA9">
        <w:rPr>
          <w:rFonts w:ascii="Times New Roman" w:hAnsi="Times New Roman" w:cs="Times New Roman"/>
          <w:b/>
          <w:sz w:val="24"/>
          <w:szCs w:val="24"/>
          <w:lang w:val="es-ES"/>
        </w:rPr>
        <w:t>La singular naturaleza del recurso por incumplimiento</w:t>
      </w:r>
    </w:p>
    <w:p w:rsidR="00217613" w:rsidRPr="00B22CA9" w:rsidRDefault="00597142" w:rsidP="007F11DF">
      <w:pPr>
        <w:spacing w:line="240" w:lineRule="auto"/>
        <w:ind w:firstLine="720"/>
        <w:jc w:val="both"/>
        <w:rPr>
          <w:rFonts w:ascii="Times New Roman" w:hAnsi="Times New Roman" w:cs="Times New Roman"/>
          <w:sz w:val="24"/>
          <w:szCs w:val="24"/>
          <w:lang w:val="es-ES"/>
        </w:rPr>
      </w:pPr>
      <w:r w:rsidRPr="00B22CA9">
        <w:rPr>
          <w:rFonts w:ascii="Times New Roman" w:hAnsi="Times New Roman" w:cs="Times New Roman"/>
          <w:sz w:val="24"/>
          <w:szCs w:val="24"/>
          <w:lang w:val="es-ES"/>
        </w:rPr>
        <w:t>E</w:t>
      </w:r>
      <w:r w:rsidR="00C53BE2" w:rsidRPr="00B22CA9">
        <w:rPr>
          <w:rFonts w:ascii="Times New Roman" w:hAnsi="Times New Roman" w:cs="Times New Roman"/>
          <w:sz w:val="24"/>
          <w:szCs w:val="24"/>
          <w:lang w:val="es-ES"/>
        </w:rPr>
        <w:t xml:space="preserve">l recurso por incumplimiento </w:t>
      </w:r>
      <w:r w:rsidR="004866E5" w:rsidRPr="00B22CA9">
        <w:rPr>
          <w:rFonts w:ascii="Times New Roman" w:hAnsi="Times New Roman" w:cs="Times New Roman"/>
          <w:sz w:val="24"/>
          <w:szCs w:val="24"/>
          <w:lang w:val="es-ES"/>
        </w:rPr>
        <w:t xml:space="preserve">del actual artículo 258 TFUE </w:t>
      </w:r>
      <w:r w:rsidR="001925AA" w:rsidRPr="00B22CA9">
        <w:rPr>
          <w:rFonts w:ascii="Times New Roman" w:hAnsi="Times New Roman" w:cs="Times New Roman"/>
          <w:sz w:val="24"/>
          <w:szCs w:val="24"/>
          <w:lang w:val="es-ES"/>
        </w:rPr>
        <w:t>se recogía</w:t>
      </w:r>
      <w:r w:rsidR="00644F99" w:rsidRPr="00B22CA9">
        <w:rPr>
          <w:rFonts w:ascii="Times New Roman" w:hAnsi="Times New Roman" w:cs="Times New Roman"/>
          <w:sz w:val="24"/>
          <w:szCs w:val="24"/>
          <w:lang w:val="es-ES"/>
        </w:rPr>
        <w:t xml:space="preserve"> desde el principio en los Tratados constitutivos. Su objetivo era</w:t>
      </w:r>
      <w:r w:rsidR="00C53BE2" w:rsidRPr="00B22CA9">
        <w:rPr>
          <w:rFonts w:ascii="Times New Roman" w:hAnsi="Times New Roman" w:cs="Times New Roman"/>
          <w:sz w:val="24"/>
          <w:szCs w:val="24"/>
          <w:lang w:val="es-ES"/>
        </w:rPr>
        <w:t xml:space="preserve"> conseguir la efectividad del </w:t>
      </w:r>
      <w:r w:rsidR="00762A21" w:rsidRPr="00B22CA9">
        <w:rPr>
          <w:rFonts w:ascii="Times New Roman" w:hAnsi="Times New Roman" w:cs="Times New Roman"/>
          <w:sz w:val="24"/>
          <w:szCs w:val="24"/>
          <w:lang w:val="es-ES"/>
        </w:rPr>
        <w:t>d</w:t>
      </w:r>
      <w:r w:rsidR="00C53BE2" w:rsidRPr="00B22CA9">
        <w:rPr>
          <w:rFonts w:ascii="Times New Roman" w:hAnsi="Times New Roman" w:cs="Times New Roman"/>
          <w:sz w:val="24"/>
          <w:szCs w:val="24"/>
          <w:lang w:val="es-ES"/>
        </w:rPr>
        <w:t>erecho comunitario</w:t>
      </w:r>
      <w:r w:rsidR="00644F99" w:rsidRPr="00B22CA9">
        <w:rPr>
          <w:rFonts w:ascii="Times New Roman" w:hAnsi="Times New Roman" w:cs="Times New Roman"/>
          <w:sz w:val="24"/>
          <w:szCs w:val="24"/>
          <w:lang w:val="es-ES"/>
        </w:rPr>
        <w:t xml:space="preserve"> en los Estados miembros. Fue un mecanismo</w:t>
      </w:r>
      <w:r w:rsidR="00055E24" w:rsidRPr="00B22CA9">
        <w:rPr>
          <w:rFonts w:ascii="Times New Roman" w:hAnsi="Times New Roman" w:cs="Times New Roman"/>
          <w:sz w:val="24"/>
          <w:szCs w:val="24"/>
          <w:lang w:val="es-ES"/>
        </w:rPr>
        <w:t xml:space="preserve"> único </w:t>
      </w:r>
      <w:r w:rsidR="00564A1E" w:rsidRPr="00B22CA9">
        <w:rPr>
          <w:rFonts w:ascii="Times New Roman" w:hAnsi="Times New Roman" w:cs="Times New Roman"/>
          <w:sz w:val="24"/>
          <w:szCs w:val="24"/>
          <w:lang w:val="es-ES"/>
        </w:rPr>
        <w:t>y novedoso</w:t>
      </w:r>
      <w:r w:rsidR="00055E24" w:rsidRPr="00B22CA9">
        <w:rPr>
          <w:rFonts w:ascii="Times New Roman" w:hAnsi="Times New Roman" w:cs="Times New Roman"/>
          <w:sz w:val="24"/>
          <w:szCs w:val="24"/>
          <w:lang w:val="es-ES"/>
        </w:rPr>
        <w:t xml:space="preserve"> en su clase y momento</w:t>
      </w:r>
      <w:r w:rsidR="00564A1E" w:rsidRPr="00B22CA9">
        <w:rPr>
          <w:rFonts w:ascii="Times New Roman" w:hAnsi="Times New Roman" w:cs="Times New Roman"/>
          <w:sz w:val="24"/>
          <w:szCs w:val="24"/>
          <w:lang w:val="es-ES"/>
        </w:rPr>
        <w:t xml:space="preserve"> </w:t>
      </w:r>
      <w:r w:rsidR="00002DDC" w:rsidRPr="00B22CA9">
        <w:rPr>
          <w:rFonts w:ascii="Times New Roman" w:hAnsi="Times New Roman" w:cs="Times New Roman"/>
          <w:sz w:val="24"/>
          <w:szCs w:val="24"/>
          <w:lang w:val="es-ES"/>
        </w:rPr>
        <w:t>(</w:t>
      </w:r>
      <w:proofErr w:type="spellStart"/>
      <w:r w:rsidR="001E35AB" w:rsidRPr="00B22CA9">
        <w:rPr>
          <w:rFonts w:ascii="Times New Roman" w:hAnsi="Times New Roman" w:cs="Times New Roman"/>
          <w:sz w:val="24"/>
          <w:szCs w:val="24"/>
          <w:lang w:val="es-ES"/>
        </w:rPr>
        <w:t>Prete</w:t>
      </w:r>
      <w:proofErr w:type="spellEnd"/>
      <w:r w:rsidR="001E35AB" w:rsidRPr="00B22CA9">
        <w:rPr>
          <w:rFonts w:ascii="Times New Roman" w:hAnsi="Times New Roman" w:cs="Times New Roman"/>
          <w:sz w:val="24"/>
          <w:szCs w:val="24"/>
          <w:lang w:val="es-ES"/>
        </w:rPr>
        <w:t xml:space="preserve"> y </w:t>
      </w:r>
      <w:proofErr w:type="spellStart"/>
      <w:r w:rsidR="001E35AB" w:rsidRPr="00B22CA9">
        <w:rPr>
          <w:rFonts w:ascii="Times New Roman" w:hAnsi="Times New Roman" w:cs="Times New Roman"/>
          <w:sz w:val="24"/>
          <w:szCs w:val="24"/>
          <w:lang w:val="es-ES"/>
        </w:rPr>
        <w:t>Smulders</w:t>
      </w:r>
      <w:proofErr w:type="spellEnd"/>
      <w:r w:rsidR="001E35AB" w:rsidRPr="00B22CA9">
        <w:rPr>
          <w:rFonts w:ascii="Times New Roman" w:hAnsi="Times New Roman" w:cs="Times New Roman"/>
          <w:sz w:val="24"/>
          <w:szCs w:val="24"/>
          <w:lang w:val="es-ES"/>
        </w:rPr>
        <w:t>, 2010: 9</w:t>
      </w:r>
      <w:r w:rsidR="00002DDC" w:rsidRPr="00B22CA9">
        <w:rPr>
          <w:rFonts w:ascii="Times New Roman" w:hAnsi="Times New Roman" w:cs="Times New Roman"/>
          <w:sz w:val="24"/>
          <w:szCs w:val="24"/>
          <w:lang w:val="es-ES"/>
        </w:rPr>
        <w:t>)</w:t>
      </w:r>
      <w:r w:rsidR="00644F99" w:rsidRPr="00B22CA9">
        <w:rPr>
          <w:rFonts w:ascii="Times New Roman" w:hAnsi="Times New Roman" w:cs="Times New Roman"/>
          <w:sz w:val="24"/>
          <w:szCs w:val="24"/>
          <w:lang w:val="es-ES"/>
        </w:rPr>
        <w:t>, ya que a</w:t>
      </w:r>
      <w:r w:rsidR="00CB192A" w:rsidRPr="00B22CA9">
        <w:rPr>
          <w:rFonts w:ascii="Times New Roman" w:hAnsi="Times New Roman" w:cs="Times New Roman"/>
          <w:sz w:val="24"/>
          <w:szCs w:val="24"/>
          <w:lang w:val="es-ES"/>
        </w:rPr>
        <w:t>tribuir en exclusividad a un órgano judicial supranacional la solución de este tipo de controversias</w:t>
      </w:r>
      <w:r w:rsidR="00644F99" w:rsidRPr="00B22CA9">
        <w:rPr>
          <w:rFonts w:ascii="Times New Roman" w:hAnsi="Times New Roman" w:cs="Times New Roman"/>
          <w:sz w:val="24"/>
          <w:szCs w:val="24"/>
          <w:lang w:val="es-ES"/>
        </w:rPr>
        <w:t>, facultando</w:t>
      </w:r>
      <w:r w:rsidR="00683C2C" w:rsidRPr="00B22CA9">
        <w:rPr>
          <w:rFonts w:ascii="Times New Roman" w:hAnsi="Times New Roman" w:cs="Times New Roman"/>
          <w:sz w:val="24"/>
          <w:szCs w:val="24"/>
          <w:lang w:val="es-ES"/>
        </w:rPr>
        <w:t xml:space="preserve"> a un órgano entre político y técnico</w:t>
      </w:r>
      <w:r w:rsidR="00CB192A" w:rsidRPr="00B22CA9">
        <w:rPr>
          <w:rFonts w:ascii="Times New Roman" w:hAnsi="Times New Roman" w:cs="Times New Roman"/>
          <w:sz w:val="24"/>
          <w:szCs w:val="24"/>
          <w:lang w:val="es-ES"/>
        </w:rPr>
        <w:t xml:space="preserve"> para impulsarlo (</w:t>
      </w:r>
      <w:r w:rsidR="00844EB4" w:rsidRPr="00B22CA9">
        <w:rPr>
          <w:rFonts w:ascii="Times New Roman" w:hAnsi="Times New Roman" w:cs="Times New Roman"/>
          <w:sz w:val="24"/>
          <w:szCs w:val="24"/>
          <w:lang w:val="es-ES"/>
        </w:rPr>
        <w:t>Evans, 1979: 443) (</w:t>
      </w:r>
      <w:proofErr w:type="spellStart"/>
      <w:r w:rsidR="00CB192A" w:rsidRPr="00B22CA9">
        <w:rPr>
          <w:rFonts w:ascii="Times New Roman" w:hAnsi="Times New Roman" w:cs="Times New Roman"/>
          <w:sz w:val="24"/>
          <w:szCs w:val="24"/>
          <w:lang w:val="es-ES"/>
        </w:rPr>
        <w:t>Weiler</w:t>
      </w:r>
      <w:proofErr w:type="spellEnd"/>
      <w:r w:rsidR="00CB192A" w:rsidRPr="00B22CA9">
        <w:rPr>
          <w:rFonts w:ascii="Times New Roman" w:hAnsi="Times New Roman" w:cs="Times New Roman"/>
          <w:sz w:val="24"/>
          <w:szCs w:val="24"/>
          <w:lang w:val="es-ES"/>
        </w:rPr>
        <w:t>, 1991: 2419-2420)</w:t>
      </w:r>
      <w:r w:rsidR="00644F99" w:rsidRPr="00B22CA9">
        <w:rPr>
          <w:rFonts w:ascii="Times New Roman" w:hAnsi="Times New Roman" w:cs="Times New Roman"/>
          <w:sz w:val="24"/>
          <w:szCs w:val="24"/>
          <w:lang w:val="es-ES"/>
        </w:rPr>
        <w:t>,</w:t>
      </w:r>
      <w:r w:rsidR="00844EB4" w:rsidRPr="00B22CA9">
        <w:rPr>
          <w:rFonts w:ascii="Times New Roman" w:hAnsi="Times New Roman" w:cs="Times New Roman"/>
          <w:sz w:val="24"/>
          <w:szCs w:val="24"/>
          <w:lang w:val="es-ES"/>
        </w:rPr>
        <w:t xml:space="preserve"> era</w:t>
      </w:r>
      <w:r w:rsidR="002910AD" w:rsidRPr="00B22CA9">
        <w:rPr>
          <w:rFonts w:ascii="Times New Roman" w:hAnsi="Times New Roman" w:cs="Times New Roman"/>
          <w:sz w:val="24"/>
          <w:szCs w:val="24"/>
          <w:lang w:val="es-ES"/>
        </w:rPr>
        <w:t xml:space="preserve"> una</w:t>
      </w:r>
      <w:r w:rsidR="007E695E" w:rsidRPr="00B22CA9">
        <w:rPr>
          <w:rFonts w:ascii="Times New Roman" w:hAnsi="Times New Roman" w:cs="Times New Roman"/>
          <w:sz w:val="24"/>
          <w:szCs w:val="24"/>
          <w:lang w:val="es-ES"/>
        </w:rPr>
        <w:t xml:space="preserve"> solución</w:t>
      </w:r>
      <w:r w:rsidR="002910AD" w:rsidRPr="00B22CA9">
        <w:rPr>
          <w:rFonts w:ascii="Times New Roman" w:hAnsi="Times New Roman" w:cs="Times New Roman"/>
          <w:sz w:val="24"/>
          <w:szCs w:val="24"/>
          <w:lang w:val="es-ES"/>
        </w:rPr>
        <w:t xml:space="preserve"> </w:t>
      </w:r>
      <w:r w:rsidR="00844EB4" w:rsidRPr="00B22CA9">
        <w:rPr>
          <w:rFonts w:ascii="Times New Roman" w:hAnsi="Times New Roman" w:cs="Times New Roman"/>
          <w:sz w:val="24"/>
          <w:szCs w:val="24"/>
          <w:lang w:val="es-ES"/>
        </w:rPr>
        <w:t>inédit</w:t>
      </w:r>
      <w:r w:rsidR="002910AD" w:rsidRPr="00B22CA9">
        <w:rPr>
          <w:rFonts w:ascii="Times New Roman" w:hAnsi="Times New Roman" w:cs="Times New Roman"/>
          <w:sz w:val="24"/>
          <w:szCs w:val="24"/>
          <w:lang w:val="es-ES"/>
        </w:rPr>
        <w:t>a</w:t>
      </w:r>
      <w:r w:rsidR="00844EB4" w:rsidRPr="00B22CA9">
        <w:rPr>
          <w:rFonts w:ascii="Times New Roman" w:hAnsi="Times New Roman" w:cs="Times New Roman"/>
          <w:sz w:val="24"/>
          <w:szCs w:val="24"/>
          <w:lang w:val="es-ES"/>
        </w:rPr>
        <w:t xml:space="preserve"> en el ámbito de las organizaciones internacional</w:t>
      </w:r>
      <w:r w:rsidR="00683C2C" w:rsidRPr="00B22CA9">
        <w:rPr>
          <w:rFonts w:ascii="Times New Roman" w:hAnsi="Times New Roman" w:cs="Times New Roman"/>
          <w:sz w:val="24"/>
          <w:szCs w:val="24"/>
          <w:lang w:val="es-ES"/>
        </w:rPr>
        <w:t>es</w:t>
      </w:r>
      <w:r w:rsidR="002726A7" w:rsidRPr="00B22CA9">
        <w:rPr>
          <w:rFonts w:ascii="Times New Roman" w:hAnsi="Times New Roman" w:cs="Times New Roman"/>
          <w:sz w:val="24"/>
          <w:szCs w:val="24"/>
          <w:lang w:val="es-ES"/>
        </w:rPr>
        <w:t>. E</w:t>
      </w:r>
      <w:r w:rsidR="00C53BE2" w:rsidRPr="00B22CA9">
        <w:rPr>
          <w:rFonts w:ascii="Times New Roman" w:hAnsi="Times New Roman" w:cs="Times New Roman"/>
          <w:sz w:val="24"/>
          <w:szCs w:val="24"/>
          <w:lang w:val="es-ES"/>
        </w:rPr>
        <w:t xml:space="preserve">n </w:t>
      </w:r>
      <w:r w:rsidR="00342846" w:rsidRPr="00B22CA9">
        <w:rPr>
          <w:rFonts w:ascii="Times New Roman" w:hAnsi="Times New Roman" w:cs="Times New Roman"/>
          <w:sz w:val="24"/>
          <w:szCs w:val="24"/>
          <w:lang w:val="es-ES"/>
        </w:rPr>
        <w:t>su concepción se trata</w:t>
      </w:r>
      <w:r w:rsidR="00C337FE" w:rsidRPr="00B22CA9">
        <w:rPr>
          <w:rFonts w:ascii="Times New Roman" w:hAnsi="Times New Roman" w:cs="Times New Roman"/>
          <w:sz w:val="24"/>
          <w:szCs w:val="24"/>
          <w:lang w:val="es-ES"/>
        </w:rPr>
        <w:t>ba</w:t>
      </w:r>
      <w:r w:rsidR="00342846" w:rsidRPr="00B22CA9">
        <w:rPr>
          <w:rFonts w:ascii="Times New Roman" w:hAnsi="Times New Roman" w:cs="Times New Roman"/>
          <w:sz w:val="24"/>
          <w:szCs w:val="24"/>
          <w:lang w:val="es-ES"/>
        </w:rPr>
        <w:t xml:space="preserve"> del único procedimiento a través del cual el Tribunal de Justicia podía pronunciarse sobre la adecuación del </w:t>
      </w:r>
      <w:r w:rsidR="00762A21" w:rsidRPr="00B22CA9">
        <w:rPr>
          <w:rFonts w:ascii="Times New Roman" w:hAnsi="Times New Roman" w:cs="Times New Roman"/>
          <w:sz w:val="24"/>
          <w:szCs w:val="24"/>
          <w:lang w:val="es-ES"/>
        </w:rPr>
        <w:t>d</w:t>
      </w:r>
      <w:r w:rsidR="00342846" w:rsidRPr="00B22CA9">
        <w:rPr>
          <w:rFonts w:ascii="Times New Roman" w:hAnsi="Times New Roman" w:cs="Times New Roman"/>
          <w:sz w:val="24"/>
          <w:szCs w:val="24"/>
          <w:lang w:val="es-ES"/>
        </w:rPr>
        <w:t xml:space="preserve">erecho nacional a los mandatos del </w:t>
      </w:r>
      <w:r w:rsidR="00762A21" w:rsidRPr="00B22CA9">
        <w:rPr>
          <w:rFonts w:ascii="Times New Roman" w:hAnsi="Times New Roman" w:cs="Times New Roman"/>
          <w:sz w:val="24"/>
          <w:szCs w:val="24"/>
          <w:lang w:val="es-ES"/>
        </w:rPr>
        <w:t xml:space="preserve">derecho </w:t>
      </w:r>
      <w:r w:rsidR="00342846" w:rsidRPr="00B22CA9">
        <w:rPr>
          <w:rFonts w:ascii="Times New Roman" w:hAnsi="Times New Roman" w:cs="Times New Roman"/>
          <w:sz w:val="24"/>
          <w:szCs w:val="24"/>
          <w:lang w:val="es-ES"/>
        </w:rPr>
        <w:t>supranacional (Rodríguez y Baquero, 2006: 310)</w:t>
      </w:r>
      <w:r w:rsidR="009730DA" w:rsidRPr="00B22CA9">
        <w:rPr>
          <w:rStyle w:val="Refdenotaalpie"/>
          <w:rFonts w:ascii="Times New Roman" w:hAnsi="Times New Roman" w:cs="Times New Roman"/>
          <w:sz w:val="24"/>
          <w:szCs w:val="24"/>
          <w:lang w:val="es-ES"/>
        </w:rPr>
        <w:footnoteReference w:id="19"/>
      </w:r>
      <w:r w:rsidR="00055E24" w:rsidRPr="00B22CA9">
        <w:rPr>
          <w:rFonts w:ascii="Times New Roman" w:hAnsi="Times New Roman" w:cs="Times New Roman"/>
          <w:sz w:val="24"/>
          <w:szCs w:val="24"/>
          <w:lang w:val="es-ES"/>
        </w:rPr>
        <w:t xml:space="preserve">, si bien </w:t>
      </w:r>
      <w:r w:rsidR="00055E24" w:rsidRPr="00B22CA9">
        <w:rPr>
          <w:rFonts w:ascii="Times New Roman" w:hAnsi="Times New Roman" w:cs="Times New Roman"/>
          <w:sz w:val="24"/>
          <w:szCs w:val="24"/>
          <w:lang w:val="es-ES"/>
        </w:rPr>
        <w:lastRenderedPageBreak/>
        <w:t>l</w:t>
      </w:r>
      <w:r w:rsidR="00156171" w:rsidRPr="00B22CA9">
        <w:rPr>
          <w:rFonts w:ascii="Times New Roman" w:hAnsi="Times New Roman" w:cs="Times New Roman"/>
          <w:sz w:val="24"/>
          <w:szCs w:val="24"/>
          <w:lang w:val="es-ES"/>
        </w:rPr>
        <w:t xml:space="preserve">a práctica efectiva </w:t>
      </w:r>
      <w:r w:rsidR="00C337FE" w:rsidRPr="00B22CA9">
        <w:rPr>
          <w:rFonts w:ascii="Times New Roman" w:hAnsi="Times New Roman" w:cs="Times New Roman"/>
          <w:sz w:val="24"/>
          <w:szCs w:val="24"/>
          <w:lang w:val="es-ES"/>
        </w:rPr>
        <w:t>de la cuestión prejudicial</w:t>
      </w:r>
      <w:r w:rsidR="00E5400A" w:rsidRPr="00B22CA9">
        <w:rPr>
          <w:rFonts w:ascii="Times New Roman" w:hAnsi="Times New Roman" w:cs="Times New Roman"/>
          <w:sz w:val="24"/>
          <w:szCs w:val="24"/>
          <w:lang w:val="es-ES"/>
        </w:rPr>
        <w:t xml:space="preserve"> </w:t>
      </w:r>
      <w:r w:rsidR="00864E8C" w:rsidRPr="00B22CA9">
        <w:rPr>
          <w:rFonts w:ascii="Times New Roman" w:hAnsi="Times New Roman" w:cs="Times New Roman"/>
          <w:sz w:val="24"/>
          <w:szCs w:val="24"/>
          <w:lang w:val="es-ES"/>
        </w:rPr>
        <w:t>m</w:t>
      </w:r>
      <w:r w:rsidR="00E5400A" w:rsidRPr="00B22CA9">
        <w:rPr>
          <w:rFonts w:ascii="Times New Roman" w:hAnsi="Times New Roman" w:cs="Times New Roman"/>
          <w:sz w:val="24"/>
          <w:szCs w:val="24"/>
          <w:lang w:val="es-ES"/>
        </w:rPr>
        <w:t>atiz</w:t>
      </w:r>
      <w:r w:rsidR="00864E8C" w:rsidRPr="00B22CA9">
        <w:rPr>
          <w:rFonts w:ascii="Times New Roman" w:hAnsi="Times New Roman" w:cs="Times New Roman"/>
          <w:sz w:val="24"/>
          <w:szCs w:val="24"/>
          <w:lang w:val="es-ES"/>
        </w:rPr>
        <w:t>a</w:t>
      </w:r>
      <w:r w:rsidR="00055E24" w:rsidRPr="00B22CA9">
        <w:rPr>
          <w:rFonts w:ascii="Times New Roman" w:hAnsi="Times New Roman" w:cs="Times New Roman"/>
          <w:sz w:val="24"/>
          <w:szCs w:val="24"/>
          <w:lang w:val="es-ES"/>
        </w:rPr>
        <w:t>ría, desde muy pronto,</w:t>
      </w:r>
      <w:r w:rsidR="00E5400A" w:rsidRPr="00B22CA9">
        <w:rPr>
          <w:rFonts w:ascii="Times New Roman" w:hAnsi="Times New Roman" w:cs="Times New Roman"/>
          <w:sz w:val="24"/>
          <w:szCs w:val="24"/>
          <w:lang w:val="es-ES"/>
        </w:rPr>
        <w:t xml:space="preserve"> esa presunta exclusividad</w:t>
      </w:r>
      <w:r w:rsidR="00002DDC" w:rsidRPr="00B22CA9">
        <w:rPr>
          <w:rStyle w:val="Refdenotaalpie"/>
          <w:rFonts w:ascii="Times New Roman" w:hAnsi="Times New Roman" w:cs="Times New Roman"/>
          <w:sz w:val="24"/>
          <w:szCs w:val="24"/>
          <w:lang w:val="es-ES"/>
        </w:rPr>
        <w:footnoteReference w:id="20"/>
      </w:r>
      <w:r w:rsidR="00002DDC" w:rsidRPr="00B22CA9">
        <w:rPr>
          <w:rFonts w:ascii="Times New Roman" w:hAnsi="Times New Roman" w:cs="Times New Roman"/>
          <w:sz w:val="24"/>
          <w:szCs w:val="24"/>
          <w:lang w:val="es-ES"/>
        </w:rPr>
        <w:t>.</w:t>
      </w:r>
      <w:r w:rsidR="0021263B" w:rsidRPr="00B22CA9">
        <w:rPr>
          <w:rFonts w:ascii="Times New Roman" w:hAnsi="Times New Roman" w:cs="Times New Roman"/>
          <w:sz w:val="24"/>
          <w:szCs w:val="24"/>
          <w:lang w:val="es-ES"/>
        </w:rPr>
        <w:t xml:space="preserve">  </w:t>
      </w:r>
    </w:p>
    <w:p w:rsidR="004866E5" w:rsidRPr="00B22CA9" w:rsidRDefault="00055E24" w:rsidP="007F11DF">
      <w:pPr>
        <w:spacing w:line="240" w:lineRule="auto"/>
        <w:ind w:firstLine="720"/>
        <w:jc w:val="both"/>
        <w:rPr>
          <w:rFonts w:ascii="Times New Roman" w:hAnsi="Times New Roman" w:cs="Times New Roman"/>
          <w:sz w:val="24"/>
          <w:szCs w:val="24"/>
          <w:lang w:val="es-ES"/>
        </w:rPr>
      </w:pPr>
      <w:r w:rsidRPr="00B22CA9">
        <w:rPr>
          <w:rFonts w:ascii="Times New Roman" w:hAnsi="Times New Roman" w:cs="Times New Roman"/>
          <w:sz w:val="24"/>
          <w:szCs w:val="24"/>
          <w:lang w:val="es-ES"/>
        </w:rPr>
        <w:t>Cuando</w:t>
      </w:r>
      <w:r w:rsidR="00644F99" w:rsidRPr="00B22CA9">
        <w:rPr>
          <w:rFonts w:ascii="Times New Roman" w:hAnsi="Times New Roman" w:cs="Times New Roman"/>
          <w:sz w:val="24"/>
          <w:szCs w:val="24"/>
          <w:lang w:val="es-ES"/>
        </w:rPr>
        <w:t xml:space="preserve"> a través de la jurisprudencia </w:t>
      </w:r>
      <w:r w:rsidR="00644F99" w:rsidRPr="00B22CA9">
        <w:rPr>
          <w:rFonts w:ascii="Times New Roman" w:hAnsi="Times New Roman" w:cs="Times New Roman"/>
          <w:i/>
          <w:sz w:val="24"/>
          <w:szCs w:val="24"/>
          <w:lang w:val="es-ES"/>
        </w:rPr>
        <w:t>federalizante</w:t>
      </w:r>
      <w:r w:rsidR="00644F99" w:rsidRPr="00B22CA9">
        <w:rPr>
          <w:rFonts w:ascii="Times New Roman" w:hAnsi="Times New Roman" w:cs="Times New Roman"/>
          <w:sz w:val="24"/>
          <w:szCs w:val="24"/>
          <w:lang w:val="es-ES"/>
        </w:rPr>
        <w:t xml:space="preserve"> del TJUE</w:t>
      </w:r>
      <w:r w:rsidRPr="00B22CA9">
        <w:rPr>
          <w:rFonts w:ascii="Times New Roman" w:hAnsi="Times New Roman" w:cs="Times New Roman"/>
          <w:sz w:val="24"/>
          <w:szCs w:val="24"/>
          <w:lang w:val="es-ES"/>
        </w:rPr>
        <w:t xml:space="preserve"> </w:t>
      </w:r>
      <w:r w:rsidR="00C05D12" w:rsidRPr="00B22CA9">
        <w:rPr>
          <w:rFonts w:ascii="Times New Roman" w:hAnsi="Times New Roman" w:cs="Times New Roman"/>
          <w:sz w:val="24"/>
          <w:szCs w:val="24"/>
          <w:lang w:val="es-ES"/>
        </w:rPr>
        <w:t>(</w:t>
      </w:r>
      <w:proofErr w:type="spellStart"/>
      <w:r w:rsidR="00C05D12" w:rsidRPr="00B22CA9">
        <w:rPr>
          <w:rFonts w:ascii="Times New Roman" w:hAnsi="Times New Roman" w:cs="Times New Roman"/>
          <w:sz w:val="24"/>
          <w:szCs w:val="24"/>
          <w:lang w:val="es-ES"/>
        </w:rPr>
        <w:t>Stein</w:t>
      </w:r>
      <w:proofErr w:type="spellEnd"/>
      <w:r w:rsidR="00C05D12" w:rsidRPr="00B22CA9">
        <w:rPr>
          <w:rFonts w:ascii="Times New Roman" w:hAnsi="Times New Roman" w:cs="Times New Roman"/>
          <w:sz w:val="24"/>
          <w:szCs w:val="24"/>
          <w:lang w:val="es-ES"/>
        </w:rPr>
        <w:t xml:space="preserve">, 1981) </w:t>
      </w:r>
      <w:r w:rsidRPr="00B22CA9">
        <w:rPr>
          <w:rFonts w:ascii="Times New Roman" w:hAnsi="Times New Roman" w:cs="Times New Roman"/>
          <w:sz w:val="24"/>
          <w:szCs w:val="24"/>
          <w:lang w:val="es-ES"/>
        </w:rPr>
        <w:t>e</w:t>
      </w:r>
      <w:r w:rsidR="0021263B" w:rsidRPr="00B22CA9">
        <w:rPr>
          <w:rFonts w:ascii="Times New Roman" w:hAnsi="Times New Roman" w:cs="Times New Roman"/>
          <w:sz w:val="24"/>
          <w:szCs w:val="24"/>
          <w:lang w:val="es-ES"/>
        </w:rPr>
        <w:t xml:space="preserve">l sistema normativo de los Tratados </w:t>
      </w:r>
      <w:r w:rsidR="00762A21" w:rsidRPr="00B22CA9">
        <w:rPr>
          <w:rFonts w:ascii="Times New Roman" w:hAnsi="Times New Roman" w:cs="Times New Roman"/>
          <w:sz w:val="24"/>
          <w:szCs w:val="24"/>
          <w:lang w:val="es-ES"/>
        </w:rPr>
        <w:t xml:space="preserve">constitutivos </w:t>
      </w:r>
      <w:r w:rsidR="00215DE7" w:rsidRPr="00B22CA9">
        <w:rPr>
          <w:rFonts w:ascii="Times New Roman" w:hAnsi="Times New Roman" w:cs="Times New Roman"/>
          <w:sz w:val="24"/>
          <w:szCs w:val="24"/>
          <w:lang w:val="es-ES"/>
        </w:rPr>
        <w:t>adoptó</w:t>
      </w:r>
      <w:r w:rsidRPr="00B22CA9">
        <w:rPr>
          <w:rFonts w:ascii="Times New Roman" w:hAnsi="Times New Roman" w:cs="Times New Roman"/>
          <w:sz w:val="24"/>
          <w:szCs w:val="24"/>
          <w:lang w:val="es-ES"/>
        </w:rPr>
        <w:t xml:space="preserve"> sus primeros</w:t>
      </w:r>
      <w:r w:rsidR="00215DE7" w:rsidRPr="00B22CA9">
        <w:rPr>
          <w:rFonts w:ascii="Times New Roman" w:hAnsi="Times New Roman" w:cs="Times New Roman"/>
          <w:sz w:val="24"/>
          <w:szCs w:val="24"/>
          <w:lang w:val="es-ES"/>
        </w:rPr>
        <w:t xml:space="preserve"> rasgos </w:t>
      </w:r>
      <w:r w:rsidR="004866E5" w:rsidRPr="00B22CA9">
        <w:rPr>
          <w:rFonts w:ascii="Times New Roman" w:hAnsi="Times New Roman" w:cs="Times New Roman"/>
          <w:sz w:val="24"/>
          <w:szCs w:val="24"/>
          <w:lang w:val="es-ES"/>
        </w:rPr>
        <w:t>federal</w:t>
      </w:r>
      <w:r w:rsidR="00215DE7" w:rsidRPr="00B22CA9">
        <w:rPr>
          <w:rFonts w:ascii="Times New Roman" w:hAnsi="Times New Roman" w:cs="Times New Roman"/>
          <w:sz w:val="24"/>
          <w:szCs w:val="24"/>
          <w:lang w:val="es-ES"/>
        </w:rPr>
        <w:t>es</w:t>
      </w:r>
      <w:r w:rsidR="00644F99" w:rsidRPr="00B22CA9">
        <w:rPr>
          <w:rFonts w:ascii="Times New Roman" w:hAnsi="Times New Roman" w:cs="Times New Roman"/>
          <w:sz w:val="24"/>
          <w:szCs w:val="24"/>
          <w:lang w:val="es-ES"/>
        </w:rPr>
        <w:t>,</w:t>
      </w:r>
      <w:r w:rsidRPr="00B22CA9">
        <w:rPr>
          <w:rFonts w:ascii="Times New Roman" w:hAnsi="Times New Roman" w:cs="Times New Roman"/>
          <w:sz w:val="24"/>
          <w:szCs w:val="24"/>
          <w:lang w:val="es-ES"/>
        </w:rPr>
        <w:t xml:space="preserve"> la</w:t>
      </w:r>
      <w:r w:rsidR="004866E5" w:rsidRPr="00B22CA9">
        <w:rPr>
          <w:rFonts w:ascii="Times New Roman" w:hAnsi="Times New Roman" w:cs="Times New Roman"/>
          <w:sz w:val="24"/>
          <w:szCs w:val="24"/>
          <w:lang w:val="es-ES"/>
        </w:rPr>
        <w:t xml:space="preserve"> comprensión del </w:t>
      </w:r>
      <w:r w:rsidR="00762A21" w:rsidRPr="00B22CA9">
        <w:rPr>
          <w:rFonts w:ascii="Times New Roman" w:hAnsi="Times New Roman" w:cs="Times New Roman"/>
          <w:sz w:val="24"/>
          <w:szCs w:val="24"/>
          <w:lang w:val="es-ES"/>
        </w:rPr>
        <w:t>d</w:t>
      </w:r>
      <w:r w:rsidR="004866E5" w:rsidRPr="00B22CA9">
        <w:rPr>
          <w:rFonts w:ascii="Times New Roman" w:hAnsi="Times New Roman" w:cs="Times New Roman"/>
          <w:sz w:val="24"/>
          <w:szCs w:val="24"/>
          <w:lang w:val="es-ES"/>
        </w:rPr>
        <w:t xml:space="preserve">erecho </w:t>
      </w:r>
      <w:r w:rsidRPr="00B22CA9">
        <w:rPr>
          <w:rFonts w:ascii="Times New Roman" w:hAnsi="Times New Roman" w:cs="Times New Roman"/>
          <w:sz w:val="24"/>
          <w:szCs w:val="24"/>
          <w:lang w:val="es-ES"/>
        </w:rPr>
        <w:t>comunitario</w:t>
      </w:r>
      <w:r w:rsidR="004866E5" w:rsidRPr="00B22CA9">
        <w:rPr>
          <w:rFonts w:ascii="Times New Roman" w:hAnsi="Times New Roman" w:cs="Times New Roman"/>
          <w:sz w:val="24"/>
          <w:szCs w:val="24"/>
          <w:lang w:val="es-ES"/>
        </w:rPr>
        <w:t xml:space="preserve"> como orden jurídico de una </w:t>
      </w:r>
      <w:r w:rsidR="00762A21" w:rsidRPr="00B22CA9">
        <w:rPr>
          <w:rFonts w:ascii="Times New Roman" w:hAnsi="Times New Roman" w:cs="Times New Roman"/>
          <w:sz w:val="24"/>
          <w:szCs w:val="24"/>
          <w:lang w:val="es-ES"/>
        </w:rPr>
        <w:t>c</w:t>
      </w:r>
      <w:r w:rsidR="003250B2" w:rsidRPr="00B22CA9">
        <w:rPr>
          <w:rFonts w:ascii="Times New Roman" w:hAnsi="Times New Roman" w:cs="Times New Roman"/>
          <w:sz w:val="24"/>
          <w:szCs w:val="24"/>
          <w:lang w:val="es-ES"/>
        </w:rPr>
        <w:t>omunidad</w:t>
      </w:r>
      <w:r w:rsidR="001925AA" w:rsidRPr="00B22CA9">
        <w:rPr>
          <w:rFonts w:ascii="Times New Roman" w:hAnsi="Times New Roman" w:cs="Times New Roman"/>
          <w:sz w:val="24"/>
          <w:szCs w:val="24"/>
          <w:lang w:val="es-ES"/>
        </w:rPr>
        <w:t xml:space="preserve"> afectó también a la del procedimiento de incumplimiento</w:t>
      </w:r>
      <w:r w:rsidR="004866E5" w:rsidRPr="00B22CA9">
        <w:rPr>
          <w:rFonts w:ascii="Times New Roman" w:hAnsi="Times New Roman" w:cs="Times New Roman"/>
          <w:sz w:val="24"/>
          <w:szCs w:val="24"/>
          <w:lang w:val="es-ES"/>
        </w:rPr>
        <w:t>.</w:t>
      </w:r>
      <w:r w:rsidR="00215DE7" w:rsidRPr="00B22CA9">
        <w:rPr>
          <w:rFonts w:ascii="Times New Roman" w:hAnsi="Times New Roman" w:cs="Times New Roman"/>
          <w:sz w:val="24"/>
          <w:szCs w:val="24"/>
          <w:lang w:val="es-ES"/>
        </w:rPr>
        <w:t xml:space="preserve"> </w:t>
      </w:r>
      <w:r w:rsidR="001925AA" w:rsidRPr="00B22CA9">
        <w:rPr>
          <w:rFonts w:ascii="Times New Roman" w:hAnsi="Times New Roman" w:cs="Times New Roman"/>
          <w:sz w:val="24"/>
          <w:szCs w:val="24"/>
          <w:lang w:val="es-ES"/>
        </w:rPr>
        <w:t>Los</w:t>
      </w:r>
      <w:r w:rsidR="00644F99" w:rsidRPr="00B22CA9">
        <w:rPr>
          <w:rFonts w:ascii="Times New Roman" w:hAnsi="Times New Roman" w:cs="Times New Roman"/>
          <w:sz w:val="24"/>
          <w:szCs w:val="24"/>
          <w:lang w:val="es-ES"/>
        </w:rPr>
        <w:t xml:space="preserve"> rasgos</w:t>
      </w:r>
      <w:r w:rsidR="00215DE7" w:rsidRPr="00B22CA9">
        <w:rPr>
          <w:rFonts w:ascii="Times New Roman" w:hAnsi="Times New Roman" w:cs="Times New Roman"/>
          <w:sz w:val="24"/>
          <w:szCs w:val="24"/>
          <w:lang w:val="es-ES"/>
        </w:rPr>
        <w:t xml:space="preserve"> federales impregnaron la interpretación jurídic</w:t>
      </w:r>
      <w:r w:rsidRPr="00B22CA9">
        <w:rPr>
          <w:rFonts w:ascii="Times New Roman" w:hAnsi="Times New Roman" w:cs="Times New Roman"/>
          <w:sz w:val="24"/>
          <w:szCs w:val="24"/>
          <w:lang w:val="es-ES"/>
        </w:rPr>
        <w:t>a</w:t>
      </w:r>
      <w:r w:rsidR="00644F99" w:rsidRPr="00B22CA9">
        <w:rPr>
          <w:rFonts w:ascii="Times New Roman" w:hAnsi="Times New Roman" w:cs="Times New Roman"/>
          <w:sz w:val="24"/>
          <w:szCs w:val="24"/>
          <w:lang w:val="es-ES"/>
        </w:rPr>
        <w:t xml:space="preserve">. A través de una adaptación del sentido de las normas de efecto directo, como efectividad, y primacía, como preclusión, </w:t>
      </w:r>
      <w:r w:rsidR="003250B2" w:rsidRPr="00B22CA9">
        <w:rPr>
          <w:rFonts w:ascii="Times New Roman" w:hAnsi="Times New Roman" w:cs="Times New Roman"/>
          <w:sz w:val="24"/>
          <w:szCs w:val="24"/>
          <w:lang w:val="es-ES"/>
        </w:rPr>
        <w:t xml:space="preserve">puntualmente </w:t>
      </w:r>
      <w:r w:rsidR="00644F99" w:rsidRPr="00B22CA9">
        <w:rPr>
          <w:rFonts w:ascii="Times New Roman" w:hAnsi="Times New Roman" w:cs="Times New Roman"/>
          <w:sz w:val="24"/>
          <w:szCs w:val="24"/>
          <w:lang w:val="es-ES"/>
        </w:rPr>
        <w:t>se empezaron a emplear</w:t>
      </w:r>
      <w:r w:rsidR="003250B2" w:rsidRPr="00B22CA9">
        <w:rPr>
          <w:rFonts w:ascii="Times New Roman" w:hAnsi="Times New Roman" w:cs="Times New Roman"/>
          <w:sz w:val="24"/>
          <w:szCs w:val="24"/>
          <w:lang w:val="es-ES"/>
        </w:rPr>
        <w:t>,</w:t>
      </w:r>
      <w:r w:rsidR="00644F99" w:rsidRPr="00B22CA9">
        <w:rPr>
          <w:rFonts w:ascii="Times New Roman" w:hAnsi="Times New Roman" w:cs="Times New Roman"/>
          <w:sz w:val="24"/>
          <w:szCs w:val="24"/>
          <w:lang w:val="es-ES"/>
        </w:rPr>
        <w:t xml:space="preserve"> </w:t>
      </w:r>
      <w:r w:rsidR="001925AA" w:rsidRPr="00B22CA9">
        <w:rPr>
          <w:rFonts w:ascii="Times New Roman" w:hAnsi="Times New Roman" w:cs="Times New Roman"/>
          <w:sz w:val="24"/>
          <w:szCs w:val="24"/>
          <w:lang w:val="es-ES"/>
        </w:rPr>
        <w:t>en las motivaciones de</w:t>
      </w:r>
      <w:r w:rsidR="003250B2" w:rsidRPr="00B22CA9">
        <w:rPr>
          <w:rFonts w:ascii="Times New Roman" w:hAnsi="Times New Roman" w:cs="Times New Roman"/>
          <w:sz w:val="24"/>
          <w:szCs w:val="24"/>
          <w:lang w:val="es-ES"/>
        </w:rPr>
        <w:t xml:space="preserve"> demandas de</w:t>
      </w:r>
      <w:r w:rsidR="001925AA" w:rsidRPr="00B22CA9">
        <w:rPr>
          <w:rFonts w:ascii="Times New Roman" w:hAnsi="Times New Roman" w:cs="Times New Roman"/>
          <w:sz w:val="24"/>
          <w:szCs w:val="24"/>
          <w:lang w:val="es-ES"/>
        </w:rPr>
        <w:t xml:space="preserve"> incumplimiento</w:t>
      </w:r>
      <w:r w:rsidR="003250B2" w:rsidRPr="00B22CA9">
        <w:rPr>
          <w:rFonts w:ascii="Times New Roman" w:hAnsi="Times New Roman" w:cs="Times New Roman"/>
          <w:sz w:val="24"/>
          <w:szCs w:val="24"/>
          <w:lang w:val="es-ES"/>
        </w:rPr>
        <w:t>,</w:t>
      </w:r>
      <w:r w:rsidR="00644F99" w:rsidRPr="00B22CA9">
        <w:rPr>
          <w:rFonts w:ascii="Times New Roman" w:hAnsi="Times New Roman" w:cs="Times New Roman"/>
          <w:sz w:val="24"/>
          <w:szCs w:val="24"/>
          <w:lang w:val="es-ES"/>
        </w:rPr>
        <w:t xml:space="preserve"> n</w:t>
      </w:r>
      <w:r w:rsidR="00215DE7" w:rsidRPr="00B22CA9">
        <w:rPr>
          <w:rFonts w:ascii="Times New Roman" w:hAnsi="Times New Roman" w:cs="Times New Roman"/>
          <w:sz w:val="24"/>
          <w:szCs w:val="24"/>
          <w:lang w:val="es-ES"/>
        </w:rPr>
        <w:t>ormas de principio de los Tratados</w:t>
      </w:r>
      <w:r w:rsidR="003250B2" w:rsidRPr="00B22CA9">
        <w:rPr>
          <w:rFonts w:ascii="Times New Roman" w:hAnsi="Times New Roman" w:cs="Times New Roman"/>
          <w:sz w:val="24"/>
          <w:szCs w:val="24"/>
          <w:lang w:val="es-ES"/>
        </w:rPr>
        <w:t xml:space="preserve"> y</w:t>
      </w:r>
      <w:r w:rsidR="007E764D" w:rsidRPr="00B22CA9">
        <w:rPr>
          <w:rFonts w:ascii="Times New Roman" w:hAnsi="Times New Roman" w:cs="Times New Roman"/>
          <w:sz w:val="24"/>
          <w:szCs w:val="24"/>
          <w:lang w:val="es-ES"/>
        </w:rPr>
        <w:t xml:space="preserve"> contenidos normativos de las libertades económicas</w:t>
      </w:r>
      <w:r w:rsidR="003250B2" w:rsidRPr="00B22CA9">
        <w:rPr>
          <w:rFonts w:ascii="Times New Roman" w:hAnsi="Times New Roman" w:cs="Times New Roman"/>
          <w:sz w:val="24"/>
          <w:szCs w:val="24"/>
          <w:lang w:val="es-ES"/>
        </w:rPr>
        <w:t>, apelando a su aplicabilidad directa y a su fuerza preclusiva</w:t>
      </w:r>
      <w:r w:rsidR="008F7E7B" w:rsidRPr="00B22CA9">
        <w:rPr>
          <w:rStyle w:val="Refdenotaalpie"/>
          <w:rFonts w:ascii="Times New Roman" w:hAnsi="Times New Roman" w:cs="Times New Roman"/>
          <w:sz w:val="24"/>
          <w:szCs w:val="24"/>
          <w:lang w:val="es-ES"/>
        </w:rPr>
        <w:footnoteReference w:id="21"/>
      </w:r>
      <w:r w:rsidR="007E764D" w:rsidRPr="00B22CA9">
        <w:rPr>
          <w:rFonts w:ascii="Times New Roman" w:hAnsi="Times New Roman" w:cs="Times New Roman"/>
          <w:sz w:val="24"/>
          <w:szCs w:val="24"/>
          <w:lang w:val="es-ES"/>
        </w:rPr>
        <w:t xml:space="preserve">. </w:t>
      </w:r>
      <w:r w:rsidR="00EF6F61" w:rsidRPr="00B22CA9">
        <w:rPr>
          <w:rFonts w:ascii="Times New Roman" w:hAnsi="Times New Roman" w:cs="Times New Roman"/>
          <w:sz w:val="24"/>
          <w:szCs w:val="24"/>
          <w:lang w:val="es-ES"/>
        </w:rPr>
        <w:t>Los mecanismos de ejecución de las sentencias condenatorias</w:t>
      </w:r>
      <w:r w:rsidR="00742192" w:rsidRPr="00B22CA9">
        <w:rPr>
          <w:rFonts w:ascii="Times New Roman" w:hAnsi="Times New Roman" w:cs="Times New Roman"/>
          <w:sz w:val="24"/>
          <w:szCs w:val="24"/>
          <w:lang w:val="es-ES"/>
        </w:rPr>
        <w:t>, que ponen fin al procedimiento,</w:t>
      </w:r>
      <w:r w:rsidR="00EF6F61" w:rsidRPr="00B22CA9">
        <w:rPr>
          <w:rFonts w:ascii="Times New Roman" w:hAnsi="Times New Roman" w:cs="Times New Roman"/>
          <w:sz w:val="24"/>
          <w:szCs w:val="24"/>
          <w:lang w:val="es-ES"/>
        </w:rPr>
        <w:t xml:space="preserve"> fueron evolucionando: de estar sujet</w:t>
      </w:r>
      <w:r w:rsidR="003250B2" w:rsidRPr="00B22CA9">
        <w:rPr>
          <w:rFonts w:ascii="Times New Roman" w:hAnsi="Times New Roman" w:cs="Times New Roman"/>
          <w:sz w:val="24"/>
          <w:szCs w:val="24"/>
          <w:lang w:val="es-ES"/>
        </w:rPr>
        <w:t>a</w:t>
      </w:r>
      <w:r w:rsidR="00EF6F61" w:rsidRPr="00B22CA9">
        <w:rPr>
          <w:rFonts w:ascii="Times New Roman" w:hAnsi="Times New Roman" w:cs="Times New Roman"/>
          <w:sz w:val="24"/>
          <w:szCs w:val="24"/>
          <w:lang w:val="es-ES"/>
        </w:rPr>
        <w:t>s a</w:t>
      </w:r>
      <w:r w:rsidR="004866E5" w:rsidRPr="00B22CA9">
        <w:rPr>
          <w:rFonts w:ascii="Times New Roman" w:hAnsi="Times New Roman" w:cs="Times New Roman"/>
          <w:sz w:val="24"/>
          <w:szCs w:val="24"/>
          <w:lang w:val="es-ES"/>
        </w:rPr>
        <w:t xml:space="preserve"> la</w:t>
      </w:r>
      <w:r w:rsidR="00EF6F61" w:rsidRPr="00B22CA9">
        <w:rPr>
          <w:rFonts w:ascii="Times New Roman" w:hAnsi="Times New Roman" w:cs="Times New Roman"/>
          <w:sz w:val="24"/>
          <w:szCs w:val="24"/>
          <w:lang w:val="es-ES"/>
        </w:rPr>
        <w:t xml:space="preserve"> </w:t>
      </w:r>
      <w:r w:rsidR="004866E5" w:rsidRPr="00B22CA9">
        <w:rPr>
          <w:rFonts w:ascii="Times New Roman" w:hAnsi="Times New Roman" w:cs="Times New Roman"/>
          <w:sz w:val="24"/>
          <w:szCs w:val="24"/>
          <w:lang w:val="es-ES"/>
        </w:rPr>
        <w:t>voluntad de cumplimiento de los Estados infractores</w:t>
      </w:r>
      <w:r w:rsidR="00EF6F61" w:rsidRPr="00B22CA9">
        <w:rPr>
          <w:rFonts w:ascii="Times New Roman" w:hAnsi="Times New Roman" w:cs="Times New Roman"/>
          <w:sz w:val="24"/>
          <w:szCs w:val="24"/>
          <w:lang w:val="es-ES"/>
        </w:rPr>
        <w:t xml:space="preserve"> a la posibilidad, conforme al actual 260 TFUE</w:t>
      </w:r>
      <w:r w:rsidR="00215DE7" w:rsidRPr="00B22CA9">
        <w:rPr>
          <w:rFonts w:ascii="Times New Roman" w:hAnsi="Times New Roman" w:cs="Times New Roman"/>
          <w:sz w:val="24"/>
          <w:szCs w:val="24"/>
          <w:lang w:val="es-ES"/>
        </w:rPr>
        <w:t>,</w:t>
      </w:r>
      <w:r w:rsidR="00683C2C" w:rsidRPr="00B22CA9">
        <w:rPr>
          <w:rFonts w:ascii="Times New Roman" w:hAnsi="Times New Roman" w:cs="Times New Roman"/>
          <w:sz w:val="24"/>
          <w:szCs w:val="24"/>
          <w:lang w:val="es-ES"/>
        </w:rPr>
        <w:t xml:space="preserve"> </w:t>
      </w:r>
      <w:r w:rsidR="00EF6F61" w:rsidRPr="00B22CA9">
        <w:rPr>
          <w:rFonts w:ascii="Times New Roman" w:hAnsi="Times New Roman" w:cs="Times New Roman"/>
          <w:sz w:val="24"/>
          <w:szCs w:val="24"/>
          <w:lang w:val="es-ES"/>
        </w:rPr>
        <w:t>de imponer</w:t>
      </w:r>
      <w:r w:rsidR="003250B2" w:rsidRPr="00B22CA9">
        <w:rPr>
          <w:rFonts w:ascii="Times New Roman" w:hAnsi="Times New Roman" w:cs="Times New Roman"/>
          <w:sz w:val="24"/>
          <w:szCs w:val="24"/>
          <w:lang w:val="es-ES"/>
        </w:rPr>
        <w:t xml:space="preserve"> </w:t>
      </w:r>
      <w:r w:rsidR="00EF6F61" w:rsidRPr="00B22CA9">
        <w:rPr>
          <w:rFonts w:ascii="Times New Roman" w:hAnsi="Times New Roman" w:cs="Times New Roman"/>
          <w:sz w:val="24"/>
          <w:szCs w:val="24"/>
          <w:lang w:val="es-ES"/>
        </w:rPr>
        <w:t xml:space="preserve">sanciones </w:t>
      </w:r>
      <w:r w:rsidR="001925AA" w:rsidRPr="00B22CA9">
        <w:rPr>
          <w:rFonts w:ascii="Times New Roman" w:hAnsi="Times New Roman" w:cs="Times New Roman"/>
          <w:sz w:val="24"/>
          <w:szCs w:val="24"/>
          <w:lang w:val="es-ES"/>
        </w:rPr>
        <w:t xml:space="preserve">económicas, que </w:t>
      </w:r>
      <w:r w:rsidR="003250B2" w:rsidRPr="00B22CA9">
        <w:rPr>
          <w:rFonts w:ascii="Times New Roman" w:hAnsi="Times New Roman" w:cs="Times New Roman"/>
          <w:sz w:val="24"/>
          <w:szCs w:val="24"/>
          <w:lang w:val="es-ES"/>
        </w:rPr>
        <w:t xml:space="preserve">sin duda </w:t>
      </w:r>
      <w:r w:rsidR="001243FF" w:rsidRPr="00B22CA9">
        <w:rPr>
          <w:rFonts w:ascii="Times New Roman" w:hAnsi="Times New Roman" w:cs="Times New Roman"/>
          <w:sz w:val="24"/>
          <w:szCs w:val="24"/>
          <w:lang w:val="es-ES"/>
        </w:rPr>
        <w:t>añadieron</w:t>
      </w:r>
      <w:r w:rsidR="001E4C2B" w:rsidRPr="00B22CA9">
        <w:rPr>
          <w:rFonts w:ascii="Times New Roman" w:hAnsi="Times New Roman" w:cs="Times New Roman"/>
          <w:sz w:val="24"/>
          <w:szCs w:val="24"/>
          <w:lang w:val="es-ES"/>
        </w:rPr>
        <w:t xml:space="preserve"> un elemento de coerción al</w:t>
      </w:r>
      <w:r w:rsidR="00742192" w:rsidRPr="00B22CA9">
        <w:rPr>
          <w:rFonts w:ascii="Times New Roman" w:hAnsi="Times New Roman" w:cs="Times New Roman"/>
          <w:sz w:val="24"/>
          <w:szCs w:val="24"/>
          <w:lang w:val="es-ES"/>
        </w:rPr>
        <w:t xml:space="preserve"> procedimiento y, con ello, lo acercaron más a los</w:t>
      </w:r>
      <w:r w:rsidR="001E4C2B" w:rsidRPr="00B22CA9">
        <w:rPr>
          <w:rFonts w:ascii="Times New Roman" w:hAnsi="Times New Roman" w:cs="Times New Roman"/>
          <w:sz w:val="24"/>
          <w:szCs w:val="24"/>
          <w:lang w:val="es-ES"/>
        </w:rPr>
        <w:t xml:space="preserve"> </w:t>
      </w:r>
      <w:r w:rsidR="001243FF" w:rsidRPr="00B22CA9">
        <w:rPr>
          <w:rFonts w:ascii="Times New Roman" w:hAnsi="Times New Roman" w:cs="Times New Roman"/>
          <w:sz w:val="24"/>
          <w:szCs w:val="24"/>
          <w:lang w:val="es-ES"/>
        </w:rPr>
        <w:t>parámetros federales.</w:t>
      </w:r>
      <w:r w:rsidR="004866E5" w:rsidRPr="00B22CA9">
        <w:rPr>
          <w:rFonts w:ascii="Times New Roman" w:hAnsi="Times New Roman" w:cs="Times New Roman"/>
          <w:sz w:val="24"/>
          <w:szCs w:val="24"/>
          <w:lang w:val="es-ES"/>
        </w:rPr>
        <w:t xml:space="preserve">  </w:t>
      </w:r>
    </w:p>
    <w:p w:rsidR="00F31BE5" w:rsidRPr="00B22CA9" w:rsidRDefault="003D2C53" w:rsidP="00F31BE5">
      <w:pPr>
        <w:spacing w:line="240" w:lineRule="auto"/>
        <w:ind w:firstLine="720"/>
        <w:jc w:val="both"/>
        <w:rPr>
          <w:rFonts w:ascii="Times New Roman" w:hAnsi="Times New Roman" w:cs="Times New Roman"/>
          <w:sz w:val="24"/>
          <w:szCs w:val="24"/>
          <w:lang w:val="es-ES"/>
        </w:rPr>
      </w:pPr>
      <w:r w:rsidRPr="00B22CA9">
        <w:rPr>
          <w:rFonts w:ascii="Times New Roman" w:hAnsi="Times New Roman" w:cs="Times New Roman"/>
          <w:sz w:val="24"/>
          <w:szCs w:val="24"/>
          <w:lang w:val="es-ES"/>
        </w:rPr>
        <w:t>E</w:t>
      </w:r>
      <w:r w:rsidR="004866E5" w:rsidRPr="00B22CA9">
        <w:rPr>
          <w:rFonts w:ascii="Times New Roman" w:hAnsi="Times New Roman" w:cs="Times New Roman"/>
          <w:sz w:val="24"/>
          <w:szCs w:val="24"/>
          <w:lang w:val="es-ES"/>
        </w:rPr>
        <w:t xml:space="preserve">l </w:t>
      </w:r>
      <w:r w:rsidR="00531E0D" w:rsidRPr="00B22CA9">
        <w:rPr>
          <w:rFonts w:ascii="Times New Roman" w:hAnsi="Times New Roman" w:cs="Times New Roman"/>
          <w:sz w:val="24"/>
          <w:szCs w:val="24"/>
          <w:lang w:val="es-ES"/>
        </w:rPr>
        <w:t>procedimiento p</w:t>
      </w:r>
      <w:r w:rsidR="004866E5" w:rsidRPr="00B22CA9">
        <w:rPr>
          <w:rFonts w:ascii="Times New Roman" w:hAnsi="Times New Roman" w:cs="Times New Roman"/>
          <w:sz w:val="24"/>
          <w:szCs w:val="24"/>
          <w:lang w:val="es-ES"/>
        </w:rPr>
        <w:t xml:space="preserve">or incumplimiento </w:t>
      </w:r>
      <w:r w:rsidR="00EF6F61" w:rsidRPr="00B22CA9">
        <w:rPr>
          <w:rFonts w:ascii="Times New Roman" w:hAnsi="Times New Roman" w:cs="Times New Roman"/>
          <w:sz w:val="24"/>
          <w:szCs w:val="24"/>
          <w:lang w:val="es-ES"/>
        </w:rPr>
        <w:t>es</w:t>
      </w:r>
      <w:r w:rsidR="00742192" w:rsidRPr="00B22CA9">
        <w:rPr>
          <w:rFonts w:ascii="Times New Roman" w:hAnsi="Times New Roman" w:cs="Times New Roman"/>
          <w:sz w:val="24"/>
          <w:szCs w:val="24"/>
          <w:lang w:val="es-ES"/>
        </w:rPr>
        <w:t>,</w:t>
      </w:r>
      <w:r w:rsidR="00EF6F61" w:rsidRPr="00B22CA9">
        <w:rPr>
          <w:rFonts w:ascii="Times New Roman" w:hAnsi="Times New Roman" w:cs="Times New Roman"/>
          <w:sz w:val="24"/>
          <w:szCs w:val="24"/>
          <w:lang w:val="es-ES"/>
        </w:rPr>
        <w:t xml:space="preserve"> así</w:t>
      </w:r>
      <w:r w:rsidR="00742192" w:rsidRPr="00B22CA9">
        <w:rPr>
          <w:rFonts w:ascii="Times New Roman" w:hAnsi="Times New Roman" w:cs="Times New Roman"/>
          <w:sz w:val="24"/>
          <w:szCs w:val="24"/>
          <w:lang w:val="es-ES"/>
        </w:rPr>
        <w:t>,</w:t>
      </w:r>
      <w:r w:rsidR="00EF6F61" w:rsidRPr="00B22CA9">
        <w:rPr>
          <w:rFonts w:ascii="Times New Roman" w:hAnsi="Times New Roman" w:cs="Times New Roman"/>
          <w:sz w:val="24"/>
          <w:szCs w:val="24"/>
          <w:lang w:val="es-ES"/>
        </w:rPr>
        <w:t xml:space="preserve"> el resultado de una evolución</w:t>
      </w:r>
      <w:r w:rsidR="00742192" w:rsidRPr="00B22CA9">
        <w:rPr>
          <w:rFonts w:ascii="Times New Roman" w:hAnsi="Times New Roman" w:cs="Times New Roman"/>
          <w:sz w:val="24"/>
          <w:szCs w:val="24"/>
          <w:lang w:val="es-ES"/>
        </w:rPr>
        <w:t xml:space="preserve"> sutil:</w:t>
      </w:r>
      <w:r w:rsidR="00EF6F61" w:rsidRPr="00B22CA9">
        <w:rPr>
          <w:rFonts w:ascii="Times New Roman" w:hAnsi="Times New Roman" w:cs="Times New Roman"/>
          <w:sz w:val="24"/>
          <w:szCs w:val="24"/>
          <w:lang w:val="es-ES"/>
        </w:rPr>
        <w:t xml:space="preserve"> desde</w:t>
      </w:r>
      <w:r w:rsidRPr="00B22CA9">
        <w:rPr>
          <w:rFonts w:ascii="Times New Roman" w:hAnsi="Times New Roman" w:cs="Times New Roman"/>
          <w:sz w:val="24"/>
          <w:szCs w:val="24"/>
          <w:lang w:val="es-ES"/>
        </w:rPr>
        <w:t xml:space="preserve"> </w:t>
      </w:r>
      <w:r w:rsidR="00531E0D" w:rsidRPr="00B22CA9">
        <w:rPr>
          <w:rFonts w:ascii="Times New Roman" w:hAnsi="Times New Roman" w:cs="Times New Roman"/>
          <w:sz w:val="24"/>
          <w:szCs w:val="24"/>
          <w:lang w:val="es-ES"/>
        </w:rPr>
        <w:t xml:space="preserve">una configuración </w:t>
      </w:r>
      <w:r w:rsidR="006C6ECA" w:rsidRPr="00B22CA9">
        <w:rPr>
          <w:rFonts w:ascii="Times New Roman" w:hAnsi="Times New Roman" w:cs="Times New Roman"/>
          <w:sz w:val="24"/>
          <w:szCs w:val="24"/>
          <w:lang w:val="es-ES"/>
        </w:rPr>
        <w:t>in</w:t>
      </w:r>
      <w:r w:rsidR="00EF6F61" w:rsidRPr="00B22CA9">
        <w:rPr>
          <w:rFonts w:ascii="Times New Roman" w:hAnsi="Times New Roman" w:cs="Times New Roman"/>
          <w:sz w:val="24"/>
          <w:szCs w:val="24"/>
          <w:lang w:val="es-ES"/>
        </w:rPr>
        <w:t xml:space="preserve">novadora </w:t>
      </w:r>
      <w:r w:rsidR="00742192" w:rsidRPr="00B22CA9">
        <w:rPr>
          <w:rFonts w:ascii="Times New Roman" w:hAnsi="Times New Roman" w:cs="Times New Roman"/>
          <w:sz w:val="24"/>
          <w:szCs w:val="24"/>
          <w:lang w:val="es-ES"/>
        </w:rPr>
        <w:t>basada en el</w:t>
      </w:r>
      <w:r w:rsidR="004866E5" w:rsidRPr="00B22CA9">
        <w:rPr>
          <w:rFonts w:ascii="Times New Roman" w:hAnsi="Times New Roman" w:cs="Times New Roman"/>
          <w:sz w:val="24"/>
          <w:szCs w:val="24"/>
          <w:lang w:val="es-ES"/>
        </w:rPr>
        <w:t xml:space="preserve"> </w:t>
      </w:r>
      <w:r w:rsidR="00762A21" w:rsidRPr="00B22CA9">
        <w:rPr>
          <w:rFonts w:ascii="Times New Roman" w:hAnsi="Times New Roman" w:cs="Times New Roman"/>
          <w:sz w:val="24"/>
          <w:szCs w:val="24"/>
          <w:lang w:val="es-ES"/>
        </w:rPr>
        <w:t>d</w:t>
      </w:r>
      <w:r w:rsidR="004866E5" w:rsidRPr="00B22CA9">
        <w:rPr>
          <w:rFonts w:ascii="Times New Roman" w:hAnsi="Times New Roman" w:cs="Times New Roman"/>
          <w:sz w:val="24"/>
          <w:szCs w:val="24"/>
          <w:lang w:val="es-ES"/>
        </w:rPr>
        <w:t xml:space="preserve">erecho </w:t>
      </w:r>
      <w:r w:rsidR="00762A21" w:rsidRPr="00B22CA9">
        <w:rPr>
          <w:rFonts w:ascii="Times New Roman" w:hAnsi="Times New Roman" w:cs="Times New Roman"/>
          <w:sz w:val="24"/>
          <w:szCs w:val="24"/>
          <w:lang w:val="es-ES"/>
        </w:rPr>
        <w:t>i</w:t>
      </w:r>
      <w:r w:rsidR="004866E5" w:rsidRPr="00B22CA9">
        <w:rPr>
          <w:rFonts w:ascii="Times New Roman" w:hAnsi="Times New Roman" w:cs="Times New Roman"/>
          <w:sz w:val="24"/>
          <w:szCs w:val="24"/>
          <w:lang w:val="es-ES"/>
        </w:rPr>
        <w:t>nternacional</w:t>
      </w:r>
      <w:r w:rsidR="00EF6F61" w:rsidRPr="00B22CA9">
        <w:rPr>
          <w:rFonts w:ascii="Times New Roman" w:hAnsi="Times New Roman" w:cs="Times New Roman"/>
          <w:sz w:val="24"/>
          <w:szCs w:val="24"/>
          <w:lang w:val="es-ES"/>
        </w:rPr>
        <w:t xml:space="preserve"> hacia </w:t>
      </w:r>
      <w:r w:rsidRPr="00B22CA9">
        <w:rPr>
          <w:rFonts w:ascii="Times New Roman" w:hAnsi="Times New Roman" w:cs="Times New Roman"/>
          <w:sz w:val="24"/>
          <w:szCs w:val="24"/>
          <w:lang w:val="es-ES"/>
        </w:rPr>
        <w:t>una</w:t>
      </w:r>
      <w:r w:rsidR="00531E0D" w:rsidRPr="00B22CA9">
        <w:rPr>
          <w:rFonts w:ascii="Times New Roman" w:hAnsi="Times New Roman" w:cs="Times New Roman"/>
          <w:sz w:val="24"/>
          <w:szCs w:val="24"/>
          <w:lang w:val="es-ES"/>
        </w:rPr>
        <w:t xml:space="preserve"> sistematización federal</w:t>
      </w:r>
      <w:r w:rsidR="00EF6F61" w:rsidRPr="00B22CA9">
        <w:rPr>
          <w:rFonts w:ascii="Times New Roman" w:hAnsi="Times New Roman" w:cs="Times New Roman"/>
          <w:sz w:val="24"/>
          <w:szCs w:val="24"/>
          <w:lang w:val="es-ES"/>
        </w:rPr>
        <w:t xml:space="preserve"> incompleta</w:t>
      </w:r>
      <w:r w:rsidR="00531E0D" w:rsidRPr="00B22CA9">
        <w:rPr>
          <w:rFonts w:ascii="Times New Roman" w:hAnsi="Times New Roman" w:cs="Times New Roman"/>
          <w:sz w:val="24"/>
          <w:szCs w:val="24"/>
          <w:lang w:val="es-ES"/>
        </w:rPr>
        <w:t xml:space="preserve">. </w:t>
      </w:r>
      <w:r w:rsidR="003250B2" w:rsidRPr="00B22CA9">
        <w:rPr>
          <w:rFonts w:ascii="Times New Roman" w:hAnsi="Times New Roman" w:cs="Times New Roman"/>
          <w:sz w:val="24"/>
          <w:szCs w:val="24"/>
          <w:lang w:val="es-ES"/>
        </w:rPr>
        <w:t>L</w:t>
      </w:r>
      <w:r w:rsidR="00F31BE5" w:rsidRPr="00B22CA9">
        <w:rPr>
          <w:rFonts w:ascii="Times New Roman" w:hAnsi="Times New Roman" w:cs="Times New Roman"/>
          <w:sz w:val="24"/>
          <w:szCs w:val="24"/>
          <w:lang w:val="es-ES"/>
        </w:rPr>
        <w:t xml:space="preserve">a naturaleza </w:t>
      </w:r>
      <w:r w:rsidR="00742192" w:rsidRPr="00B22CA9">
        <w:rPr>
          <w:rFonts w:ascii="Times New Roman" w:hAnsi="Times New Roman" w:cs="Times New Roman"/>
          <w:sz w:val="24"/>
          <w:szCs w:val="24"/>
          <w:lang w:val="es-ES"/>
        </w:rPr>
        <w:t xml:space="preserve">del sistema jurisdiccional </w:t>
      </w:r>
      <w:r w:rsidR="001925AA" w:rsidRPr="00B22CA9">
        <w:rPr>
          <w:rFonts w:ascii="Times New Roman" w:hAnsi="Times New Roman" w:cs="Times New Roman"/>
          <w:sz w:val="24"/>
          <w:szCs w:val="24"/>
          <w:lang w:val="es-ES"/>
        </w:rPr>
        <w:t>en el que se inserta</w:t>
      </w:r>
      <w:r w:rsidR="003250B2" w:rsidRPr="00B22CA9">
        <w:rPr>
          <w:rFonts w:ascii="Times New Roman" w:hAnsi="Times New Roman" w:cs="Times New Roman"/>
          <w:sz w:val="24"/>
          <w:szCs w:val="24"/>
          <w:lang w:val="es-ES"/>
        </w:rPr>
        <w:t xml:space="preserve"> el procedimiento, que no es federal, es</w:t>
      </w:r>
      <w:r w:rsidR="001925AA" w:rsidRPr="00B22CA9">
        <w:rPr>
          <w:rFonts w:ascii="Times New Roman" w:hAnsi="Times New Roman" w:cs="Times New Roman"/>
          <w:sz w:val="24"/>
          <w:szCs w:val="24"/>
          <w:lang w:val="es-ES"/>
        </w:rPr>
        <w:t xml:space="preserve"> </w:t>
      </w:r>
      <w:r w:rsidR="00742192" w:rsidRPr="00B22CA9">
        <w:rPr>
          <w:rFonts w:ascii="Times New Roman" w:hAnsi="Times New Roman" w:cs="Times New Roman"/>
          <w:sz w:val="24"/>
          <w:szCs w:val="24"/>
          <w:lang w:val="es-ES"/>
        </w:rPr>
        <w:t xml:space="preserve">la que determina ese carácter incompleto. Ni el efecto directo ni la primacía han alterado la </w:t>
      </w:r>
      <w:r w:rsidR="003250B2" w:rsidRPr="00B22CA9">
        <w:rPr>
          <w:rFonts w:ascii="Times New Roman" w:hAnsi="Times New Roman" w:cs="Times New Roman"/>
          <w:sz w:val="24"/>
          <w:szCs w:val="24"/>
          <w:lang w:val="es-ES"/>
        </w:rPr>
        <w:t>configuración</w:t>
      </w:r>
      <w:r w:rsidR="00742192" w:rsidRPr="00B22CA9">
        <w:rPr>
          <w:rFonts w:ascii="Times New Roman" w:hAnsi="Times New Roman" w:cs="Times New Roman"/>
          <w:sz w:val="24"/>
          <w:szCs w:val="24"/>
          <w:lang w:val="es-ES"/>
        </w:rPr>
        <w:t xml:space="preserve"> de</w:t>
      </w:r>
      <w:r w:rsidR="001925AA" w:rsidRPr="00B22CA9">
        <w:rPr>
          <w:rFonts w:ascii="Times New Roman" w:hAnsi="Times New Roman" w:cs="Times New Roman"/>
          <w:sz w:val="24"/>
          <w:szCs w:val="24"/>
          <w:lang w:val="es-ES"/>
        </w:rPr>
        <w:t>l</w:t>
      </w:r>
      <w:r w:rsidR="00742192" w:rsidRPr="00B22CA9">
        <w:rPr>
          <w:rFonts w:ascii="Times New Roman" w:hAnsi="Times New Roman" w:cs="Times New Roman"/>
          <w:sz w:val="24"/>
          <w:szCs w:val="24"/>
          <w:lang w:val="es-ES"/>
        </w:rPr>
        <w:t xml:space="preserve"> sistema</w:t>
      </w:r>
      <w:r w:rsidR="001925AA" w:rsidRPr="00B22CA9">
        <w:rPr>
          <w:rFonts w:ascii="Times New Roman" w:hAnsi="Times New Roman" w:cs="Times New Roman"/>
          <w:sz w:val="24"/>
          <w:szCs w:val="24"/>
          <w:lang w:val="es-ES"/>
        </w:rPr>
        <w:t xml:space="preserve"> jurisdiccional</w:t>
      </w:r>
      <w:r w:rsidR="003250B2" w:rsidRPr="00B22CA9">
        <w:rPr>
          <w:rFonts w:ascii="Times New Roman" w:hAnsi="Times New Roman" w:cs="Times New Roman"/>
          <w:sz w:val="24"/>
          <w:szCs w:val="24"/>
          <w:lang w:val="es-ES"/>
        </w:rPr>
        <w:t xml:space="preserve"> de la Unión</w:t>
      </w:r>
      <w:r w:rsidR="00F31BE5" w:rsidRPr="00B22CA9">
        <w:rPr>
          <w:rFonts w:ascii="Times New Roman" w:hAnsi="Times New Roman" w:cs="Times New Roman"/>
          <w:sz w:val="24"/>
          <w:szCs w:val="24"/>
          <w:lang w:val="es-ES"/>
        </w:rPr>
        <w:t>, no han cambiado ni su estructura básica ni los mecanismos procesales de relación con las jurisdicciones estatales</w:t>
      </w:r>
      <w:r w:rsidR="001E4C2B" w:rsidRPr="00B22CA9">
        <w:rPr>
          <w:rFonts w:ascii="Times New Roman" w:hAnsi="Times New Roman" w:cs="Times New Roman"/>
          <w:sz w:val="24"/>
          <w:szCs w:val="24"/>
          <w:lang w:val="es-ES"/>
        </w:rPr>
        <w:t xml:space="preserve">. </w:t>
      </w:r>
      <w:r w:rsidR="00742192" w:rsidRPr="00B22CA9">
        <w:rPr>
          <w:rFonts w:ascii="Times New Roman" w:hAnsi="Times New Roman" w:cs="Times New Roman"/>
          <w:sz w:val="24"/>
          <w:szCs w:val="24"/>
          <w:lang w:val="es-ES"/>
        </w:rPr>
        <w:t>L</w:t>
      </w:r>
      <w:r w:rsidR="000A02C2" w:rsidRPr="00B22CA9">
        <w:rPr>
          <w:rFonts w:ascii="Times New Roman" w:hAnsi="Times New Roman" w:cs="Times New Roman"/>
          <w:sz w:val="24"/>
          <w:szCs w:val="24"/>
          <w:lang w:val="es-ES"/>
        </w:rPr>
        <w:t>os particulares no pueden acceder</w:t>
      </w:r>
      <w:r w:rsidR="003250B2" w:rsidRPr="00B22CA9">
        <w:rPr>
          <w:rFonts w:ascii="Times New Roman" w:hAnsi="Times New Roman" w:cs="Times New Roman"/>
          <w:sz w:val="24"/>
          <w:szCs w:val="24"/>
          <w:lang w:val="es-ES"/>
        </w:rPr>
        <w:t>,</w:t>
      </w:r>
      <w:r w:rsidR="000A02C2" w:rsidRPr="00B22CA9">
        <w:rPr>
          <w:rFonts w:ascii="Times New Roman" w:hAnsi="Times New Roman" w:cs="Times New Roman"/>
          <w:sz w:val="24"/>
          <w:szCs w:val="24"/>
          <w:lang w:val="es-ES"/>
        </w:rPr>
        <w:t xml:space="preserve"> </w:t>
      </w:r>
      <w:r w:rsidR="003250B2" w:rsidRPr="00B22CA9">
        <w:rPr>
          <w:rFonts w:ascii="Times New Roman" w:hAnsi="Times New Roman" w:cs="Times New Roman"/>
          <w:sz w:val="24"/>
          <w:szCs w:val="24"/>
          <w:lang w:val="es-ES"/>
        </w:rPr>
        <w:t xml:space="preserve">en calidad de litigantes, </w:t>
      </w:r>
      <w:r w:rsidR="000A02C2" w:rsidRPr="00B22CA9">
        <w:rPr>
          <w:rFonts w:ascii="Times New Roman" w:hAnsi="Times New Roman" w:cs="Times New Roman"/>
          <w:sz w:val="24"/>
          <w:szCs w:val="24"/>
          <w:lang w:val="es-ES"/>
        </w:rPr>
        <w:t>a la suprema instancia jurisdiccional de la Unión ni a través del incumplimiento ni a través de la cuestión prejudicial</w:t>
      </w:r>
      <w:r w:rsidR="00F31BE5" w:rsidRPr="00B22CA9">
        <w:rPr>
          <w:rFonts w:ascii="Times New Roman" w:hAnsi="Times New Roman" w:cs="Times New Roman"/>
          <w:sz w:val="24"/>
          <w:szCs w:val="24"/>
          <w:lang w:val="es-ES"/>
        </w:rPr>
        <w:t>. No hay cauces</w:t>
      </w:r>
      <w:r w:rsidR="000A02C2" w:rsidRPr="00B22CA9">
        <w:rPr>
          <w:rFonts w:ascii="Times New Roman" w:hAnsi="Times New Roman" w:cs="Times New Roman"/>
          <w:sz w:val="24"/>
          <w:szCs w:val="24"/>
          <w:lang w:val="es-ES"/>
        </w:rPr>
        <w:t xml:space="preserve"> </w:t>
      </w:r>
      <w:r w:rsidR="001E4C2B" w:rsidRPr="00B22CA9">
        <w:rPr>
          <w:rFonts w:ascii="Times New Roman" w:hAnsi="Times New Roman" w:cs="Times New Roman"/>
          <w:sz w:val="24"/>
          <w:szCs w:val="24"/>
          <w:lang w:val="es-ES"/>
        </w:rPr>
        <w:t>para</w:t>
      </w:r>
      <w:r w:rsidR="000A02C2" w:rsidRPr="00B22CA9">
        <w:rPr>
          <w:rFonts w:ascii="Times New Roman" w:hAnsi="Times New Roman" w:cs="Times New Roman"/>
          <w:sz w:val="24"/>
          <w:szCs w:val="24"/>
          <w:lang w:val="es-ES"/>
        </w:rPr>
        <w:t xml:space="preserve"> la impugnación</w:t>
      </w:r>
      <w:r w:rsidR="0004426F" w:rsidRPr="00B22CA9">
        <w:rPr>
          <w:rFonts w:ascii="Times New Roman" w:hAnsi="Times New Roman" w:cs="Times New Roman"/>
          <w:sz w:val="24"/>
          <w:szCs w:val="24"/>
          <w:lang w:val="es-ES"/>
        </w:rPr>
        <w:t xml:space="preserve"> directa</w:t>
      </w:r>
      <w:r w:rsidR="003250B2" w:rsidRPr="00B22CA9">
        <w:rPr>
          <w:rFonts w:ascii="Times New Roman" w:hAnsi="Times New Roman" w:cs="Times New Roman"/>
          <w:sz w:val="24"/>
          <w:szCs w:val="24"/>
          <w:lang w:val="es-ES"/>
        </w:rPr>
        <w:t xml:space="preserve"> ante el TJUE</w:t>
      </w:r>
      <w:r w:rsidR="00A70F09" w:rsidRPr="00B22CA9">
        <w:rPr>
          <w:rFonts w:ascii="Times New Roman" w:hAnsi="Times New Roman" w:cs="Times New Roman"/>
          <w:sz w:val="24"/>
          <w:szCs w:val="24"/>
          <w:lang w:val="es-ES"/>
        </w:rPr>
        <w:t xml:space="preserve">, </w:t>
      </w:r>
      <w:r w:rsidR="003250B2" w:rsidRPr="00B22CA9">
        <w:rPr>
          <w:rFonts w:ascii="Times New Roman" w:hAnsi="Times New Roman" w:cs="Times New Roman"/>
          <w:sz w:val="24"/>
          <w:szCs w:val="24"/>
          <w:lang w:val="es-ES"/>
        </w:rPr>
        <w:t xml:space="preserve">y </w:t>
      </w:r>
      <w:r w:rsidR="00F31BE5" w:rsidRPr="00B22CA9">
        <w:rPr>
          <w:rFonts w:ascii="Times New Roman" w:hAnsi="Times New Roman" w:cs="Times New Roman"/>
          <w:sz w:val="24"/>
          <w:szCs w:val="24"/>
          <w:lang w:val="es-ES"/>
        </w:rPr>
        <w:t>tampoco en vía de recurso</w:t>
      </w:r>
      <w:r w:rsidR="00A70F09" w:rsidRPr="00B22CA9">
        <w:rPr>
          <w:rStyle w:val="Refdenotaalpie"/>
          <w:rFonts w:ascii="Times New Roman" w:hAnsi="Times New Roman" w:cs="Times New Roman"/>
          <w:sz w:val="24"/>
          <w:szCs w:val="24"/>
          <w:lang w:val="es-ES"/>
        </w:rPr>
        <w:footnoteReference w:id="22"/>
      </w:r>
      <w:r w:rsidR="00A70F09" w:rsidRPr="00B22CA9">
        <w:rPr>
          <w:rFonts w:ascii="Times New Roman" w:hAnsi="Times New Roman" w:cs="Times New Roman"/>
          <w:sz w:val="24"/>
          <w:szCs w:val="24"/>
          <w:lang w:val="es-ES"/>
        </w:rPr>
        <w:t xml:space="preserve">, </w:t>
      </w:r>
      <w:r w:rsidR="000A02C2" w:rsidRPr="00B22CA9">
        <w:rPr>
          <w:rFonts w:ascii="Times New Roman" w:hAnsi="Times New Roman" w:cs="Times New Roman"/>
          <w:sz w:val="24"/>
          <w:szCs w:val="24"/>
          <w:lang w:val="es-ES"/>
        </w:rPr>
        <w:t>de</w:t>
      </w:r>
      <w:r w:rsidR="004866E5" w:rsidRPr="00B22CA9">
        <w:rPr>
          <w:rFonts w:ascii="Times New Roman" w:hAnsi="Times New Roman" w:cs="Times New Roman"/>
          <w:sz w:val="24"/>
          <w:szCs w:val="24"/>
          <w:lang w:val="es-ES"/>
        </w:rPr>
        <w:t xml:space="preserve"> las infracciones</w:t>
      </w:r>
      <w:r w:rsidR="000A02C2" w:rsidRPr="00B22CA9">
        <w:rPr>
          <w:rFonts w:ascii="Times New Roman" w:hAnsi="Times New Roman" w:cs="Times New Roman"/>
          <w:sz w:val="24"/>
          <w:szCs w:val="24"/>
          <w:lang w:val="es-ES"/>
        </w:rPr>
        <w:t xml:space="preserve"> en perjuicio</w:t>
      </w:r>
      <w:r w:rsidR="00F31BE5" w:rsidRPr="00B22CA9">
        <w:rPr>
          <w:rFonts w:ascii="Times New Roman" w:hAnsi="Times New Roman" w:cs="Times New Roman"/>
          <w:sz w:val="24"/>
          <w:szCs w:val="24"/>
          <w:lang w:val="es-ES"/>
        </w:rPr>
        <w:t xml:space="preserve"> de un particular que resulten de la acción </w:t>
      </w:r>
      <w:r w:rsidR="000A02C2" w:rsidRPr="00B22CA9">
        <w:rPr>
          <w:rFonts w:ascii="Times New Roman" w:hAnsi="Times New Roman" w:cs="Times New Roman"/>
          <w:sz w:val="24"/>
          <w:szCs w:val="24"/>
          <w:lang w:val="es-ES"/>
        </w:rPr>
        <w:t>de</w:t>
      </w:r>
      <w:r w:rsidR="004866E5" w:rsidRPr="00B22CA9">
        <w:rPr>
          <w:rFonts w:ascii="Times New Roman" w:hAnsi="Times New Roman" w:cs="Times New Roman"/>
          <w:sz w:val="24"/>
          <w:szCs w:val="24"/>
          <w:lang w:val="es-ES"/>
        </w:rPr>
        <w:t xml:space="preserve"> los Estados miembros</w:t>
      </w:r>
      <w:r w:rsidR="00433C54" w:rsidRPr="00B22CA9">
        <w:rPr>
          <w:rFonts w:ascii="Times New Roman" w:hAnsi="Times New Roman" w:cs="Times New Roman"/>
          <w:sz w:val="24"/>
          <w:szCs w:val="24"/>
          <w:lang w:val="es-ES"/>
        </w:rPr>
        <w:t xml:space="preserve"> (</w:t>
      </w:r>
      <w:proofErr w:type="spellStart"/>
      <w:r w:rsidR="00433C54" w:rsidRPr="00B22CA9">
        <w:rPr>
          <w:rFonts w:ascii="Times New Roman" w:hAnsi="Times New Roman" w:cs="Times New Roman"/>
          <w:sz w:val="24"/>
          <w:szCs w:val="24"/>
          <w:lang w:val="es-ES"/>
        </w:rPr>
        <w:t>Lindholm</w:t>
      </w:r>
      <w:proofErr w:type="spellEnd"/>
      <w:r w:rsidR="00433C54" w:rsidRPr="00B22CA9">
        <w:rPr>
          <w:rFonts w:ascii="Times New Roman" w:hAnsi="Times New Roman" w:cs="Times New Roman"/>
          <w:sz w:val="24"/>
          <w:szCs w:val="24"/>
          <w:lang w:val="es-ES"/>
        </w:rPr>
        <w:t>, 2007: 71)</w:t>
      </w:r>
      <w:r w:rsidR="004866E5" w:rsidRPr="00B22CA9">
        <w:rPr>
          <w:rFonts w:ascii="Times New Roman" w:hAnsi="Times New Roman" w:cs="Times New Roman"/>
          <w:sz w:val="24"/>
          <w:szCs w:val="24"/>
          <w:lang w:val="es-ES"/>
        </w:rPr>
        <w:t>.</w:t>
      </w:r>
      <w:r w:rsidR="00F31BE5" w:rsidRPr="00B22CA9">
        <w:rPr>
          <w:rFonts w:ascii="Times New Roman" w:hAnsi="Times New Roman" w:cs="Times New Roman"/>
          <w:sz w:val="24"/>
          <w:szCs w:val="24"/>
          <w:lang w:val="es-ES"/>
        </w:rPr>
        <w:t xml:space="preserve"> Y ni siquiera una sentencia de incumplimiento del Tribunal de Justicia tiene eficacia ejecutiva propia. Son sentencias declarativas (Evans, 1979: 444) (Díez-</w:t>
      </w:r>
      <w:proofErr w:type="spellStart"/>
      <w:r w:rsidR="00F31BE5" w:rsidRPr="00B22CA9">
        <w:rPr>
          <w:rFonts w:ascii="Times New Roman" w:hAnsi="Times New Roman" w:cs="Times New Roman"/>
          <w:sz w:val="24"/>
          <w:szCs w:val="24"/>
          <w:lang w:val="es-ES"/>
        </w:rPr>
        <w:t>Hochleitner</w:t>
      </w:r>
      <w:proofErr w:type="spellEnd"/>
      <w:r w:rsidR="00F31BE5" w:rsidRPr="00B22CA9">
        <w:rPr>
          <w:rFonts w:ascii="Times New Roman" w:hAnsi="Times New Roman" w:cs="Times New Roman"/>
          <w:sz w:val="24"/>
          <w:szCs w:val="24"/>
          <w:lang w:val="es-ES"/>
        </w:rPr>
        <w:t>, 1993: 840) (Materne, 2012: 331) (Núñez Lozano, 2017: 562). N</w:t>
      </w:r>
      <w:r w:rsidR="001925AA" w:rsidRPr="00B22CA9">
        <w:rPr>
          <w:rFonts w:ascii="Times New Roman" w:hAnsi="Times New Roman" w:cs="Times New Roman"/>
          <w:sz w:val="24"/>
          <w:szCs w:val="24"/>
          <w:lang w:val="es-ES"/>
        </w:rPr>
        <w:t>o</w:t>
      </w:r>
      <w:r w:rsidR="00F31BE5" w:rsidRPr="00B22CA9">
        <w:rPr>
          <w:rFonts w:ascii="Times New Roman" w:hAnsi="Times New Roman" w:cs="Times New Roman"/>
          <w:sz w:val="24"/>
          <w:szCs w:val="24"/>
          <w:lang w:val="es-ES"/>
        </w:rPr>
        <w:t xml:space="preserve"> modifican ni derogan ni producen efecto </w:t>
      </w:r>
      <w:r w:rsidR="00F31BE5" w:rsidRPr="00B22CA9">
        <w:rPr>
          <w:rFonts w:ascii="Times New Roman" w:hAnsi="Times New Roman" w:cs="Times New Roman"/>
          <w:sz w:val="24"/>
          <w:szCs w:val="24"/>
          <w:lang w:val="es-ES"/>
        </w:rPr>
        <w:lastRenderedPageBreak/>
        <w:t>alguno en el ordenamiento del Estado infractor sin la intervención de los poderes públicos del mismo</w:t>
      </w:r>
      <w:r w:rsidR="00F31BE5" w:rsidRPr="00B22CA9">
        <w:rPr>
          <w:rStyle w:val="Refdenotaalpie"/>
          <w:rFonts w:ascii="Times New Roman" w:hAnsi="Times New Roman" w:cs="Times New Roman"/>
          <w:sz w:val="24"/>
          <w:szCs w:val="24"/>
          <w:lang w:val="es-ES"/>
        </w:rPr>
        <w:footnoteReference w:id="23"/>
      </w:r>
      <w:r w:rsidR="00F553A0" w:rsidRPr="00B22CA9">
        <w:rPr>
          <w:rFonts w:ascii="Times New Roman" w:hAnsi="Times New Roman" w:cs="Times New Roman"/>
          <w:sz w:val="24"/>
          <w:szCs w:val="24"/>
          <w:lang w:val="es-ES"/>
        </w:rPr>
        <w:t>, que</w:t>
      </w:r>
      <w:r w:rsidR="003250B2" w:rsidRPr="00B22CA9">
        <w:rPr>
          <w:rFonts w:ascii="Times New Roman" w:hAnsi="Times New Roman" w:cs="Times New Roman"/>
          <w:sz w:val="24"/>
          <w:szCs w:val="24"/>
          <w:lang w:val="es-ES"/>
        </w:rPr>
        <w:t>, eso sí,</w:t>
      </w:r>
      <w:r w:rsidR="00F553A0" w:rsidRPr="00B22CA9">
        <w:rPr>
          <w:rFonts w:ascii="Times New Roman" w:hAnsi="Times New Roman" w:cs="Times New Roman"/>
          <w:sz w:val="24"/>
          <w:szCs w:val="24"/>
          <w:lang w:val="es-ES"/>
        </w:rPr>
        <w:t xml:space="preserve"> están obligados a cumplir los mandatos del fallo</w:t>
      </w:r>
      <w:r w:rsidR="00F553A0" w:rsidRPr="00B22CA9">
        <w:rPr>
          <w:rStyle w:val="Refdenotaalpie"/>
          <w:rFonts w:ascii="Times New Roman" w:hAnsi="Times New Roman" w:cs="Times New Roman"/>
          <w:sz w:val="24"/>
          <w:szCs w:val="24"/>
          <w:lang w:val="es-ES"/>
        </w:rPr>
        <w:footnoteReference w:id="24"/>
      </w:r>
      <w:r w:rsidR="00F31BE5" w:rsidRPr="00B22CA9">
        <w:rPr>
          <w:rFonts w:ascii="Times New Roman" w:hAnsi="Times New Roman" w:cs="Times New Roman"/>
          <w:sz w:val="24"/>
          <w:szCs w:val="24"/>
          <w:lang w:val="es-ES"/>
        </w:rPr>
        <w:t xml:space="preserve">.  </w:t>
      </w:r>
    </w:p>
    <w:p w:rsidR="00D70B39" w:rsidRPr="00B22CA9" w:rsidRDefault="003250B2" w:rsidP="007F11DF">
      <w:pPr>
        <w:spacing w:line="240" w:lineRule="auto"/>
        <w:ind w:firstLine="720"/>
        <w:jc w:val="both"/>
        <w:rPr>
          <w:rFonts w:ascii="Times New Roman" w:hAnsi="Times New Roman" w:cs="Times New Roman"/>
          <w:sz w:val="24"/>
          <w:szCs w:val="24"/>
          <w:lang w:val="es-ES"/>
        </w:rPr>
      </w:pPr>
      <w:r w:rsidRPr="00B22CA9">
        <w:rPr>
          <w:rFonts w:ascii="Times New Roman" w:hAnsi="Times New Roman" w:cs="Times New Roman"/>
          <w:sz w:val="24"/>
          <w:szCs w:val="24"/>
          <w:lang w:val="es-ES"/>
        </w:rPr>
        <w:t>L</w:t>
      </w:r>
      <w:r w:rsidR="00F31BE5" w:rsidRPr="00B22CA9">
        <w:rPr>
          <w:rFonts w:ascii="Times New Roman" w:hAnsi="Times New Roman" w:cs="Times New Roman"/>
          <w:sz w:val="24"/>
          <w:szCs w:val="24"/>
          <w:lang w:val="es-ES"/>
        </w:rPr>
        <w:t xml:space="preserve">a </w:t>
      </w:r>
      <w:r w:rsidRPr="00B22CA9">
        <w:rPr>
          <w:rFonts w:ascii="Times New Roman" w:hAnsi="Times New Roman" w:cs="Times New Roman"/>
          <w:sz w:val="24"/>
          <w:szCs w:val="24"/>
          <w:lang w:val="es-ES"/>
        </w:rPr>
        <w:t>ejecución de esas sentencias puede canalizarse, hasta cierto punto, también a través</w:t>
      </w:r>
      <w:r w:rsidR="00F31BE5" w:rsidRPr="00B22CA9">
        <w:rPr>
          <w:rFonts w:ascii="Times New Roman" w:hAnsi="Times New Roman" w:cs="Times New Roman"/>
          <w:sz w:val="24"/>
          <w:szCs w:val="24"/>
          <w:lang w:val="es-ES"/>
        </w:rPr>
        <w:t xml:space="preserve"> de los tribunales nacionales</w:t>
      </w:r>
      <w:r w:rsidRPr="00B22CA9">
        <w:rPr>
          <w:rFonts w:ascii="Times New Roman" w:hAnsi="Times New Roman" w:cs="Times New Roman"/>
          <w:sz w:val="24"/>
          <w:szCs w:val="24"/>
          <w:lang w:val="es-ES"/>
        </w:rPr>
        <w:t>. U</w:t>
      </w:r>
      <w:r w:rsidR="00F31BE5" w:rsidRPr="00B22CA9">
        <w:rPr>
          <w:rFonts w:ascii="Times New Roman" w:hAnsi="Times New Roman" w:cs="Times New Roman"/>
          <w:sz w:val="24"/>
          <w:szCs w:val="24"/>
          <w:lang w:val="es-ES"/>
        </w:rPr>
        <w:t xml:space="preserve">n particular puede acudir </w:t>
      </w:r>
      <w:r w:rsidRPr="00B22CA9">
        <w:rPr>
          <w:rFonts w:ascii="Times New Roman" w:hAnsi="Times New Roman" w:cs="Times New Roman"/>
          <w:sz w:val="24"/>
          <w:szCs w:val="24"/>
          <w:lang w:val="es-ES"/>
        </w:rPr>
        <w:t xml:space="preserve">al juez estatal </w:t>
      </w:r>
      <w:r w:rsidR="00F31BE5" w:rsidRPr="00B22CA9">
        <w:rPr>
          <w:rFonts w:ascii="Times New Roman" w:hAnsi="Times New Roman" w:cs="Times New Roman"/>
          <w:sz w:val="24"/>
          <w:szCs w:val="24"/>
          <w:lang w:val="es-ES"/>
        </w:rPr>
        <w:t>reclamando la ejecución de</w:t>
      </w:r>
      <w:r w:rsidR="00676B9D" w:rsidRPr="00B22CA9">
        <w:rPr>
          <w:rFonts w:ascii="Times New Roman" w:hAnsi="Times New Roman" w:cs="Times New Roman"/>
          <w:sz w:val="24"/>
          <w:szCs w:val="24"/>
          <w:lang w:val="es-ES"/>
        </w:rPr>
        <w:t xml:space="preserve"> </w:t>
      </w:r>
      <w:r w:rsidR="00F31BE5" w:rsidRPr="00B22CA9">
        <w:rPr>
          <w:rFonts w:ascii="Times New Roman" w:hAnsi="Times New Roman" w:cs="Times New Roman"/>
          <w:sz w:val="24"/>
          <w:szCs w:val="24"/>
          <w:lang w:val="es-ES"/>
        </w:rPr>
        <w:t>l</w:t>
      </w:r>
      <w:r w:rsidR="00676B9D" w:rsidRPr="00B22CA9">
        <w:rPr>
          <w:rFonts w:ascii="Times New Roman" w:hAnsi="Times New Roman" w:cs="Times New Roman"/>
          <w:sz w:val="24"/>
          <w:szCs w:val="24"/>
          <w:lang w:val="es-ES"/>
        </w:rPr>
        <w:t>os</w:t>
      </w:r>
      <w:r w:rsidR="00F31BE5" w:rsidRPr="00B22CA9">
        <w:rPr>
          <w:rFonts w:ascii="Times New Roman" w:hAnsi="Times New Roman" w:cs="Times New Roman"/>
          <w:sz w:val="24"/>
          <w:szCs w:val="24"/>
          <w:lang w:val="es-ES"/>
        </w:rPr>
        <w:t xml:space="preserve"> mandatos de una sentencia de incumplimiento en aquello que le afecte</w:t>
      </w:r>
      <w:r w:rsidR="00676B9D" w:rsidRPr="00B22CA9">
        <w:rPr>
          <w:rFonts w:ascii="Times New Roman" w:hAnsi="Times New Roman" w:cs="Times New Roman"/>
          <w:sz w:val="24"/>
          <w:szCs w:val="24"/>
          <w:lang w:val="es-ES"/>
        </w:rPr>
        <w:t>. T</w:t>
      </w:r>
      <w:r w:rsidR="00F31BE5" w:rsidRPr="00B22CA9">
        <w:rPr>
          <w:rFonts w:ascii="Times New Roman" w:hAnsi="Times New Roman" w:cs="Times New Roman"/>
          <w:sz w:val="24"/>
          <w:szCs w:val="24"/>
          <w:lang w:val="es-ES"/>
        </w:rPr>
        <w:t xml:space="preserve">ambién </w:t>
      </w:r>
      <w:r w:rsidRPr="00B22CA9">
        <w:rPr>
          <w:rFonts w:ascii="Times New Roman" w:hAnsi="Times New Roman" w:cs="Times New Roman"/>
          <w:sz w:val="24"/>
          <w:szCs w:val="24"/>
          <w:lang w:val="es-ES"/>
        </w:rPr>
        <w:t xml:space="preserve">puede </w:t>
      </w:r>
      <w:r w:rsidR="00F31BE5" w:rsidRPr="00B22CA9">
        <w:rPr>
          <w:rFonts w:ascii="Times New Roman" w:hAnsi="Times New Roman" w:cs="Times New Roman"/>
          <w:sz w:val="24"/>
          <w:szCs w:val="24"/>
          <w:lang w:val="es-ES"/>
        </w:rPr>
        <w:t>exigir</w:t>
      </w:r>
      <w:r w:rsidRPr="00B22CA9">
        <w:rPr>
          <w:rFonts w:ascii="Times New Roman" w:hAnsi="Times New Roman" w:cs="Times New Roman"/>
          <w:sz w:val="24"/>
          <w:szCs w:val="24"/>
          <w:lang w:val="es-ES"/>
        </w:rPr>
        <w:t xml:space="preserve"> ante ese juez</w:t>
      </w:r>
      <w:r w:rsidR="00F31BE5" w:rsidRPr="00B22CA9">
        <w:rPr>
          <w:rFonts w:ascii="Times New Roman" w:hAnsi="Times New Roman" w:cs="Times New Roman"/>
          <w:sz w:val="24"/>
          <w:szCs w:val="24"/>
          <w:lang w:val="es-ES"/>
        </w:rPr>
        <w:t xml:space="preserve"> la responsabilidad al Estado por el perjuicio que le cause el incumplimiento</w:t>
      </w:r>
      <w:r w:rsidR="00F31BE5" w:rsidRPr="00B22CA9">
        <w:rPr>
          <w:rStyle w:val="Refdenotaalpie"/>
          <w:rFonts w:ascii="Times New Roman" w:hAnsi="Times New Roman" w:cs="Times New Roman"/>
          <w:sz w:val="24"/>
          <w:szCs w:val="24"/>
          <w:lang w:val="es-ES"/>
        </w:rPr>
        <w:footnoteReference w:id="25"/>
      </w:r>
      <w:r w:rsidR="00F31BE5" w:rsidRPr="00B22CA9">
        <w:rPr>
          <w:rFonts w:ascii="Times New Roman" w:hAnsi="Times New Roman" w:cs="Times New Roman"/>
          <w:sz w:val="24"/>
          <w:szCs w:val="24"/>
          <w:lang w:val="es-ES"/>
        </w:rPr>
        <w:t>. De esa manera vicaria, apelando al efecto directo y a la primacía, un fallo por incumplimiento puede alcanzar efectos en el Estado infractor independientemente de la voluntad del legislador o del ejecutivo</w:t>
      </w:r>
      <w:r w:rsidRPr="00B22CA9">
        <w:rPr>
          <w:rFonts w:ascii="Times New Roman" w:hAnsi="Times New Roman" w:cs="Times New Roman"/>
          <w:sz w:val="24"/>
          <w:szCs w:val="24"/>
          <w:lang w:val="es-ES"/>
        </w:rPr>
        <w:t>, siempre con la colaboración del judicial</w:t>
      </w:r>
      <w:r w:rsidR="00F31BE5" w:rsidRPr="00B22CA9">
        <w:rPr>
          <w:rFonts w:ascii="Times New Roman" w:hAnsi="Times New Roman" w:cs="Times New Roman"/>
          <w:sz w:val="24"/>
          <w:szCs w:val="24"/>
          <w:lang w:val="es-ES"/>
        </w:rPr>
        <w:t xml:space="preserve">. </w:t>
      </w:r>
    </w:p>
    <w:p w:rsidR="002A5770" w:rsidRPr="00B22CA9" w:rsidRDefault="001243FF" w:rsidP="007F11DF">
      <w:pPr>
        <w:spacing w:line="240" w:lineRule="auto"/>
        <w:ind w:firstLine="720"/>
        <w:jc w:val="both"/>
        <w:rPr>
          <w:rFonts w:ascii="Times New Roman" w:hAnsi="Times New Roman" w:cs="Times New Roman"/>
          <w:sz w:val="24"/>
          <w:szCs w:val="24"/>
          <w:lang w:val="es-ES"/>
        </w:rPr>
      </w:pPr>
      <w:r w:rsidRPr="00B22CA9">
        <w:rPr>
          <w:rFonts w:ascii="Times New Roman" w:hAnsi="Times New Roman" w:cs="Times New Roman"/>
          <w:sz w:val="24"/>
          <w:szCs w:val="24"/>
          <w:lang w:val="es-ES"/>
        </w:rPr>
        <w:t xml:space="preserve">Por </w:t>
      </w:r>
      <w:r w:rsidR="00D70B39" w:rsidRPr="00B22CA9">
        <w:rPr>
          <w:rFonts w:ascii="Times New Roman" w:hAnsi="Times New Roman" w:cs="Times New Roman"/>
          <w:sz w:val="24"/>
          <w:szCs w:val="24"/>
          <w:lang w:val="es-ES"/>
        </w:rPr>
        <w:t xml:space="preserve">último, </w:t>
      </w:r>
      <w:r w:rsidR="0097171A" w:rsidRPr="00B22CA9">
        <w:rPr>
          <w:rFonts w:ascii="Times New Roman" w:hAnsi="Times New Roman" w:cs="Times New Roman"/>
          <w:sz w:val="24"/>
          <w:szCs w:val="24"/>
          <w:lang w:val="es-ES"/>
        </w:rPr>
        <w:t xml:space="preserve">se </w:t>
      </w:r>
      <w:r w:rsidR="00D70B39" w:rsidRPr="00B22CA9">
        <w:rPr>
          <w:rFonts w:ascii="Times New Roman" w:hAnsi="Times New Roman" w:cs="Times New Roman"/>
          <w:sz w:val="24"/>
          <w:szCs w:val="24"/>
          <w:lang w:val="es-ES"/>
        </w:rPr>
        <w:t>entiende</w:t>
      </w:r>
      <w:r w:rsidR="0097171A" w:rsidRPr="00B22CA9">
        <w:rPr>
          <w:rFonts w:ascii="Times New Roman" w:hAnsi="Times New Roman" w:cs="Times New Roman"/>
          <w:sz w:val="24"/>
          <w:szCs w:val="24"/>
          <w:lang w:val="es-ES"/>
        </w:rPr>
        <w:t xml:space="preserve"> que </w:t>
      </w:r>
      <w:r w:rsidRPr="00B22CA9">
        <w:rPr>
          <w:rFonts w:ascii="Times New Roman" w:hAnsi="Times New Roman" w:cs="Times New Roman"/>
          <w:sz w:val="24"/>
          <w:szCs w:val="24"/>
          <w:lang w:val="es-ES"/>
        </w:rPr>
        <w:t>u</w:t>
      </w:r>
      <w:r w:rsidR="00407629" w:rsidRPr="00B22CA9">
        <w:rPr>
          <w:rFonts w:ascii="Times New Roman" w:hAnsi="Times New Roman" w:cs="Times New Roman"/>
          <w:sz w:val="24"/>
          <w:szCs w:val="24"/>
          <w:lang w:val="es-ES"/>
        </w:rPr>
        <w:t xml:space="preserve">n fallo de incumplimiento impediría a los poderes públicos de un Estado seguir aplicando disposiciones declaradas contrarias al </w:t>
      </w:r>
      <w:r w:rsidR="00EA6435" w:rsidRPr="00B22CA9">
        <w:rPr>
          <w:rFonts w:ascii="Times New Roman" w:hAnsi="Times New Roman" w:cs="Times New Roman"/>
          <w:sz w:val="24"/>
          <w:szCs w:val="24"/>
          <w:lang w:val="es-ES"/>
        </w:rPr>
        <w:t>d</w:t>
      </w:r>
      <w:r w:rsidR="00407629" w:rsidRPr="00B22CA9">
        <w:rPr>
          <w:rFonts w:ascii="Times New Roman" w:hAnsi="Times New Roman" w:cs="Times New Roman"/>
          <w:sz w:val="24"/>
          <w:szCs w:val="24"/>
          <w:lang w:val="es-ES"/>
        </w:rPr>
        <w:t>erecho de la Unión, o seguir actuando en contravención del mismo</w:t>
      </w:r>
      <w:r w:rsidR="003D2C53" w:rsidRPr="00B22CA9">
        <w:rPr>
          <w:rFonts w:ascii="Times New Roman" w:hAnsi="Times New Roman" w:cs="Times New Roman"/>
          <w:sz w:val="24"/>
          <w:szCs w:val="24"/>
          <w:lang w:val="es-ES"/>
        </w:rPr>
        <w:t>. De ahí que se predi</w:t>
      </w:r>
      <w:r w:rsidR="0097171A" w:rsidRPr="00B22CA9">
        <w:rPr>
          <w:rFonts w:ascii="Times New Roman" w:hAnsi="Times New Roman" w:cs="Times New Roman"/>
          <w:sz w:val="24"/>
          <w:szCs w:val="24"/>
          <w:lang w:val="es-ES"/>
        </w:rPr>
        <w:t>que en algunos ámbitos</w:t>
      </w:r>
      <w:r w:rsidR="003D2C53" w:rsidRPr="00B22CA9">
        <w:rPr>
          <w:rFonts w:ascii="Times New Roman" w:hAnsi="Times New Roman" w:cs="Times New Roman"/>
          <w:sz w:val="24"/>
          <w:szCs w:val="24"/>
          <w:lang w:val="es-ES"/>
        </w:rPr>
        <w:t xml:space="preserve"> </w:t>
      </w:r>
      <w:r w:rsidR="00E32F23" w:rsidRPr="00B22CA9">
        <w:rPr>
          <w:rFonts w:ascii="Times New Roman" w:hAnsi="Times New Roman" w:cs="Times New Roman"/>
          <w:sz w:val="24"/>
          <w:szCs w:val="24"/>
          <w:lang w:val="es-ES"/>
        </w:rPr>
        <w:t xml:space="preserve">doctrinales </w:t>
      </w:r>
      <w:r w:rsidR="00407629" w:rsidRPr="00B22CA9">
        <w:rPr>
          <w:rFonts w:ascii="Times New Roman" w:hAnsi="Times New Roman" w:cs="Times New Roman"/>
          <w:sz w:val="24"/>
          <w:szCs w:val="24"/>
          <w:lang w:val="es-ES"/>
        </w:rPr>
        <w:t xml:space="preserve">la eficacia </w:t>
      </w:r>
      <w:r w:rsidR="00407629" w:rsidRPr="00B22CA9">
        <w:rPr>
          <w:rFonts w:ascii="Times New Roman" w:hAnsi="Times New Roman" w:cs="Times New Roman"/>
          <w:i/>
          <w:iCs/>
          <w:sz w:val="24"/>
          <w:szCs w:val="24"/>
          <w:lang w:val="es-ES"/>
        </w:rPr>
        <w:t xml:space="preserve">erga omnes </w:t>
      </w:r>
      <w:r w:rsidR="00407629" w:rsidRPr="00B22CA9">
        <w:rPr>
          <w:rFonts w:ascii="Times New Roman" w:hAnsi="Times New Roman" w:cs="Times New Roman"/>
          <w:sz w:val="24"/>
          <w:szCs w:val="24"/>
          <w:lang w:val="es-ES"/>
        </w:rPr>
        <w:t xml:space="preserve">de </w:t>
      </w:r>
      <w:r w:rsidR="003D2C53" w:rsidRPr="00B22CA9">
        <w:rPr>
          <w:rFonts w:ascii="Times New Roman" w:hAnsi="Times New Roman" w:cs="Times New Roman"/>
          <w:sz w:val="24"/>
          <w:szCs w:val="24"/>
          <w:lang w:val="es-ES"/>
        </w:rPr>
        <w:t>esas</w:t>
      </w:r>
      <w:r w:rsidR="00407629" w:rsidRPr="00B22CA9">
        <w:rPr>
          <w:rFonts w:ascii="Times New Roman" w:hAnsi="Times New Roman" w:cs="Times New Roman"/>
          <w:sz w:val="24"/>
          <w:szCs w:val="24"/>
          <w:lang w:val="es-ES"/>
        </w:rPr>
        <w:t xml:space="preserve"> sentencia</w:t>
      </w:r>
      <w:r w:rsidR="003D2C53" w:rsidRPr="00B22CA9">
        <w:rPr>
          <w:rFonts w:ascii="Times New Roman" w:hAnsi="Times New Roman" w:cs="Times New Roman"/>
          <w:sz w:val="24"/>
          <w:szCs w:val="24"/>
          <w:lang w:val="es-ES"/>
        </w:rPr>
        <w:t>s</w:t>
      </w:r>
      <w:r w:rsidR="00407629" w:rsidRPr="00B22CA9">
        <w:rPr>
          <w:rFonts w:ascii="Times New Roman" w:hAnsi="Times New Roman" w:cs="Times New Roman"/>
          <w:sz w:val="24"/>
          <w:szCs w:val="24"/>
          <w:lang w:val="es-ES"/>
        </w:rPr>
        <w:t xml:space="preserve"> (Mater</w:t>
      </w:r>
      <w:r w:rsidR="00433988" w:rsidRPr="00B22CA9">
        <w:rPr>
          <w:rFonts w:ascii="Times New Roman" w:hAnsi="Times New Roman" w:cs="Times New Roman"/>
          <w:sz w:val="24"/>
          <w:szCs w:val="24"/>
          <w:lang w:val="es-ES"/>
        </w:rPr>
        <w:t>n</w:t>
      </w:r>
      <w:r w:rsidR="00407629" w:rsidRPr="00B22CA9">
        <w:rPr>
          <w:rFonts w:ascii="Times New Roman" w:hAnsi="Times New Roman" w:cs="Times New Roman"/>
          <w:sz w:val="24"/>
          <w:szCs w:val="24"/>
          <w:lang w:val="es-ES"/>
        </w:rPr>
        <w:t>e, 2012: 333)</w:t>
      </w:r>
      <w:r w:rsidRPr="00B22CA9">
        <w:rPr>
          <w:rFonts w:ascii="Times New Roman" w:hAnsi="Times New Roman" w:cs="Times New Roman"/>
          <w:sz w:val="24"/>
          <w:szCs w:val="24"/>
          <w:lang w:val="es-ES"/>
        </w:rPr>
        <w:t>, añadiendo rasgos federales a su incompleta caracterización en tal sentido</w:t>
      </w:r>
      <w:r w:rsidR="00407629" w:rsidRPr="00B22CA9">
        <w:rPr>
          <w:rFonts w:ascii="Times New Roman" w:hAnsi="Times New Roman" w:cs="Times New Roman"/>
          <w:sz w:val="24"/>
          <w:szCs w:val="24"/>
          <w:lang w:val="es-ES"/>
        </w:rPr>
        <w:t xml:space="preserve">. </w:t>
      </w:r>
    </w:p>
    <w:p w:rsidR="0093723B" w:rsidRPr="00B22CA9" w:rsidRDefault="00144095" w:rsidP="007B3F95">
      <w:pPr>
        <w:pStyle w:val="Prrafodelista"/>
        <w:numPr>
          <w:ilvl w:val="0"/>
          <w:numId w:val="4"/>
        </w:numPr>
        <w:spacing w:line="240" w:lineRule="auto"/>
        <w:jc w:val="both"/>
        <w:rPr>
          <w:rFonts w:ascii="Times New Roman" w:hAnsi="Times New Roman" w:cs="Times New Roman"/>
          <w:b/>
          <w:sz w:val="24"/>
          <w:szCs w:val="24"/>
          <w:lang w:val="es-ES"/>
        </w:rPr>
      </w:pPr>
      <w:r w:rsidRPr="00B22CA9">
        <w:rPr>
          <w:rFonts w:ascii="Times New Roman" w:hAnsi="Times New Roman" w:cs="Times New Roman"/>
          <w:b/>
          <w:sz w:val="24"/>
          <w:szCs w:val="24"/>
          <w:lang w:val="es-ES"/>
        </w:rPr>
        <w:t xml:space="preserve">Estructura y práctica institucional </w:t>
      </w:r>
      <w:r w:rsidR="0093723B" w:rsidRPr="00B22CA9">
        <w:rPr>
          <w:rFonts w:ascii="Times New Roman" w:hAnsi="Times New Roman" w:cs="Times New Roman"/>
          <w:b/>
          <w:sz w:val="24"/>
          <w:szCs w:val="24"/>
          <w:lang w:val="es-ES"/>
        </w:rPr>
        <w:t>del procedimiento</w:t>
      </w:r>
    </w:p>
    <w:p w:rsidR="00676B9D" w:rsidRPr="00B22CA9" w:rsidRDefault="00E32F23" w:rsidP="007F11DF">
      <w:pPr>
        <w:spacing w:line="240" w:lineRule="auto"/>
        <w:ind w:firstLine="720"/>
        <w:jc w:val="both"/>
        <w:rPr>
          <w:rFonts w:ascii="Times New Roman" w:hAnsi="Times New Roman" w:cs="Times New Roman"/>
          <w:sz w:val="24"/>
          <w:szCs w:val="24"/>
          <w:lang w:val="es-ES"/>
        </w:rPr>
      </w:pPr>
      <w:r w:rsidRPr="00B22CA9">
        <w:rPr>
          <w:rFonts w:ascii="Times New Roman" w:hAnsi="Times New Roman" w:cs="Times New Roman"/>
          <w:sz w:val="24"/>
          <w:szCs w:val="24"/>
          <w:lang w:val="es-ES"/>
        </w:rPr>
        <w:t>Pero el procedimiento por incumplimiento no se vincula solo al sistema jurisdiccional. En su estructura formal se</w:t>
      </w:r>
      <w:r w:rsidR="003D2C53" w:rsidRPr="00B22CA9">
        <w:rPr>
          <w:rFonts w:ascii="Times New Roman" w:hAnsi="Times New Roman" w:cs="Times New Roman"/>
          <w:sz w:val="24"/>
          <w:szCs w:val="24"/>
          <w:lang w:val="es-ES"/>
        </w:rPr>
        <w:t xml:space="preserve"> </w:t>
      </w:r>
      <w:r w:rsidR="0093723B" w:rsidRPr="00B22CA9">
        <w:rPr>
          <w:rFonts w:ascii="Times New Roman" w:hAnsi="Times New Roman" w:cs="Times New Roman"/>
          <w:sz w:val="24"/>
          <w:szCs w:val="24"/>
          <w:lang w:val="es-ES"/>
        </w:rPr>
        <w:t>distingue</w:t>
      </w:r>
      <w:r w:rsidRPr="00B22CA9">
        <w:rPr>
          <w:rFonts w:ascii="Times New Roman" w:hAnsi="Times New Roman" w:cs="Times New Roman"/>
          <w:sz w:val="24"/>
          <w:szCs w:val="24"/>
          <w:lang w:val="es-ES"/>
        </w:rPr>
        <w:t>n</w:t>
      </w:r>
      <w:r w:rsidR="0093723B" w:rsidRPr="00B22CA9">
        <w:rPr>
          <w:rFonts w:ascii="Times New Roman" w:hAnsi="Times New Roman" w:cs="Times New Roman"/>
          <w:sz w:val="24"/>
          <w:szCs w:val="24"/>
          <w:lang w:val="es-ES"/>
        </w:rPr>
        <w:t xml:space="preserve"> dos fases</w:t>
      </w:r>
      <w:r w:rsidR="005E0FAE" w:rsidRPr="00B22CA9">
        <w:rPr>
          <w:rFonts w:ascii="Times New Roman" w:hAnsi="Times New Roman" w:cs="Times New Roman"/>
          <w:sz w:val="24"/>
          <w:szCs w:val="24"/>
          <w:lang w:val="es-ES"/>
        </w:rPr>
        <w:t xml:space="preserve">, </w:t>
      </w:r>
      <w:r w:rsidR="0093723B" w:rsidRPr="00B22CA9">
        <w:rPr>
          <w:rFonts w:ascii="Times New Roman" w:hAnsi="Times New Roman" w:cs="Times New Roman"/>
          <w:sz w:val="24"/>
          <w:szCs w:val="24"/>
          <w:lang w:val="es-ES"/>
        </w:rPr>
        <w:t>una precontenciosa y otra judicial</w:t>
      </w:r>
      <w:r w:rsidR="005E0FAE" w:rsidRPr="00B22CA9">
        <w:rPr>
          <w:rFonts w:ascii="Times New Roman" w:hAnsi="Times New Roman" w:cs="Times New Roman"/>
          <w:sz w:val="24"/>
          <w:szCs w:val="24"/>
          <w:lang w:val="es-ES"/>
        </w:rPr>
        <w:t>. La finalidad de la</w:t>
      </w:r>
      <w:r w:rsidR="002A5770" w:rsidRPr="00B22CA9">
        <w:rPr>
          <w:rFonts w:ascii="Times New Roman" w:hAnsi="Times New Roman" w:cs="Times New Roman"/>
          <w:sz w:val="24"/>
          <w:szCs w:val="24"/>
          <w:lang w:val="es-ES"/>
        </w:rPr>
        <w:t xml:space="preserve"> primera es </w:t>
      </w:r>
      <w:r w:rsidR="0093723B" w:rsidRPr="00B22CA9">
        <w:rPr>
          <w:rFonts w:ascii="Times New Roman" w:hAnsi="Times New Roman" w:cs="Times New Roman"/>
          <w:sz w:val="24"/>
          <w:szCs w:val="24"/>
          <w:lang w:val="es-ES"/>
        </w:rPr>
        <w:t>conseguir la reparación sin tener que llegar a</w:t>
      </w:r>
      <w:r w:rsidR="002A5770" w:rsidRPr="00B22CA9">
        <w:rPr>
          <w:rFonts w:ascii="Times New Roman" w:hAnsi="Times New Roman" w:cs="Times New Roman"/>
          <w:sz w:val="24"/>
          <w:szCs w:val="24"/>
          <w:lang w:val="es-ES"/>
        </w:rPr>
        <w:t xml:space="preserve"> </w:t>
      </w:r>
      <w:r w:rsidR="0093723B" w:rsidRPr="00B22CA9">
        <w:rPr>
          <w:rFonts w:ascii="Times New Roman" w:hAnsi="Times New Roman" w:cs="Times New Roman"/>
          <w:sz w:val="24"/>
          <w:szCs w:val="24"/>
          <w:lang w:val="es-ES"/>
        </w:rPr>
        <w:t>l</w:t>
      </w:r>
      <w:r w:rsidR="002A5770" w:rsidRPr="00B22CA9">
        <w:rPr>
          <w:rFonts w:ascii="Times New Roman" w:hAnsi="Times New Roman" w:cs="Times New Roman"/>
          <w:sz w:val="24"/>
          <w:szCs w:val="24"/>
          <w:lang w:val="es-ES"/>
        </w:rPr>
        <w:t>a segunda</w:t>
      </w:r>
      <w:r w:rsidR="0093723B" w:rsidRPr="00B22CA9">
        <w:rPr>
          <w:rFonts w:ascii="Times New Roman" w:hAnsi="Times New Roman" w:cs="Times New Roman"/>
          <w:sz w:val="24"/>
          <w:szCs w:val="24"/>
          <w:lang w:val="es-ES"/>
        </w:rPr>
        <w:t>. El tránsito de una fase a otra</w:t>
      </w:r>
      <w:r w:rsidR="008F7676" w:rsidRPr="00B22CA9">
        <w:rPr>
          <w:rFonts w:ascii="Times New Roman" w:hAnsi="Times New Roman" w:cs="Times New Roman"/>
          <w:sz w:val="24"/>
          <w:szCs w:val="24"/>
          <w:lang w:val="es-ES"/>
        </w:rPr>
        <w:t xml:space="preserve"> estaría marcado por el margen </w:t>
      </w:r>
      <w:r w:rsidR="0093723B" w:rsidRPr="00B22CA9">
        <w:rPr>
          <w:rFonts w:ascii="Times New Roman" w:hAnsi="Times New Roman" w:cs="Times New Roman"/>
          <w:sz w:val="24"/>
          <w:szCs w:val="24"/>
          <w:lang w:val="es-ES"/>
        </w:rPr>
        <w:t xml:space="preserve">de apreciación, </w:t>
      </w:r>
      <w:r w:rsidRPr="00B22CA9">
        <w:rPr>
          <w:rFonts w:ascii="Times New Roman" w:hAnsi="Times New Roman" w:cs="Times New Roman"/>
          <w:sz w:val="24"/>
          <w:szCs w:val="24"/>
          <w:lang w:val="es-ES"/>
        </w:rPr>
        <w:t xml:space="preserve">o </w:t>
      </w:r>
      <w:r w:rsidR="0093723B" w:rsidRPr="00B22CA9">
        <w:rPr>
          <w:rFonts w:ascii="Times New Roman" w:hAnsi="Times New Roman" w:cs="Times New Roman"/>
          <w:sz w:val="24"/>
          <w:szCs w:val="24"/>
          <w:lang w:val="es-ES"/>
        </w:rPr>
        <w:t>discrecionalidad, de la Comisión</w:t>
      </w:r>
      <w:r w:rsidR="008F7676" w:rsidRPr="00B22CA9">
        <w:rPr>
          <w:rStyle w:val="Refdenotaalpie"/>
          <w:rFonts w:ascii="Times New Roman" w:hAnsi="Times New Roman" w:cs="Times New Roman"/>
          <w:sz w:val="24"/>
          <w:szCs w:val="24"/>
          <w:lang w:val="es-ES"/>
        </w:rPr>
        <w:footnoteReference w:id="26"/>
      </w:r>
      <w:r w:rsidR="008F7676" w:rsidRPr="00B22CA9">
        <w:rPr>
          <w:rFonts w:ascii="Times New Roman" w:hAnsi="Times New Roman" w:cs="Times New Roman"/>
          <w:sz w:val="24"/>
          <w:szCs w:val="24"/>
          <w:lang w:val="es-ES"/>
        </w:rPr>
        <w:t>.</w:t>
      </w:r>
      <w:r w:rsidRPr="00B22CA9">
        <w:rPr>
          <w:rFonts w:ascii="Times New Roman" w:hAnsi="Times New Roman" w:cs="Times New Roman"/>
          <w:sz w:val="24"/>
          <w:szCs w:val="24"/>
          <w:lang w:val="es-ES"/>
        </w:rPr>
        <w:t xml:space="preserve"> </w:t>
      </w:r>
    </w:p>
    <w:p w:rsidR="0093723B" w:rsidRPr="00B22CA9" w:rsidRDefault="00676B9D" w:rsidP="007F11DF">
      <w:pPr>
        <w:spacing w:line="240" w:lineRule="auto"/>
        <w:ind w:firstLine="720"/>
        <w:jc w:val="both"/>
        <w:rPr>
          <w:rFonts w:ascii="Times New Roman" w:hAnsi="Times New Roman" w:cs="Times New Roman"/>
          <w:sz w:val="24"/>
          <w:szCs w:val="24"/>
          <w:lang w:val="es-ES"/>
        </w:rPr>
      </w:pPr>
      <w:r w:rsidRPr="00B22CA9">
        <w:rPr>
          <w:rFonts w:ascii="Times New Roman" w:hAnsi="Times New Roman" w:cs="Times New Roman"/>
          <w:sz w:val="24"/>
          <w:szCs w:val="24"/>
          <w:lang w:val="es-ES"/>
        </w:rPr>
        <w:t>L</w:t>
      </w:r>
      <w:r w:rsidR="00E32F23" w:rsidRPr="00B22CA9">
        <w:rPr>
          <w:rFonts w:ascii="Times New Roman" w:hAnsi="Times New Roman" w:cs="Times New Roman"/>
          <w:sz w:val="24"/>
          <w:szCs w:val="24"/>
          <w:lang w:val="es-ES"/>
        </w:rPr>
        <w:t>a</w:t>
      </w:r>
      <w:r w:rsidR="0093723B" w:rsidRPr="00B22CA9">
        <w:rPr>
          <w:rFonts w:ascii="Times New Roman" w:hAnsi="Times New Roman" w:cs="Times New Roman"/>
          <w:sz w:val="24"/>
          <w:szCs w:val="24"/>
          <w:lang w:val="es-ES"/>
        </w:rPr>
        <w:t xml:space="preserve"> </w:t>
      </w:r>
      <w:r w:rsidR="002A5770" w:rsidRPr="00B22CA9">
        <w:rPr>
          <w:rFonts w:ascii="Times New Roman" w:hAnsi="Times New Roman" w:cs="Times New Roman"/>
          <w:sz w:val="24"/>
          <w:szCs w:val="24"/>
          <w:lang w:val="es-ES"/>
        </w:rPr>
        <w:t xml:space="preserve">fase </w:t>
      </w:r>
      <w:r w:rsidR="0093723B" w:rsidRPr="00B22CA9">
        <w:rPr>
          <w:rFonts w:ascii="Times New Roman" w:hAnsi="Times New Roman" w:cs="Times New Roman"/>
          <w:sz w:val="24"/>
          <w:szCs w:val="24"/>
          <w:lang w:val="es-ES"/>
        </w:rPr>
        <w:t>precontenciosa</w:t>
      </w:r>
      <w:r w:rsidRPr="00B22CA9">
        <w:rPr>
          <w:rFonts w:ascii="Times New Roman" w:hAnsi="Times New Roman" w:cs="Times New Roman"/>
          <w:sz w:val="24"/>
          <w:szCs w:val="24"/>
          <w:lang w:val="es-ES"/>
        </w:rPr>
        <w:t>, política,</w:t>
      </w:r>
      <w:r w:rsidR="0093723B" w:rsidRPr="00B22CA9">
        <w:rPr>
          <w:rFonts w:ascii="Times New Roman" w:hAnsi="Times New Roman" w:cs="Times New Roman"/>
          <w:sz w:val="24"/>
          <w:szCs w:val="24"/>
          <w:lang w:val="es-ES"/>
        </w:rPr>
        <w:t xml:space="preserve"> se abre con un requerimiento </w:t>
      </w:r>
      <w:r w:rsidR="00D70B39" w:rsidRPr="00B22CA9">
        <w:rPr>
          <w:rFonts w:ascii="Times New Roman" w:hAnsi="Times New Roman" w:cs="Times New Roman"/>
          <w:sz w:val="24"/>
          <w:szCs w:val="24"/>
          <w:lang w:val="es-ES"/>
        </w:rPr>
        <w:t xml:space="preserve">de la Comisión </w:t>
      </w:r>
      <w:r w:rsidR="005E0FAE" w:rsidRPr="00B22CA9">
        <w:rPr>
          <w:rFonts w:ascii="Times New Roman" w:hAnsi="Times New Roman" w:cs="Times New Roman"/>
          <w:sz w:val="24"/>
          <w:szCs w:val="24"/>
          <w:lang w:val="es-ES"/>
        </w:rPr>
        <w:t>al Estado incumplidor</w:t>
      </w:r>
      <w:r w:rsidR="0093723B" w:rsidRPr="00B22CA9">
        <w:rPr>
          <w:rFonts w:ascii="Times New Roman" w:hAnsi="Times New Roman" w:cs="Times New Roman"/>
          <w:sz w:val="24"/>
          <w:szCs w:val="24"/>
          <w:lang w:val="es-ES"/>
        </w:rPr>
        <w:t xml:space="preserve">. Si </w:t>
      </w:r>
      <w:r w:rsidR="00D70B39" w:rsidRPr="00B22CA9">
        <w:rPr>
          <w:rFonts w:ascii="Times New Roman" w:hAnsi="Times New Roman" w:cs="Times New Roman"/>
          <w:sz w:val="24"/>
          <w:szCs w:val="24"/>
          <w:lang w:val="es-ES"/>
        </w:rPr>
        <w:t xml:space="preserve">el requerimiento </w:t>
      </w:r>
      <w:r w:rsidR="0093723B" w:rsidRPr="00B22CA9">
        <w:rPr>
          <w:rFonts w:ascii="Times New Roman" w:hAnsi="Times New Roman" w:cs="Times New Roman"/>
          <w:sz w:val="24"/>
          <w:szCs w:val="24"/>
          <w:lang w:val="es-ES"/>
        </w:rPr>
        <w:t xml:space="preserve">no es atendido, o </w:t>
      </w:r>
      <w:r w:rsidR="005E0FAE" w:rsidRPr="00B22CA9">
        <w:rPr>
          <w:rFonts w:ascii="Times New Roman" w:hAnsi="Times New Roman" w:cs="Times New Roman"/>
          <w:sz w:val="24"/>
          <w:szCs w:val="24"/>
          <w:lang w:val="es-ES"/>
        </w:rPr>
        <w:t>la</w:t>
      </w:r>
      <w:r w:rsidR="0093723B" w:rsidRPr="00B22CA9">
        <w:rPr>
          <w:rFonts w:ascii="Times New Roman" w:hAnsi="Times New Roman" w:cs="Times New Roman"/>
          <w:sz w:val="24"/>
          <w:szCs w:val="24"/>
          <w:lang w:val="es-ES"/>
        </w:rPr>
        <w:t xml:space="preserve"> respuesta</w:t>
      </w:r>
      <w:r w:rsidR="005E0FAE" w:rsidRPr="00B22CA9">
        <w:rPr>
          <w:rFonts w:ascii="Times New Roman" w:hAnsi="Times New Roman" w:cs="Times New Roman"/>
          <w:sz w:val="24"/>
          <w:szCs w:val="24"/>
          <w:lang w:val="es-ES"/>
        </w:rPr>
        <w:t xml:space="preserve"> no</w:t>
      </w:r>
      <w:r w:rsidR="0093723B" w:rsidRPr="00B22CA9">
        <w:rPr>
          <w:rFonts w:ascii="Times New Roman" w:hAnsi="Times New Roman" w:cs="Times New Roman"/>
          <w:sz w:val="24"/>
          <w:szCs w:val="24"/>
          <w:lang w:val="es-ES"/>
        </w:rPr>
        <w:t xml:space="preserve"> satisfac</w:t>
      </w:r>
      <w:r w:rsidR="005E0FAE" w:rsidRPr="00B22CA9">
        <w:rPr>
          <w:rFonts w:ascii="Times New Roman" w:hAnsi="Times New Roman" w:cs="Times New Roman"/>
          <w:sz w:val="24"/>
          <w:szCs w:val="24"/>
          <w:lang w:val="es-ES"/>
        </w:rPr>
        <w:t>e a</w:t>
      </w:r>
      <w:r w:rsidR="0093723B" w:rsidRPr="00B22CA9">
        <w:rPr>
          <w:rFonts w:ascii="Times New Roman" w:hAnsi="Times New Roman" w:cs="Times New Roman"/>
          <w:sz w:val="24"/>
          <w:szCs w:val="24"/>
          <w:lang w:val="es-ES"/>
        </w:rPr>
        <w:t xml:space="preserve"> la Comisión, </w:t>
      </w:r>
      <w:r w:rsidR="005E0FAE" w:rsidRPr="00B22CA9">
        <w:rPr>
          <w:rFonts w:ascii="Times New Roman" w:hAnsi="Times New Roman" w:cs="Times New Roman"/>
          <w:sz w:val="24"/>
          <w:szCs w:val="24"/>
          <w:lang w:val="es-ES"/>
        </w:rPr>
        <w:t>s</w:t>
      </w:r>
      <w:r w:rsidR="00D70B39" w:rsidRPr="00B22CA9">
        <w:rPr>
          <w:rFonts w:ascii="Times New Roman" w:hAnsi="Times New Roman" w:cs="Times New Roman"/>
          <w:sz w:val="24"/>
          <w:szCs w:val="24"/>
          <w:lang w:val="es-ES"/>
        </w:rPr>
        <w:t>e sucede</w:t>
      </w:r>
      <w:r w:rsidR="005E0FAE" w:rsidRPr="00B22CA9">
        <w:rPr>
          <w:rFonts w:ascii="Times New Roman" w:hAnsi="Times New Roman" w:cs="Times New Roman"/>
          <w:sz w:val="24"/>
          <w:szCs w:val="24"/>
          <w:lang w:val="es-ES"/>
        </w:rPr>
        <w:t xml:space="preserve"> </w:t>
      </w:r>
      <w:r w:rsidR="0093723B" w:rsidRPr="00B22CA9">
        <w:rPr>
          <w:rFonts w:ascii="Times New Roman" w:hAnsi="Times New Roman" w:cs="Times New Roman"/>
          <w:sz w:val="24"/>
          <w:szCs w:val="24"/>
          <w:lang w:val="es-ES"/>
        </w:rPr>
        <w:t xml:space="preserve">un dictamen motivado </w:t>
      </w:r>
      <w:r w:rsidR="00D70B39" w:rsidRPr="00B22CA9">
        <w:rPr>
          <w:rFonts w:ascii="Times New Roman" w:hAnsi="Times New Roman" w:cs="Times New Roman"/>
          <w:sz w:val="24"/>
          <w:szCs w:val="24"/>
          <w:lang w:val="es-ES"/>
        </w:rPr>
        <w:t>con</w:t>
      </w:r>
      <w:r w:rsidR="0093723B" w:rsidRPr="00B22CA9">
        <w:rPr>
          <w:rFonts w:ascii="Times New Roman" w:hAnsi="Times New Roman" w:cs="Times New Roman"/>
          <w:sz w:val="24"/>
          <w:szCs w:val="24"/>
          <w:lang w:val="es-ES"/>
        </w:rPr>
        <w:t xml:space="preserve"> un plazo para </w:t>
      </w:r>
      <w:r w:rsidR="00D70B39" w:rsidRPr="00B22CA9">
        <w:rPr>
          <w:rFonts w:ascii="Times New Roman" w:hAnsi="Times New Roman" w:cs="Times New Roman"/>
          <w:sz w:val="24"/>
          <w:szCs w:val="24"/>
          <w:lang w:val="es-ES"/>
        </w:rPr>
        <w:t>responder</w:t>
      </w:r>
      <w:r w:rsidRPr="00B22CA9">
        <w:rPr>
          <w:rFonts w:ascii="Times New Roman" w:hAnsi="Times New Roman" w:cs="Times New Roman"/>
          <w:sz w:val="24"/>
          <w:szCs w:val="24"/>
          <w:lang w:val="es-ES"/>
        </w:rPr>
        <w:t>. Ese</w:t>
      </w:r>
      <w:r w:rsidR="00E32F23" w:rsidRPr="00B22CA9">
        <w:rPr>
          <w:rFonts w:ascii="Times New Roman" w:hAnsi="Times New Roman" w:cs="Times New Roman"/>
          <w:sz w:val="24"/>
          <w:szCs w:val="24"/>
          <w:lang w:val="es-ES"/>
        </w:rPr>
        <w:t xml:space="preserve"> es</w:t>
      </w:r>
      <w:r w:rsidR="0093723B" w:rsidRPr="00B22CA9">
        <w:rPr>
          <w:rFonts w:ascii="Times New Roman" w:hAnsi="Times New Roman" w:cs="Times New Roman"/>
          <w:sz w:val="24"/>
          <w:szCs w:val="24"/>
          <w:lang w:val="es-ES"/>
        </w:rPr>
        <w:t xml:space="preserve"> el último acto preparatorio de la fase judicial. Tanto el requerimiento previo como el dictamen motivado, a</w:t>
      </w:r>
      <w:r w:rsidR="00FB79D8" w:rsidRPr="00B22CA9">
        <w:rPr>
          <w:rFonts w:ascii="Times New Roman" w:hAnsi="Times New Roman" w:cs="Times New Roman"/>
          <w:sz w:val="24"/>
          <w:szCs w:val="24"/>
          <w:lang w:val="es-ES"/>
        </w:rPr>
        <w:t>demás de procurar la reparación</w:t>
      </w:r>
      <w:r w:rsidR="0093723B" w:rsidRPr="00B22CA9">
        <w:rPr>
          <w:rFonts w:ascii="Times New Roman" w:hAnsi="Times New Roman" w:cs="Times New Roman"/>
          <w:sz w:val="24"/>
          <w:szCs w:val="24"/>
          <w:lang w:val="es-ES"/>
        </w:rPr>
        <w:t>, fija</w:t>
      </w:r>
      <w:r w:rsidRPr="00B22CA9">
        <w:rPr>
          <w:rFonts w:ascii="Times New Roman" w:hAnsi="Times New Roman" w:cs="Times New Roman"/>
          <w:sz w:val="24"/>
          <w:szCs w:val="24"/>
          <w:lang w:val="es-ES"/>
        </w:rPr>
        <w:t>n</w:t>
      </w:r>
      <w:r w:rsidR="0093723B" w:rsidRPr="00B22CA9">
        <w:rPr>
          <w:rFonts w:ascii="Times New Roman" w:hAnsi="Times New Roman" w:cs="Times New Roman"/>
          <w:sz w:val="24"/>
          <w:szCs w:val="24"/>
          <w:lang w:val="es-ES"/>
        </w:rPr>
        <w:t xml:space="preserve"> los términos jurídicos del posterior litigio</w:t>
      </w:r>
      <w:r w:rsidR="005E0FAE" w:rsidRPr="00B22CA9">
        <w:rPr>
          <w:rFonts w:ascii="Times New Roman" w:hAnsi="Times New Roman" w:cs="Times New Roman"/>
          <w:sz w:val="24"/>
          <w:szCs w:val="24"/>
          <w:lang w:val="es-ES"/>
        </w:rPr>
        <w:t xml:space="preserve"> y, así, permit</w:t>
      </w:r>
      <w:r w:rsidRPr="00B22CA9">
        <w:rPr>
          <w:rFonts w:ascii="Times New Roman" w:hAnsi="Times New Roman" w:cs="Times New Roman"/>
          <w:sz w:val="24"/>
          <w:szCs w:val="24"/>
          <w:lang w:val="es-ES"/>
        </w:rPr>
        <w:t>en</w:t>
      </w:r>
      <w:r w:rsidR="005E0FAE" w:rsidRPr="00B22CA9">
        <w:rPr>
          <w:rFonts w:ascii="Times New Roman" w:hAnsi="Times New Roman" w:cs="Times New Roman"/>
          <w:sz w:val="24"/>
          <w:szCs w:val="24"/>
          <w:lang w:val="es-ES"/>
        </w:rPr>
        <w:t xml:space="preserve"> al </w:t>
      </w:r>
      <w:r w:rsidR="0093723B" w:rsidRPr="00B22CA9">
        <w:rPr>
          <w:rFonts w:ascii="Times New Roman" w:hAnsi="Times New Roman" w:cs="Times New Roman"/>
          <w:sz w:val="24"/>
          <w:szCs w:val="24"/>
          <w:lang w:val="es-ES"/>
        </w:rPr>
        <w:t xml:space="preserve">Estado miembro definir su postura </w:t>
      </w:r>
      <w:r w:rsidR="005E0FAE" w:rsidRPr="00B22CA9">
        <w:rPr>
          <w:rFonts w:ascii="Times New Roman" w:hAnsi="Times New Roman" w:cs="Times New Roman"/>
          <w:sz w:val="24"/>
          <w:szCs w:val="24"/>
          <w:lang w:val="es-ES"/>
        </w:rPr>
        <w:t xml:space="preserve">y </w:t>
      </w:r>
      <w:r w:rsidR="0093723B" w:rsidRPr="00B22CA9">
        <w:rPr>
          <w:rFonts w:ascii="Times New Roman" w:hAnsi="Times New Roman" w:cs="Times New Roman"/>
          <w:sz w:val="24"/>
          <w:szCs w:val="24"/>
          <w:lang w:val="es-ES"/>
        </w:rPr>
        <w:t>argumentos de defensa  (Materne, 2012: 92) (Gormley, 2017: 68).</w:t>
      </w:r>
      <w:r w:rsidR="00E32F23" w:rsidRPr="00B22CA9">
        <w:rPr>
          <w:rFonts w:ascii="Times New Roman" w:hAnsi="Times New Roman" w:cs="Times New Roman"/>
          <w:sz w:val="24"/>
          <w:szCs w:val="24"/>
          <w:lang w:val="es-ES"/>
        </w:rPr>
        <w:t xml:space="preserve"> </w:t>
      </w:r>
      <w:r w:rsidR="0093723B" w:rsidRPr="00B22CA9">
        <w:rPr>
          <w:rFonts w:ascii="Times New Roman" w:hAnsi="Times New Roman" w:cs="Times New Roman"/>
          <w:sz w:val="24"/>
          <w:szCs w:val="24"/>
          <w:lang w:val="es-ES"/>
        </w:rPr>
        <w:t>La fase judicial comprende</w:t>
      </w:r>
      <w:r w:rsidR="002A5770" w:rsidRPr="00B22CA9">
        <w:rPr>
          <w:rFonts w:ascii="Times New Roman" w:hAnsi="Times New Roman" w:cs="Times New Roman"/>
          <w:sz w:val="24"/>
          <w:szCs w:val="24"/>
          <w:lang w:val="es-ES"/>
        </w:rPr>
        <w:t>,</w:t>
      </w:r>
      <w:r w:rsidR="0093723B" w:rsidRPr="00B22CA9">
        <w:rPr>
          <w:rFonts w:ascii="Times New Roman" w:hAnsi="Times New Roman" w:cs="Times New Roman"/>
          <w:sz w:val="24"/>
          <w:szCs w:val="24"/>
          <w:lang w:val="es-ES"/>
        </w:rPr>
        <w:t xml:space="preserve"> </w:t>
      </w:r>
      <w:r w:rsidR="005E0FAE" w:rsidRPr="00B22CA9">
        <w:rPr>
          <w:rFonts w:ascii="Times New Roman" w:hAnsi="Times New Roman" w:cs="Times New Roman"/>
          <w:sz w:val="24"/>
          <w:szCs w:val="24"/>
          <w:lang w:val="es-ES"/>
        </w:rPr>
        <w:t>a su vez</w:t>
      </w:r>
      <w:r w:rsidR="002A5770" w:rsidRPr="00B22CA9">
        <w:rPr>
          <w:rFonts w:ascii="Times New Roman" w:hAnsi="Times New Roman" w:cs="Times New Roman"/>
          <w:sz w:val="24"/>
          <w:szCs w:val="24"/>
          <w:lang w:val="es-ES"/>
        </w:rPr>
        <w:t>,</w:t>
      </w:r>
      <w:r w:rsidR="005E0FAE" w:rsidRPr="00B22CA9">
        <w:rPr>
          <w:rFonts w:ascii="Times New Roman" w:hAnsi="Times New Roman" w:cs="Times New Roman"/>
          <w:sz w:val="24"/>
          <w:szCs w:val="24"/>
          <w:lang w:val="es-ES"/>
        </w:rPr>
        <w:t xml:space="preserve"> </w:t>
      </w:r>
      <w:r w:rsidR="0093723B" w:rsidRPr="00B22CA9">
        <w:rPr>
          <w:rFonts w:ascii="Times New Roman" w:hAnsi="Times New Roman" w:cs="Times New Roman"/>
          <w:sz w:val="24"/>
          <w:szCs w:val="24"/>
          <w:lang w:val="es-ES"/>
        </w:rPr>
        <w:t xml:space="preserve">una escrita y una oral, incluyendo, en su caso, las conclusiones del Abogado General y concluyendo con una sentencia declarativa. La disposición que define la obligación incumplida ha de ser claramente identificada en la demanda (Materne, 2012: 130) y a la Comisión le corresponde la carga de la prueba. Si tras la sentencia condenatoria se constata que el Estado no ha reparado la situación de incumplimiento, un subsiguiente contencioso, </w:t>
      </w:r>
      <w:r w:rsidR="0093723B" w:rsidRPr="00B22CA9">
        <w:rPr>
          <w:rFonts w:ascii="Times New Roman" w:hAnsi="Times New Roman" w:cs="Times New Roman"/>
          <w:sz w:val="24"/>
          <w:szCs w:val="24"/>
          <w:lang w:val="es-ES"/>
        </w:rPr>
        <w:lastRenderedPageBreak/>
        <w:t xml:space="preserve">encaminado a imponer las sanciones económicas del artículo 260 TFUE, será conducido ante el TJUE por la Comisión.  </w:t>
      </w:r>
    </w:p>
    <w:p w:rsidR="006A1FBE" w:rsidRPr="00B22CA9" w:rsidRDefault="0089246E" w:rsidP="007F11DF">
      <w:pPr>
        <w:spacing w:line="240" w:lineRule="auto"/>
        <w:ind w:firstLine="720"/>
        <w:jc w:val="both"/>
        <w:rPr>
          <w:rFonts w:ascii="Times New Roman" w:hAnsi="Times New Roman" w:cs="Times New Roman"/>
          <w:sz w:val="24"/>
          <w:szCs w:val="24"/>
          <w:lang w:val="es-ES"/>
        </w:rPr>
      </w:pPr>
      <w:r w:rsidRPr="00B22CA9">
        <w:rPr>
          <w:rFonts w:ascii="Times New Roman" w:hAnsi="Times New Roman" w:cs="Times New Roman"/>
          <w:sz w:val="24"/>
          <w:szCs w:val="24"/>
          <w:lang w:val="es-ES"/>
        </w:rPr>
        <w:t xml:space="preserve">El procedimiento por incumplimiento está fuertemente </w:t>
      </w:r>
      <w:r w:rsidR="004866E5" w:rsidRPr="00B22CA9">
        <w:rPr>
          <w:rFonts w:ascii="Times New Roman" w:hAnsi="Times New Roman" w:cs="Times New Roman"/>
          <w:sz w:val="24"/>
          <w:szCs w:val="24"/>
          <w:lang w:val="es-ES"/>
        </w:rPr>
        <w:t xml:space="preserve">condicionado </w:t>
      </w:r>
      <w:r w:rsidRPr="00B22CA9">
        <w:rPr>
          <w:rFonts w:ascii="Times New Roman" w:hAnsi="Times New Roman" w:cs="Times New Roman"/>
          <w:sz w:val="24"/>
          <w:szCs w:val="24"/>
          <w:lang w:val="es-ES"/>
        </w:rPr>
        <w:t>por los planes</w:t>
      </w:r>
      <w:r w:rsidR="00D70B39" w:rsidRPr="00B22CA9">
        <w:rPr>
          <w:rFonts w:ascii="Times New Roman" w:hAnsi="Times New Roman" w:cs="Times New Roman"/>
          <w:sz w:val="24"/>
          <w:szCs w:val="24"/>
          <w:lang w:val="es-ES"/>
        </w:rPr>
        <w:t xml:space="preserve"> políticos</w:t>
      </w:r>
      <w:r w:rsidRPr="00B22CA9">
        <w:rPr>
          <w:rFonts w:ascii="Times New Roman" w:hAnsi="Times New Roman" w:cs="Times New Roman"/>
          <w:sz w:val="24"/>
          <w:szCs w:val="24"/>
          <w:lang w:val="es-ES"/>
        </w:rPr>
        <w:t xml:space="preserve"> </w:t>
      </w:r>
      <w:r w:rsidR="00D70B39" w:rsidRPr="00B22CA9">
        <w:rPr>
          <w:rFonts w:ascii="Times New Roman" w:hAnsi="Times New Roman" w:cs="Times New Roman"/>
          <w:sz w:val="24"/>
          <w:szCs w:val="24"/>
          <w:lang w:val="es-ES"/>
        </w:rPr>
        <w:t>y objetivos de integración trazados por</w:t>
      </w:r>
      <w:r w:rsidR="00E64E2C" w:rsidRPr="00B22CA9">
        <w:rPr>
          <w:rFonts w:ascii="Times New Roman" w:hAnsi="Times New Roman" w:cs="Times New Roman"/>
          <w:sz w:val="24"/>
          <w:szCs w:val="24"/>
          <w:lang w:val="es-ES"/>
        </w:rPr>
        <w:t xml:space="preserve"> la Comisión</w:t>
      </w:r>
      <w:r w:rsidR="00D70B39" w:rsidRPr="00B22CA9">
        <w:rPr>
          <w:rFonts w:ascii="Times New Roman" w:hAnsi="Times New Roman" w:cs="Times New Roman"/>
          <w:sz w:val="24"/>
          <w:szCs w:val="24"/>
          <w:lang w:val="es-ES"/>
        </w:rPr>
        <w:t>, con ese</w:t>
      </w:r>
      <w:r w:rsidR="00340BBC" w:rsidRPr="00B22CA9">
        <w:rPr>
          <w:rFonts w:ascii="Times New Roman" w:hAnsi="Times New Roman" w:cs="Times New Roman"/>
          <w:sz w:val="24"/>
          <w:szCs w:val="24"/>
          <w:lang w:val="es-ES"/>
        </w:rPr>
        <w:t xml:space="preserve"> margen para iniciarlo, continuar con él, llegar a un acuerdo o desistir. </w:t>
      </w:r>
      <w:r w:rsidR="00622089" w:rsidRPr="00B22CA9">
        <w:rPr>
          <w:rFonts w:ascii="Times New Roman" w:hAnsi="Times New Roman" w:cs="Times New Roman"/>
          <w:sz w:val="24"/>
          <w:szCs w:val="24"/>
          <w:lang w:val="es-ES"/>
        </w:rPr>
        <w:t>En teoría</w:t>
      </w:r>
      <w:r w:rsidRPr="00B22CA9">
        <w:rPr>
          <w:rFonts w:ascii="Times New Roman" w:hAnsi="Times New Roman" w:cs="Times New Roman"/>
          <w:sz w:val="24"/>
          <w:szCs w:val="24"/>
          <w:lang w:val="es-ES"/>
        </w:rPr>
        <w:t>,</w:t>
      </w:r>
      <w:r w:rsidR="0034175A" w:rsidRPr="00B22CA9">
        <w:rPr>
          <w:rFonts w:ascii="Times New Roman" w:hAnsi="Times New Roman" w:cs="Times New Roman"/>
          <w:sz w:val="24"/>
          <w:szCs w:val="24"/>
          <w:lang w:val="es-ES"/>
        </w:rPr>
        <w:t xml:space="preserve"> la dicción literal del artículo 258 TFUE</w:t>
      </w:r>
      <w:r w:rsidRPr="00B22CA9">
        <w:rPr>
          <w:rFonts w:ascii="Times New Roman" w:hAnsi="Times New Roman" w:cs="Times New Roman"/>
          <w:sz w:val="24"/>
          <w:szCs w:val="24"/>
          <w:lang w:val="es-ES"/>
        </w:rPr>
        <w:t xml:space="preserve">, </w:t>
      </w:r>
      <w:r w:rsidR="00D70B39" w:rsidRPr="00B22CA9">
        <w:rPr>
          <w:rFonts w:ascii="Times New Roman" w:hAnsi="Times New Roman" w:cs="Times New Roman"/>
          <w:sz w:val="24"/>
          <w:szCs w:val="24"/>
          <w:lang w:val="es-ES"/>
        </w:rPr>
        <w:t>junto a</w:t>
      </w:r>
      <w:r w:rsidRPr="00B22CA9">
        <w:rPr>
          <w:rFonts w:ascii="Times New Roman" w:hAnsi="Times New Roman" w:cs="Times New Roman"/>
          <w:sz w:val="24"/>
          <w:szCs w:val="24"/>
          <w:lang w:val="es-ES"/>
        </w:rPr>
        <w:t>l mandato de impulsar la integración que el 17 TUE hace a la Comisión,</w:t>
      </w:r>
      <w:r w:rsidR="00622089" w:rsidRPr="00B22CA9">
        <w:rPr>
          <w:rFonts w:ascii="Times New Roman" w:hAnsi="Times New Roman" w:cs="Times New Roman"/>
          <w:sz w:val="24"/>
          <w:szCs w:val="24"/>
          <w:lang w:val="es-ES"/>
        </w:rPr>
        <w:t xml:space="preserve"> </w:t>
      </w:r>
      <w:r w:rsidRPr="00B22CA9">
        <w:rPr>
          <w:rFonts w:ascii="Times New Roman" w:hAnsi="Times New Roman" w:cs="Times New Roman"/>
          <w:sz w:val="24"/>
          <w:szCs w:val="24"/>
          <w:lang w:val="es-ES"/>
        </w:rPr>
        <w:t>podría</w:t>
      </w:r>
      <w:r w:rsidR="00D70B39" w:rsidRPr="00B22CA9">
        <w:rPr>
          <w:rFonts w:ascii="Times New Roman" w:hAnsi="Times New Roman" w:cs="Times New Roman"/>
          <w:sz w:val="24"/>
          <w:szCs w:val="24"/>
          <w:lang w:val="es-ES"/>
        </w:rPr>
        <w:t>n dar a entender</w:t>
      </w:r>
      <w:r w:rsidR="00622089" w:rsidRPr="00B22CA9">
        <w:rPr>
          <w:rFonts w:ascii="Times New Roman" w:hAnsi="Times New Roman" w:cs="Times New Roman"/>
          <w:sz w:val="24"/>
          <w:szCs w:val="24"/>
          <w:lang w:val="es-ES"/>
        </w:rPr>
        <w:t xml:space="preserve"> que la</w:t>
      </w:r>
      <w:r w:rsidRPr="00B22CA9">
        <w:rPr>
          <w:rFonts w:ascii="Times New Roman" w:hAnsi="Times New Roman" w:cs="Times New Roman"/>
          <w:sz w:val="24"/>
          <w:szCs w:val="24"/>
          <w:lang w:val="es-ES"/>
        </w:rPr>
        <w:t xml:space="preserve"> misma</w:t>
      </w:r>
      <w:r w:rsidR="00622089" w:rsidRPr="00B22CA9">
        <w:rPr>
          <w:rFonts w:ascii="Times New Roman" w:hAnsi="Times New Roman" w:cs="Times New Roman"/>
          <w:sz w:val="24"/>
          <w:szCs w:val="24"/>
          <w:lang w:val="es-ES"/>
        </w:rPr>
        <w:t xml:space="preserve"> está obligada a iniciar el procedimiento siempre que </w:t>
      </w:r>
      <w:r w:rsidR="00E64E2C" w:rsidRPr="00B22CA9">
        <w:rPr>
          <w:rFonts w:ascii="Times New Roman" w:hAnsi="Times New Roman" w:cs="Times New Roman"/>
          <w:sz w:val="24"/>
          <w:szCs w:val="24"/>
          <w:lang w:val="es-ES"/>
        </w:rPr>
        <w:t xml:space="preserve">llegue </w:t>
      </w:r>
      <w:r w:rsidR="00622089" w:rsidRPr="00B22CA9">
        <w:rPr>
          <w:rFonts w:ascii="Times New Roman" w:hAnsi="Times New Roman" w:cs="Times New Roman"/>
          <w:sz w:val="24"/>
          <w:szCs w:val="24"/>
          <w:lang w:val="es-ES"/>
        </w:rPr>
        <w:t>a su conocimiento</w:t>
      </w:r>
      <w:r w:rsidR="00E64E2C" w:rsidRPr="00B22CA9">
        <w:rPr>
          <w:rFonts w:ascii="Times New Roman" w:hAnsi="Times New Roman" w:cs="Times New Roman"/>
          <w:sz w:val="24"/>
          <w:szCs w:val="24"/>
          <w:lang w:val="es-ES"/>
        </w:rPr>
        <w:t xml:space="preserve"> y considere</w:t>
      </w:r>
      <w:r w:rsidR="00622089" w:rsidRPr="00B22CA9">
        <w:rPr>
          <w:rFonts w:ascii="Times New Roman" w:hAnsi="Times New Roman" w:cs="Times New Roman"/>
          <w:sz w:val="24"/>
          <w:szCs w:val="24"/>
          <w:lang w:val="es-ES"/>
        </w:rPr>
        <w:t xml:space="preserve"> que un Estado miembro incumple una obligación de </w:t>
      </w:r>
      <w:r w:rsidR="00D7255A" w:rsidRPr="00B22CA9">
        <w:rPr>
          <w:rFonts w:ascii="Times New Roman" w:hAnsi="Times New Roman" w:cs="Times New Roman"/>
          <w:sz w:val="24"/>
          <w:szCs w:val="24"/>
          <w:lang w:val="es-ES"/>
        </w:rPr>
        <w:t>d</w:t>
      </w:r>
      <w:r w:rsidR="00622089" w:rsidRPr="00B22CA9">
        <w:rPr>
          <w:rFonts w:ascii="Times New Roman" w:hAnsi="Times New Roman" w:cs="Times New Roman"/>
          <w:sz w:val="24"/>
          <w:szCs w:val="24"/>
          <w:lang w:val="es-ES"/>
        </w:rPr>
        <w:t>erecho de la Unión</w:t>
      </w:r>
      <w:r w:rsidRPr="00B22CA9">
        <w:rPr>
          <w:rFonts w:ascii="Times New Roman" w:hAnsi="Times New Roman" w:cs="Times New Roman"/>
          <w:sz w:val="24"/>
          <w:szCs w:val="24"/>
          <w:lang w:val="es-ES"/>
        </w:rPr>
        <w:t>. En la práctica</w:t>
      </w:r>
      <w:r w:rsidR="00622089" w:rsidRPr="00B22CA9">
        <w:rPr>
          <w:rFonts w:ascii="Times New Roman" w:hAnsi="Times New Roman" w:cs="Times New Roman"/>
          <w:sz w:val="24"/>
          <w:szCs w:val="24"/>
          <w:lang w:val="es-ES"/>
        </w:rPr>
        <w:t xml:space="preserve"> no</w:t>
      </w:r>
      <w:r w:rsidR="0034175A" w:rsidRPr="00B22CA9">
        <w:rPr>
          <w:rFonts w:ascii="Times New Roman" w:hAnsi="Times New Roman" w:cs="Times New Roman"/>
          <w:sz w:val="24"/>
          <w:szCs w:val="24"/>
          <w:lang w:val="es-ES"/>
        </w:rPr>
        <w:t xml:space="preserve"> es</w:t>
      </w:r>
      <w:r w:rsidRPr="00B22CA9">
        <w:rPr>
          <w:rFonts w:ascii="Times New Roman" w:hAnsi="Times New Roman" w:cs="Times New Roman"/>
          <w:sz w:val="24"/>
          <w:szCs w:val="24"/>
          <w:lang w:val="es-ES"/>
        </w:rPr>
        <w:t xml:space="preserve"> así</w:t>
      </w:r>
      <w:r w:rsidR="00D34C5F" w:rsidRPr="00B22CA9">
        <w:rPr>
          <w:rFonts w:ascii="Times New Roman" w:hAnsi="Times New Roman" w:cs="Times New Roman"/>
          <w:sz w:val="24"/>
          <w:szCs w:val="24"/>
          <w:lang w:val="es-ES"/>
        </w:rPr>
        <w:t>, como ha declarado el Tribunal de Justicia en diferentes sentencias</w:t>
      </w:r>
      <w:r w:rsidR="00F93BC3" w:rsidRPr="00B22CA9">
        <w:rPr>
          <w:rStyle w:val="Refdenotaalpie"/>
          <w:rFonts w:ascii="Times New Roman" w:hAnsi="Times New Roman" w:cs="Times New Roman"/>
          <w:sz w:val="24"/>
          <w:szCs w:val="24"/>
          <w:lang w:val="es-ES"/>
        </w:rPr>
        <w:footnoteReference w:id="27"/>
      </w:r>
      <w:r w:rsidR="0034175A" w:rsidRPr="00B22CA9">
        <w:rPr>
          <w:rFonts w:ascii="Times New Roman" w:hAnsi="Times New Roman" w:cs="Times New Roman"/>
          <w:sz w:val="24"/>
          <w:szCs w:val="24"/>
          <w:lang w:val="es-ES"/>
        </w:rPr>
        <w:t xml:space="preserve">. </w:t>
      </w:r>
      <w:r w:rsidR="00340BBC" w:rsidRPr="00B22CA9">
        <w:rPr>
          <w:rFonts w:ascii="Times New Roman" w:hAnsi="Times New Roman" w:cs="Times New Roman"/>
          <w:sz w:val="24"/>
          <w:szCs w:val="24"/>
          <w:lang w:val="es-ES"/>
        </w:rPr>
        <w:t>L</w:t>
      </w:r>
      <w:r w:rsidR="0034175A" w:rsidRPr="00B22CA9">
        <w:rPr>
          <w:rFonts w:ascii="Times New Roman" w:hAnsi="Times New Roman" w:cs="Times New Roman"/>
          <w:sz w:val="24"/>
          <w:szCs w:val="24"/>
          <w:lang w:val="es-ES"/>
        </w:rPr>
        <w:t>a Comisión act</w:t>
      </w:r>
      <w:r w:rsidR="00FB79D8" w:rsidRPr="00B22CA9">
        <w:rPr>
          <w:rFonts w:ascii="Times New Roman" w:hAnsi="Times New Roman" w:cs="Times New Roman"/>
          <w:sz w:val="24"/>
          <w:szCs w:val="24"/>
          <w:lang w:val="es-ES"/>
        </w:rPr>
        <w:t>úa</w:t>
      </w:r>
      <w:r w:rsidR="0034175A" w:rsidRPr="00B22CA9">
        <w:rPr>
          <w:rFonts w:ascii="Times New Roman" w:hAnsi="Times New Roman" w:cs="Times New Roman"/>
          <w:sz w:val="24"/>
          <w:szCs w:val="24"/>
          <w:lang w:val="es-ES"/>
        </w:rPr>
        <w:t xml:space="preserve"> de manera </w:t>
      </w:r>
      <w:r w:rsidR="00FB79D8" w:rsidRPr="00B22CA9">
        <w:rPr>
          <w:rFonts w:ascii="Times New Roman" w:hAnsi="Times New Roman" w:cs="Times New Roman"/>
          <w:sz w:val="24"/>
          <w:szCs w:val="24"/>
          <w:lang w:val="es-ES"/>
        </w:rPr>
        <w:t>a</w:t>
      </w:r>
      <w:r w:rsidR="0034175A" w:rsidRPr="00B22CA9">
        <w:rPr>
          <w:rFonts w:ascii="Times New Roman" w:hAnsi="Times New Roman" w:cs="Times New Roman"/>
          <w:sz w:val="24"/>
          <w:szCs w:val="24"/>
          <w:lang w:val="es-ES"/>
        </w:rPr>
        <w:t xml:space="preserve">utónoma </w:t>
      </w:r>
      <w:r w:rsidR="003D2C53" w:rsidRPr="00B22CA9">
        <w:rPr>
          <w:rFonts w:ascii="Times New Roman" w:hAnsi="Times New Roman" w:cs="Times New Roman"/>
          <w:sz w:val="24"/>
          <w:szCs w:val="24"/>
          <w:lang w:val="es-ES"/>
        </w:rPr>
        <w:t>cuando</w:t>
      </w:r>
      <w:r w:rsidR="0034175A" w:rsidRPr="00B22CA9">
        <w:rPr>
          <w:rFonts w:ascii="Times New Roman" w:hAnsi="Times New Roman" w:cs="Times New Roman"/>
          <w:sz w:val="24"/>
          <w:szCs w:val="24"/>
          <w:lang w:val="es-ES"/>
        </w:rPr>
        <w:t xml:space="preserve"> decid</w:t>
      </w:r>
      <w:r w:rsidR="003D2C53" w:rsidRPr="00B22CA9">
        <w:rPr>
          <w:rFonts w:ascii="Times New Roman" w:hAnsi="Times New Roman" w:cs="Times New Roman"/>
          <w:sz w:val="24"/>
          <w:szCs w:val="24"/>
          <w:lang w:val="es-ES"/>
        </w:rPr>
        <w:t>e</w:t>
      </w:r>
      <w:r w:rsidR="0034175A" w:rsidRPr="00B22CA9">
        <w:rPr>
          <w:rFonts w:ascii="Times New Roman" w:hAnsi="Times New Roman" w:cs="Times New Roman"/>
          <w:sz w:val="24"/>
          <w:szCs w:val="24"/>
          <w:lang w:val="es-ES"/>
        </w:rPr>
        <w:t xml:space="preserve"> qué infracciones perseguir</w:t>
      </w:r>
      <w:r w:rsidR="00340BBC" w:rsidRPr="00B22CA9">
        <w:rPr>
          <w:rFonts w:ascii="Times New Roman" w:hAnsi="Times New Roman" w:cs="Times New Roman"/>
          <w:sz w:val="24"/>
          <w:szCs w:val="24"/>
          <w:lang w:val="es-ES"/>
        </w:rPr>
        <w:t xml:space="preserve"> y</w:t>
      </w:r>
      <w:r w:rsidR="000771EE" w:rsidRPr="00B22CA9">
        <w:rPr>
          <w:rFonts w:ascii="Times New Roman" w:hAnsi="Times New Roman" w:cs="Times New Roman"/>
          <w:sz w:val="24"/>
          <w:szCs w:val="24"/>
          <w:lang w:val="es-ES"/>
        </w:rPr>
        <w:t xml:space="preserve"> cómo canalizar denuncias</w:t>
      </w:r>
      <w:r w:rsidR="00340BBC" w:rsidRPr="00B22CA9">
        <w:rPr>
          <w:rFonts w:ascii="Times New Roman" w:hAnsi="Times New Roman" w:cs="Times New Roman"/>
          <w:sz w:val="24"/>
          <w:szCs w:val="24"/>
          <w:lang w:val="es-ES"/>
        </w:rPr>
        <w:t xml:space="preserve"> concretas</w:t>
      </w:r>
      <w:r w:rsidR="00676B9D" w:rsidRPr="00B22CA9">
        <w:rPr>
          <w:rFonts w:ascii="Times New Roman" w:hAnsi="Times New Roman" w:cs="Times New Roman"/>
          <w:sz w:val="24"/>
          <w:szCs w:val="24"/>
          <w:lang w:val="es-ES"/>
        </w:rPr>
        <w:t>. H</w:t>
      </w:r>
      <w:r w:rsidR="00340BBC" w:rsidRPr="00B22CA9">
        <w:rPr>
          <w:rFonts w:ascii="Times New Roman" w:hAnsi="Times New Roman" w:cs="Times New Roman"/>
          <w:sz w:val="24"/>
          <w:szCs w:val="24"/>
          <w:lang w:val="es-ES"/>
        </w:rPr>
        <w:t xml:space="preserve">ay mecanismos de seguimiento, </w:t>
      </w:r>
      <w:r w:rsidR="000771EE" w:rsidRPr="00B22CA9">
        <w:rPr>
          <w:rFonts w:ascii="Times New Roman" w:hAnsi="Times New Roman" w:cs="Times New Roman"/>
          <w:sz w:val="24"/>
          <w:szCs w:val="24"/>
          <w:lang w:val="es-ES"/>
        </w:rPr>
        <w:t xml:space="preserve">IMS, SOLVIT </w:t>
      </w:r>
      <w:r w:rsidR="00676B9D" w:rsidRPr="00B22CA9">
        <w:rPr>
          <w:rFonts w:ascii="Times New Roman" w:hAnsi="Times New Roman" w:cs="Times New Roman"/>
          <w:sz w:val="24"/>
          <w:szCs w:val="24"/>
          <w:lang w:val="es-ES"/>
        </w:rPr>
        <w:t>y</w:t>
      </w:r>
      <w:r w:rsidR="000771EE" w:rsidRPr="00B22CA9">
        <w:rPr>
          <w:rFonts w:ascii="Times New Roman" w:hAnsi="Times New Roman" w:cs="Times New Roman"/>
          <w:sz w:val="24"/>
          <w:szCs w:val="24"/>
          <w:lang w:val="es-ES"/>
        </w:rPr>
        <w:t xml:space="preserve"> PILOT</w:t>
      </w:r>
      <w:r w:rsidR="007E7CA0" w:rsidRPr="00B22CA9">
        <w:rPr>
          <w:rStyle w:val="Refdenotaalpie"/>
          <w:rFonts w:ascii="Times New Roman" w:hAnsi="Times New Roman" w:cs="Times New Roman"/>
          <w:sz w:val="24"/>
          <w:szCs w:val="24"/>
          <w:lang w:val="es-ES"/>
        </w:rPr>
        <w:footnoteReference w:id="28"/>
      </w:r>
      <w:r w:rsidR="00340BBC" w:rsidRPr="00B22CA9">
        <w:rPr>
          <w:rFonts w:ascii="Times New Roman" w:hAnsi="Times New Roman" w:cs="Times New Roman"/>
          <w:sz w:val="24"/>
          <w:szCs w:val="24"/>
          <w:lang w:val="es-ES"/>
        </w:rPr>
        <w:t>, que también se emplean para conseguir una mayor efectividad del derecho de la Unión sin utilizar la vía contenciosa.</w:t>
      </w:r>
      <w:r w:rsidR="0034175A" w:rsidRPr="00B22CA9">
        <w:rPr>
          <w:rFonts w:ascii="Times New Roman" w:hAnsi="Times New Roman" w:cs="Times New Roman"/>
          <w:sz w:val="24"/>
          <w:szCs w:val="24"/>
          <w:lang w:val="es-ES"/>
        </w:rPr>
        <w:t xml:space="preserve"> </w:t>
      </w:r>
      <w:r w:rsidR="003E7690" w:rsidRPr="00B22CA9">
        <w:rPr>
          <w:rFonts w:ascii="Times New Roman" w:hAnsi="Times New Roman" w:cs="Times New Roman"/>
          <w:sz w:val="24"/>
          <w:szCs w:val="24"/>
          <w:lang w:val="es-ES"/>
        </w:rPr>
        <w:t>L</w:t>
      </w:r>
      <w:r w:rsidR="0034175A" w:rsidRPr="00B22CA9">
        <w:rPr>
          <w:rFonts w:ascii="Times New Roman" w:hAnsi="Times New Roman" w:cs="Times New Roman"/>
          <w:sz w:val="24"/>
          <w:szCs w:val="24"/>
          <w:lang w:val="es-ES"/>
        </w:rPr>
        <w:t xml:space="preserve">a Comisión ha dado a su facultad de </w:t>
      </w:r>
      <w:r w:rsidR="0034175A" w:rsidRPr="00B22CA9">
        <w:rPr>
          <w:rFonts w:ascii="Times New Roman" w:hAnsi="Times New Roman" w:cs="Times New Roman"/>
          <w:i/>
          <w:iCs/>
          <w:sz w:val="24"/>
          <w:szCs w:val="24"/>
          <w:lang w:val="es-ES"/>
        </w:rPr>
        <w:t>considerar</w:t>
      </w:r>
      <w:r w:rsidR="00340BBC" w:rsidRPr="00B22CA9">
        <w:rPr>
          <w:rFonts w:ascii="Times New Roman" w:hAnsi="Times New Roman" w:cs="Times New Roman"/>
          <w:iCs/>
          <w:sz w:val="24"/>
          <w:szCs w:val="24"/>
          <w:lang w:val="es-ES"/>
        </w:rPr>
        <w:t xml:space="preserve"> </w:t>
      </w:r>
      <w:r w:rsidR="0034175A" w:rsidRPr="00B22CA9">
        <w:rPr>
          <w:rFonts w:ascii="Times New Roman" w:hAnsi="Times New Roman" w:cs="Times New Roman"/>
          <w:sz w:val="24"/>
          <w:szCs w:val="24"/>
          <w:lang w:val="es-ES"/>
        </w:rPr>
        <w:t>si existe</w:t>
      </w:r>
      <w:r w:rsidR="00241EC4" w:rsidRPr="00B22CA9">
        <w:rPr>
          <w:rFonts w:ascii="Times New Roman" w:hAnsi="Times New Roman" w:cs="Times New Roman"/>
          <w:sz w:val="24"/>
          <w:szCs w:val="24"/>
          <w:lang w:val="es-ES"/>
        </w:rPr>
        <w:t xml:space="preserve"> </w:t>
      </w:r>
      <w:r w:rsidR="0034175A" w:rsidRPr="00B22CA9">
        <w:rPr>
          <w:rFonts w:ascii="Times New Roman" w:hAnsi="Times New Roman" w:cs="Times New Roman"/>
          <w:sz w:val="24"/>
          <w:szCs w:val="24"/>
          <w:lang w:val="es-ES"/>
        </w:rPr>
        <w:t>incumplimiento</w:t>
      </w:r>
      <w:r w:rsidR="00FB79D8" w:rsidRPr="00B22CA9">
        <w:rPr>
          <w:rFonts w:ascii="Times New Roman" w:hAnsi="Times New Roman" w:cs="Times New Roman"/>
          <w:sz w:val="24"/>
          <w:szCs w:val="24"/>
          <w:lang w:val="es-ES"/>
        </w:rPr>
        <w:t xml:space="preserve"> </w:t>
      </w:r>
      <w:r w:rsidR="0034175A" w:rsidRPr="00B22CA9">
        <w:rPr>
          <w:rFonts w:ascii="Times New Roman" w:hAnsi="Times New Roman" w:cs="Times New Roman"/>
          <w:sz w:val="24"/>
          <w:szCs w:val="24"/>
          <w:lang w:val="es-ES"/>
        </w:rPr>
        <w:t xml:space="preserve">una lectura </w:t>
      </w:r>
      <w:r w:rsidR="00F92622" w:rsidRPr="00B22CA9">
        <w:rPr>
          <w:rFonts w:ascii="Times New Roman" w:hAnsi="Times New Roman" w:cs="Times New Roman"/>
          <w:sz w:val="24"/>
          <w:szCs w:val="24"/>
          <w:lang w:val="es-ES"/>
        </w:rPr>
        <w:t>flexible</w:t>
      </w:r>
      <w:r w:rsidR="00340BBC" w:rsidRPr="00B22CA9">
        <w:rPr>
          <w:rFonts w:ascii="Times New Roman" w:hAnsi="Times New Roman" w:cs="Times New Roman"/>
          <w:sz w:val="24"/>
          <w:szCs w:val="24"/>
          <w:lang w:val="es-ES"/>
        </w:rPr>
        <w:t>, vinculada a</w:t>
      </w:r>
      <w:r w:rsidR="00F92622" w:rsidRPr="00B22CA9">
        <w:rPr>
          <w:rFonts w:ascii="Times New Roman" w:hAnsi="Times New Roman" w:cs="Times New Roman"/>
          <w:sz w:val="24"/>
          <w:szCs w:val="24"/>
          <w:lang w:val="es-ES"/>
        </w:rPr>
        <w:t xml:space="preserve"> sus prioridades </w:t>
      </w:r>
      <w:r w:rsidR="003E7690" w:rsidRPr="00B22CA9">
        <w:rPr>
          <w:rFonts w:ascii="Times New Roman" w:hAnsi="Times New Roman" w:cs="Times New Roman"/>
          <w:sz w:val="24"/>
          <w:szCs w:val="24"/>
          <w:lang w:val="es-ES"/>
        </w:rPr>
        <w:t xml:space="preserve">respecto a la integración </w:t>
      </w:r>
      <w:r w:rsidR="00F92622" w:rsidRPr="00B22CA9">
        <w:rPr>
          <w:rFonts w:ascii="Times New Roman" w:hAnsi="Times New Roman" w:cs="Times New Roman"/>
          <w:sz w:val="24"/>
          <w:szCs w:val="24"/>
          <w:lang w:val="es-ES"/>
        </w:rPr>
        <w:t>y</w:t>
      </w:r>
      <w:r w:rsidR="00340BBC" w:rsidRPr="00B22CA9">
        <w:rPr>
          <w:rFonts w:ascii="Times New Roman" w:hAnsi="Times New Roman" w:cs="Times New Roman"/>
          <w:sz w:val="24"/>
          <w:szCs w:val="24"/>
          <w:lang w:val="es-ES"/>
        </w:rPr>
        <w:t xml:space="preserve"> dependiente</w:t>
      </w:r>
      <w:r w:rsidR="00F92622" w:rsidRPr="00B22CA9">
        <w:rPr>
          <w:rFonts w:ascii="Times New Roman" w:hAnsi="Times New Roman" w:cs="Times New Roman"/>
          <w:sz w:val="24"/>
          <w:szCs w:val="24"/>
          <w:lang w:val="es-ES"/>
        </w:rPr>
        <w:t xml:space="preserve"> de las relaciones con los Estados miembros</w:t>
      </w:r>
      <w:r w:rsidR="0034175A" w:rsidRPr="00B22CA9">
        <w:rPr>
          <w:rFonts w:ascii="Times New Roman" w:hAnsi="Times New Roman" w:cs="Times New Roman"/>
          <w:sz w:val="24"/>
          <w:szCs w:val="24"/>
          <w:lang w:val="es-ES"/>
        </w:rPr>
        <w:t xml:space="preserve">. </w:t>
      </w:r>
      <w:r w:rsidR="00FB79D8" w:rsidRPr="00B22CA9">
        <w:rPr>
          <w:rFonts w:ascii="Times New Roman" w:hAnsi="Times New Roman" w:cs="Times New Roman"/>
          <w:sz w:val="24"/>
          <w:szCs w:val="24"/>
          <w:lang w:val="es-ES"/>
        </w:rPr>
        <w:t>El 258 TFUE</w:t>
      </w:r>
      <w:r w:rsidR="00E64E2C" w:rsidRPr="00B22CA9">
        <w:rPr>
          <w:rFonts w:ascii="Times New Roman" w:hAnsi="Times New Roman" w:cs="Times New Roman"/>
          <w:sz w:val="24"/>
          <w:szCs w:val="24"/>
          <w:lang w:val="es-ES"/>
        </w:rPr>
        <w:t xml:space="preserve"> </w:t>
      </w:r>
      <w:r w:rsidR="0034175A" w:rsidRPr="00B22CA9">
        <w:rPr>
          <w:rFonts w:ascii="Times New Roman" w:hAnsi="Times New Roman" w:cs="Times New Roman"/>
          <w:sz w:val="24"/>
          <w:szCs w:val="24"/>
          <w:lang w:val="es-ES"/>
        </w:rPr>
        <w:t>no establece plazos para abrir un procedimiento de infracción una vez que la sospecha</w:t>
      </w:r>
      <w:r w:rsidR="003E7690" w:rsidRPr="00B22CA9">
        <w:rPr>
          <w:rFonts w:ascii="Times New Roman" w:hAnsi="Times New Roman" w:cs="Times New Roman"/>
          <w:sz w:val="24"/>
          <w:szCs w:val="24"/>
          <w:lang w:val="es-ES"/>
        </w:rPr>
        <w:t>,</w:t>
      </w:r>
      <w:r w:rsidR="0034175A" w:rsidRPr="00B22CA9">
        <w:rPr>
          <w:rFonts w:ascii="Times New Roman" w:hAnsi="Times New Roman" w:cs="Times New Roman"/>
          <w:sz w:val="24"/>
          <w:szCs w:val="24"/>
          <w:lang w:val="es-ES"/>
        </w:rPr>
        <w:t xml:space="preserve"> o incluso la certeza</w:t>
      </w:r>
      <w:r w:rsidR="003E7690" w:rsidRPr="00B22CA9">
        <w:rPr>
          <w:rFonts w:ascii="Times New Roman" w:hAnsi="Times New Roman" w:cs="Times New Roman"/>
          <w:sz w:val="24"/>
          <w:szCs w:val="24"/>
          <w:lang w:val="es-ES"/>
        </w:rPr>
        <w:t>,</w:t>
      </w:r>
      <w:r w:rsidR="0034175A" w:rsidRPr="00B22CA9">
        <w:rPr>
          <w:rFonts w:ascii="Times New Roman" w:hAnsi="Times New Roman" w:cs="Times New Roman"/>
          <w:sz w:val="24"/>
          <w:szCs w:val="24"/>
          <w:lang w:val="es-ES"/>
        </w:rPr>
        <w:t xml:space="preserve"> ha llegado a</w:t>
      </w:r>
      <w:r w:rsidR="00340BBC" w:rsidRPr="00B22CA9">
        <w:rPr>
          <w:rFonts w:ascii="Times New Roman" w:hAnsi="Times New Roman" w:cs="Times New Roman"/>
          <w:sz w:val="24"/>
          <w:szCs w:val="24"/>
          <w:lang w:val="es-ES"/>
        </w:rPr>
        <w:t xml:space="preserve"> conocimiento de la Comisión, lo cual refuerza ese margen de discrecionalidad</w:t>
      </w:r>
      <w:r w:rsidR="0034175A" w:rsidRPr="00B22CA9">
        <w:rPr>
          <w:rFonts w:ascii="Times New Roman" w:hAnsi="Times New Roman" w:cs="Times New Roman"/>
          <w:sz w:val="24"/>
          <w:szCs w:val="24"/>
          <w:lang w:val="es-ES"/>
        </w:rPr>
        <w:t xml:space="preserve"> (Evans, 1979: 445)</w:t>
      </w:r>
      <w:r w:rsidR="003A535F" w:rsidRPr="00B22CA9">
        <w:rPr>
          <w:rStyle w:val="Refdenotaalpie"/>
          <w:rFonts w:ascii="Times New Roman" w:hAnsi="Times New Roman" w:cs="Times New Roman"/>
          <w:sz w:val="24"/>
          <w:szCs w:val="24"/>
          <w:lang w:val="es-ES"/>
        </w:rPr>
        <w:footnoteReference w:id="29"/>
      </w:r>
      <w:r w:rsidR="009E6A1E" w:rsidRPr="00B22CA9">
        <w:rPr>
          <w:rFonts w:ascii="Times New Roman" w:hAnsi="Times New Roman" w:cs="Times New Roman"/>
          <w:sz w:val="24"/>
          <w:szCs w:val="24"/>
          <w:lang w:val="es-ES"/>
        </w:rPr>
        <w:t>.</w:t>
      </w:r>
      <w:r w:rsidR="00FB79D8" w:rsidRPr="00B22CA9">
        <w:rPr>
          <w:rFonts w:ascii="Times New Roman" w:hAnsi="Times New Roman" w:cs="Times New Roman"/>
          <w:sz w:val="24"/>
          <w:szCs w:val="24"/>
          <w:lang w:val="es-ES"/>
        </w:rPr>
        <w:t xml:space="preserve"> </w:t>
      </w:r>
      <w:r w:rsidR="00340BBC" w:rsidRPr="00B22CA9">
        <w:rPr>
          <w:rFonts w:ascii="Times New Roman" w:hAnsi="Times New Roman" w:cs="Times New Roman"/>
          <w:sz w:val="24"/>
          <w:szCs w:val="24"/>
          <w:lang w:val="es-ES"/>
        </w:rPr>
        <w:t xml:space="preserve">En cualquier caso, </w:t>
      </w:r>
      <w:r w:rsidR="0034175A" w:rsidRPr="00B22CA9">
        <w:rPr>
          <w:rFonts w:ascii="Times New Roman" w:hAnsi="Times New Roman" w:cs="Times New Roman"/>
          <w:sz w:val="24"/>
          <w:szCs w:val="24"/>
          <w:lang w:val="es-ES"/>
        </w:rPr>
        <w:t>l</w:t>
      </w:r>
      <w:r w:rsidR="00622089" w:rsidRPr="00B22CA9">
        <w:rPr>
          <w:rFonts w:ascii="Times New Roman" w:hAnsi="Times New Roman" w:cs="Times New Roman"/>
          <w:sz w:val="24"/>
          <w:szCs w:val="24"/>
          <w:lang w:val="es-ES"/>
        </w:rPr>
        <w:t>a Comisión no tiene recursos para detectar todo incumplimiento</w:t>
      </w:r>
      <w:r w:rsidR="00FB79D8" w:rsidRPr="00B22CA9">
        <w:rPr>
          <w:rFonts w:ascii="Times New Roman" w:hAnsi="Times New Roman" w:cs="Times New Roman"/>
          <w:sz w:val="24"/>
          <w:szCs w:val="24"/>
          <w:lang w:val="es-ES"/>
        </w:rPr>
        <w:t xml:space="preserve">. </w:t>
      </w:r>
      <w:r w:rsidR="00340BBC" w:rsidRPr="00B22CA9">
        <w:rPr>
          <w:rFonts w:ascii="Times New Roman" w:hAnsi="Times New Roman" w:cs="Times New Roman"/>
          <w:sz w:val="24"/>
          <w:szCs w:val="24"/>
          <w:lang w:val="es-ES"/>
        </w:rPr>
        <w:t>L</w:t>
      </w:r>
      <w:r w:rsidR="00E64E2C" w:rsidRPr="00B22CA9">
        <w:rPr>
          <w:rFonts w:ascii="Times New Roman" w:hAnsi="Times New Roman" w:cs="Times New Roman"/>
          <w:sz w:val="24"/>
          <w:szCs w:val="24"/>
          <w:lang w:val="es-ES"/>
        </w:rPr>
        <w:t>os que se persiguen son solo una fracción y</w:t>
      </w:r>
      <w:r w:rsidR="00E107A5" w:rsidRPr="00B22CA9">
        <w:rPr>
          <w:rFonts w:ascii="Times New Roman" w:hAnsi="Times New Roman" w:cs="Times New Roman"/>
          <w:sz w:val="24"/>
          <w:szCs w:val="24"/>
          <w:lang w:val="es-ES"/>
        </w:rPr>
        <w:t>,</w:t>
      </w:r>
      <w:r w:rsidR="00E64E2C" w:rsidRPr="00B22CA9">
        <w:rPr>
          <w:rFonts w:ascii="Times New Roman" w:hAnsi="Times New Roman" w:cs="Times New Roman"/>
          <w:sz w:val="24"/>
          <w:szCs w:val="24"/>
          <w:lang w:val="es-ES"/>
        </w:rPr>
        <w:t xml:space="preserve"> dentro de esa fracción</w:t>
      </w:r>
      <w:r w:rsidR="00E107A5" w:rsidRPr="00B22CA9">
        <w:rPr>
          <w:rFonts w:ascii="Times New Roman" w:hAnsi="Times New Roman" w:cs="Times New Roman"/>
          <w:sz w:val="24"/>
          <w:szCs w:val="24"/>
          <w:lang w:val="es-ES"/>
        </w:rPr>
        <w:t xml:space="preserve">, tampoco están </w:t>
      </w:r>
      <w:r w:rsidR="00622089" w:rsidRPr="00B22CA9">
        <w:rPr>
          <w:rFonts w:ascii="Times New Roman" w:hAnsi="Times New Roman" w:cs="Times New Roman"/>
          <w:sz w:val="24"/>
          <w:szCs w:val="24"/>
          <w:lang w:val="es-ES"/>
        </w:rPr>
        <w:t>todos</w:t>
      </w:r>
      <w:r w:rsidR="0034175A" w:rsidRPr="00B22CA9">
        <w:rPr>
          <w:rFonts w:ascii="Times New Roman" w:hAnsi="Times New Roman" w:cs="Times New Roman"/>
          <w:sz w:val="24"/>
          <w:szCs w:val="24"/>
          <w:lang w:val="es-ES"/>
        </w:rPr>
        <w:t xml:space="preserve"> aquellos de</w:t>
      </w:r>
      <w:r w:rsidR="00622089" w:rsidRPr="00B22CA9">
        <w:rPr>
          <w:rFonts w:ascii="Times New Roman" w:hAnsi="Times New Roman" w:cs="Times New Roman"/>
          <w:sz w:val="24"/>
          <w:szCs w:val="24"/>
          <w:lang w:val="es-ES"/>
        </w:rPr>
        <w:t xml:space="preserve"> los </w:t>
      </w:r>
      <w:r w:rsidR="0034175A" w:rsidRPr="00B22CA9">
        <w:rPr>
          <w:rFonts w:ascii="Times New Roman" w:hAnsi="Times New Roman" w:cs="Times New Roman"/>
          <w:sz w:val="24"/>
          <w:szCs w:val="24"/>
          <w:lang w:val="es-ES"/>
        </w:rPr>
        <w:t>que llega a saber</w:t>
      </w:r>
      <w:r w:rsidR="00104F47" w:rsidRPr="00B22CA9">
        <w:rPr>
          <w:rFonts w:ascii="Times New Roman" w:hAnsi="Times New Roman" w:cs="Times New Roman"/>
          <w:sz w:val="24"/>
          <w:szCs w:val="24"/>
          <w:lang w:val="es-ES"/>
        </w:rPr>
        <w:t>se</w:t>
      </w:r>
      <w:r w:rsidR="00622089" w:rsidRPr="00B22CA9">
        <w:rPr>
          <w:rFonts w:ascii="Times New Roman" w:hAnsi="Times New Roman" w:cs="Times New Roman"/>
          <w:sz w:val="24"/>
          <w:szCs w:val="24"/>
          <w:lang w:val="es-ES"/>
        </w:rPr>
        <w:t>.</w:t>
      </w:r>
      <w:r w:rsidR="0034175A" w:rsidRPr="00B22CA9">
        <w:rPr>
          <w:rFonts w:ascii="Times New Roman" w:hAnsi="Times New Roman" w:cs="Times New Roman"/>
          <w:sz w:val="24"/>
          <w:szCs w:val="24"/>
          <w:lang w:val="es-ES"/>
        </w:rPr>
        <w:t xml:space="preserve"> </w:t>
      </w:r>
      <w:r w:rsidR="00340BBC" w:rsidRPr="00B22CA9">
        <w:rPr>
          <w:rFonts w:ascii="Times New Roman" w:hAnsi="Times New Roman" w:cs="Times New Roman"/>
          <w:sz w:val="24"/>
          <w:szCs w:val="24"/>
          <w:lang w:val="es-ES"/>
        </w:rPr>
        <w:t xml:space="preserve">Por fin, </w:t>
      </w:r>
      <w:r w:rsidR="00622089" w:rsidRPr="00B22CA9">
        <w:rPr>
          <w:rFonts w:ascii="Times New Roman" w:hAnsi="Times New Roman" w:cs="Times New Roman"/>
          <w:sz w:val="24"/>
          <w:szCs w:val="24"/>
          <w:lang w:val="es-ES"/>
        </w:rPr>
        <w:t xml:space="preserve">aunque </w:t>
      </w:r>
      <w:r w:rsidR="00340BBC" w:rsidRPr="00B22CA9">
        <w:rPr>
          <w:rFonts w:ascii="Times New Roman" w:hAnsi="Times New Roman" w:cs="Times New Roman"/>
          <w:sz w:val="24"/>
          <w:szCs w:val="24"/>
          <w:lang w:val="es-ES"/>
        </w:rPr>
        <w:t>la Comisión impulse</w:t>
      </w:r>
      <w:r w:rsidR="00EB2866" w:rsidRPr="00B22CA9">
        <w:rPr>
          <w:rFonts w:ascii="Times New Roman" w:hAnsi="Times New Roman" w:cs="Times New Roman"/>
          <w:sz w:val="24"/>
          <w:szCs w:val="24"/>
          <w:lang w:val="es-ES"/>
        </w:rPr>
        <w:t xml:space="preserve"> un procedimiento contra un Estado, </w:t>
      </w:r>
      <w:r w:rsidR="00FB79D8" w:rsidRPr="00B22CA9">
        <w:rPr>
          <w:rFonts w:ascii="Times New Roman" w:hAnsi="Times New Roman" w:cs="Times New Roman"/>
          <w:sz w:val="24"/>
          <w:szCs w:val="24"/>
          <w:lang w:val="es-ES"/>
        </w:rPr>
        <w:t>p</w:t>
      </w:r>
      <w:r w:rsidR="00AE6AF2" w:rsidRPr="00B22CA9">
        <w:rPr>
          <w:rFonts w:ascii="Times New Roman" w:hAnsi="Times New Roman" w:cs="Times New Roman"/>
          <w:sz w:val="24"/>
          <w:szCs w:val="24"/>
          <w:lang w:val="es-ES"/>
        </w:rPr>
        <w:t xml:space="preserve">asar a la fase judicial </w:t>
      </w:r>
      <w:r w:rsidR="00622089" w:rsidRPr="00B22CA9">
        <w:rPr>
          <w:rFonts w:ascii="Times New Roman" w:hAnsi="Times New Roman" w:cs="Times New Roman"/>
          <w:sz w:val="24"/>
          <w:szCs w:val="24"/>
          <w:lang w:val="es-ES"/>
        </w:rPr>
        <w:t xml:space="preserve">es siempre una opción discrecional </w:t>
      </w:r>
      <w:r w:rsidR="00D70B39" w:rsidRPr="00B22CA9">
        <w:rPr>
          <w:rFonts w:ascii="Times New Roman" w:hAnsi="Times New Roman" w:cs="Times New Roman"/>
          <w:sz w:val="24"/>
          <w:szCs w:val="24"/>
          <w:lang w:val="es-ES"/>
        </w:rPr>
        <w:t>suya</w:t>
      </w:r>
      <w:r w:rsidR="00622089" w:rsidRPr="00B22CA9">
        <w:rPr>
          <w:rFonts w:ascii="Times New Roman" w:hAnsi="Times New Roman" w:cs="Times New Roman"/>
          <w:sz w:val="24"/>
          <w:szCs w:val="24"/>
          <w:lang w:val="es-ES"/>
        </w:rPr>
        <w:t xml:space="preserve"> (Evans, 1979: 445)</w:t>
      </w:r>
      <w:r w:rsidR="008D2782" w:rsidRPr="00B22CA9">
        <w:rPr>
          <w:rFonts w:ascii="Times New Roman" w:hAnsi="Times New Roman" w:cs="Times New Roman"/>
          <w:sz w:val="24"/>
          <w:szCs w:val="24"/>
          <w:lang w:val="es-ES"/>
        </w:rPr>
        <w:t xml:space="preserve"> (Gormley, 2017: 65)</w:t>
      </w:r>
      <w:r w:rsidR="00622089" w:rsidRPr="00B22CA9">
        <w:rPr>
          <w:rFonts w:ascii="Times New Roman" w:hAnsi="Times New Roman" w:cs="Times New Roman"/>
          <w:sz w:val="24"/>
          <w:szCs w:val="24"/>
          <w:lang w:val="es-ES"/>
        </w:rPr>
        <w:t xml:space="preserve">. </w:t>
      </w:r>
    </w:p>
    <w:p w:rsidR="00D70B39" w:rsidRPr="00B22CA9" w:rsidRDefault="00FB79D8" w:rsidP="007F11DF">
      <w:pPr>
        <w:spacing w:line="240" w:lineRule="auto"/>
        <w:ind w:firstLine="720"/>
        <w:jc w:val="both"/>
        <w:rPr>
          <w:rFonts w:ascii="Times New Roman" w:hAnsi="Times New Roman" w:cs="Times New Roman"/>
          <w:sz w:val="24"/>
          <w:szCs w:val="24"/>
          <w:lang w:val="es-ES"/>
        </w:rPr>
      </w:pPr>
      <w:r w:rsidRPr="00B22CA9">
        <w:rPr>
          <w:rFonts w:ascii="Times New Roman" w:hAnsi="Times New Roman" w:cs="Times New Roman"/>
          <w:sz w:val="24"/>
          <w:szCs w:val="24"/>
          <w:lang w:val="es-ES"/>
        </w:rPr>
        <w:t xml:space="preserve">En la práctica, </w:t>
      </w:r>
      <w:r w:rsidR="00D70B39" w:rsidRPr="00B22CA9">
        <w:rPr>
          <w:rFonts w:ascii="Times New Roman" w:hAnsi="Times New Roman" w:cs="Times New Roman"/>
          <w:sz w:val="24"/>
          <w:szCs w:val="24"/>
          <w:lang w:val="es-ES"/>
        </w:rPr>
        <w:t xml:space="preserve">la acción de la Comisión se sistematiza en tres </w:t>
      </w:r>
      <w:r w:rsidR="00F63FFC" w:rsidRPr="00B22CA9">
        <w:rPr>
          <w:rFonts w:ascii="Times New Roman" w:hAnsi="Times New Roman" w:cs="Times New Roman"/>
          <w:sz w:val="24"/>
          <w:szCs w:val="24"/>
          <w:lang w:val="es-ES"/>
        </w:rPr>
        <w:t>categorías de incumplimiento</w:t>
      </w:r>
      <w:r w:rsidR="000C4A6F" w:rsidRPr="00B22CA9">
        <w:rPr>
          <w:rFonts w:ascii="Times New Roman" w:hAnsi="Times New Roman" w:cs="Times New Roman"/>
          <w:sz w:val="24"/>
          <w:szCs w:val="24"/>
          <w:lang w:val="es-ES"/>
        </w:rPr>
        <w:t>. D</w:t>
      </w:r>
      <w:r w:rsidR="00F63FFC" w:rsidRPr="00B22CA9">
        <w:rPr>
          <w:rFonts w:ascii="Times New Roman" w:hAnsi="Times New Roman" w:cs="Times New Roman"/>
          <w:sz w:val="24"/>
          <w:szCs w:val="24"/>
          <w:lang w:val="es-ES"/>
        </w:rPr>
        <w:t>os de ell</w:t>
      </w:r>
      <w:r w:rsidR="00D70B39" w:rsidRPr="00B22CA9">
        <w:rPr>
          <w:rFonts w:ascii="Times New Roman" w:hAnsi="Times New Roman" w:cs="Times New Roman"/>
          <w:sz w:val="24"/>
          <w:szCs w:val="24"/>
          <w:lang w:val="es-ES"/>
        </w:rPr>
        <w:t>a</w:t>
      </w:r>
      <w:r w:rsidR="00F63FFC" w:rsidRPr="00B22CA9">
        <w:rPr>
          <w:rFonts w:ascii="Times New Roman" w:hAnsi="Times New Roman" w:cs="Times New Roman"/>
          <w:sz w:val="24"/>
          <w:szCs w:val="24"/>
          <w:lang w:val="es-ES"/>
        </w:rPr>
        <w:t xml:space="preserve">s </w:t>
      </w:r>
      <w:r w:rsidR="000C4A6F" w:rsidRPr="00B22CA9">
        <w:rPr>
          <w:rFonts w:ascii="Times New Roman" w:hAnsi="Times New Roman" w:cs="Times New Roman"/>
          <w:sz w:val="24"/>
          <w:szCs w:val="24"/>
          <w:lang w:val="es-ES"/>
        </w:rPr>
        <w:t xml:space="preserve">están </w:t>
      </w:r>
      <w:r w:rsidR="00F63FFC" w:rsidRPr="00B22CA9">
        <w:rPr>
          <w:rFonts w:ascii="Times New Roman" w:hAnsi="Times New Roman" w:cs="Times New Roman"/>
          <w:sz w:val="24"/>
          <w:szCs w:val="24"/>
          <w:lang w:val="es-ES"/>
        </w:rPr>
        <w:t xml:space="preserve">relacionados con la transposición de </w:t>
      </w:r>
      <w:r w:rsidRPr="00B22CA9">
        <w:rPr>
          <w:rFonts w:ascii="Times New Roman" w:hAnsi="Times New Roman" w:cs="Times New Roman"/>
          <w:sz w:val="24"/>
          <w:szCs w:val="24"/>
          <w:lang w:val="es-ES"/>
        </w:rPr>
        <w:t>d</w:t>
      </w:r>
      <w:r w:rsidR="00F63FFC" w:rsidRPr="00B22CA9">
        <w:rPr>
          <w:rFonts w:ascii="Times New Roman" w:hAnsi="Times New Roman" w:cs="Times New Roman"/>
          <w:sz w:val="24"/>
          <w:szCs w:val="24"/>
          <w:lang w:val="es-ES"/>
        </w:rPr>
        <w:t xml:space="preserve">irectivas y </w:t>
      </w:r>
      <w:r w:rsidR="00D70B39" w:rsidRPr="00B22CA9">
        <w:rPr>
          <w:rFonts w:ascii="Times New Roman" w:hAnsi="Times New Roman" w:cs="Times New Roman"/>
          <w:sz w:val="24"/>
          <w:szCs w:val="24"/>
          <w:lang w:val="es-ES"/>
        </w:rPr>
        <w:t>la</w:t>
      </w:r>
      <w:r w:rsidR="00F63FFC" w:rsidRPr="00B22CA9">
        <w:rPr>
          <w:rFonts w:ascii="Times New Roman" w:hAnsi="Times New Roman" w:cs="Times New Roman"/>
          <w:sz w:val="24"/>
          <w:szCs w:val="24"/>
          <w:lang w:val="es-ES"/>
        </w:rPr>
        <w:t xml:space="preserve"> tercer</w:t>
      </w:r>
      <w:r w:rsidR="00D70B39" w:rsidRPr="00B22CA9">
        <w:rPr>
          <w:rFonts w:ascii="Times New Roman" w:hAnsi="Times New Roman" w:cs="Times New Roman"/>
          <w:sz w:val="24"/>
          <w:szCs w:val="24"/>
          <w:lang w:val="es-ES"/>
        </w:rPr>
        <w:t>a</w:t>
      </w:r>
      <w:r w:rsidR="00F63FFC" w:rsidRPr="00B22CA9">
        <w:rPr>
          <w:rFonts w:ascii="Times New Roman" w:hAnsi="Times New Roman" w:cs="Times New Roman"/>
          <w:sz w:val="24"/>
          <w:szCs w:val="24"/>
          <w:lang w:val="es-ES"/>
        </w:rPr>
        <w:t>, minoritari</w:t>
      </w:r>
      <w:r w:rsidR="00D70B39" w:rsidRPr="00B22CA9">
        <w:rPr>
          <w:rFonts w:ascii="Times New Roman" w:hAnsi="Times New Roman" w:cs="Times New Roman"/>
          <w:sz w:val="24"/>
          <w:szCs w:val="24"/>
          <w:lang w:val="es-ES"/>
        </w:rPr>
        <w:t>a</w:t>
      </w:r>
      <w:r w:rsidR="00F63FFC" w:rsidRPr="00B22CA9">
        <w:rPr>
          <w:rFonts w:ascii="Times New Roman" w:hAnsi="Times New Roman" w:cs="Times New Roman"/>
          <w:sz w:val="24"/>
          <w:szCs w:val="24"/>
          <w:lang w:val="es-ES"/>
        </w:rPr>
        <w:t xml:space="preserve">, con la ejecución y aplicación del </w:t>
      </w:r>
      <w:r w:rsidR="00104F47" w:rsidRPr="00B22CA9">
        <w:rPr>
          <w:rFonts w:ascii="Times New Roman" w:hAnsi="Times New Roman" w:cs="Times New Roman"/>
          <w:sz w:val="24"/>
          <w:szCs w:val="24"/>
          <w:lang w:val="es-ES"/>
        </w:rPr>
        <w:t xml:space="preserve">resto del </w:t>
      </w:r>
      <w:r w:rsidR="00D7255A" w:rsidRPr="00B22CA9">
        <w:rPr>
          <w:rFonts w:ascii="Times New Roman" w:hAnsi="Times New Roman" w:cs="Times New Roman"/>
          <w:sz w:val="24"/>
          <w:szCs w:val="24"/>
          <w:lang w:val="es-ES"/>
        </w:rPr>
        <w:t>d</w:t>
      </w:r>
      <w:r w:rsidR="00F63FFC" w:rsidRPr="00B22CA9">
        <w:rPr>
          <w:rFonts w:ascii="Times New Roman" w:hAnsi="Times New Roman" w:cs="Times New Roman"/>
          <w:sz w:val="24"/>
          <w:szCs w:val="24"/>
          <w:lang w:val="es-ES"/>
        </w:rPr>
        <w:t xml:space="preserve">erecho de la Unión. </w:t>
      </w:r>
    </w:p>
    <w:p w:rsidR="00D70B39" w:rsidRPr="00B22CA9" w:rsidRDefault="00FB79D8" w:rsidP="007F11DF">
      <w:pPr>
        <w:spacing w:line="240" w:lineRule="auto"/>
        <w:ind w:firstLine="720"/>
        <w:jc w:val="both"/>
        <w:rPr>
          <w:rFonts w:ascii="Times New Roman" w:hAnsi="Times New Roman" w:cs="Times New Roman"/>
          <w:sz w:val="24"/>
          <w:szCs w:val="24"/>
          <w:lang w:val="es-ES"/>
        </w:rPr>
      </w:pPr>
      <w:r w:rsidRPr="00B22CA9">
        <w:rPr>
          <w:rFonts w:ascii="Times New Roman" w:hAnsi="Times New Roman" w:cs="Times New Roman"/>
          <w:sz w:val="24"/>
          <w:szCs w:val="24"/>
          <w:lang w:val="es-ES"/>
        </w:rPr>
        <w:t>Tratándose de</w:t>
      </w:r>
      <w:r w:rsidR="00F63FFC" w:rsidRPr="00B22CA9">
        <w:rPr>
          <w:rFonts w:ascii="Times New Roman" w:hAnsi="Times New Roman" w:cs="Times New Roman"/>
          <w:sz w:val="24"/>
          <w:szCs w:val="24"/>
          <w:lang w:val="es-ES"/>
        </w:rPr>
        <w:t xml:space="preserve"> </w:t>
      </w:r>
      <w:r w:rsidRPr="00B22CA9">
        <w:rPr>
          <w:rFonts w:ascii="Times New Roman" w:hAnsi="Times New Roman" w:cs="Times New Roman"/>
          <w:sz w:val="24"/>
          <w:szCs w:val="24"/>
          <w:lang w:val="es-ES"/>
        </w:rPr>
        <w:t>d</w:t>
      </w:r>
      <w:r w:rsidR="00F63FFC" w:rsidRPr="00B22CA9">
        <w:rPr>
          <w:rFonts w:ascii="Times New Roman" w:hAnsi="Times New Roman" w:cs="Times New Roman"/>
          <w:sz w:val="24"/>
          <w:szCs w:val="24"/>
          <w:lang w:val="es-ES"/>
        </w:rPr>
        <w:t xml:space="preserve">irectivas, </w:t>
      </w:r>
      <w:r w:rsidR="00D70B39" w:rsidRPr="00B22CA9">
        <w:rPr>
          <w:rFonts w:ascii="Times New Roman" w:hAnsi="Times New Roman" w:cs="Times New Roman"/>
          <w:sz w:val="24"/>
          <w:szCs w:val="24"/>
          <w:lang w:val="es-ES"/>
        </w:rPr>
        <w:t xml:space="preserve">en las dos primeras categorías </w:t>
      </w:r>
      <w:r w:rsidR="00F63FFC" w:rsidRPr="00B22CA9">
        <w:rPr>
          <w:rFonts w:ascii="Times New Roman" w:hAnsi="Times New Roman" w:cs="Times New Roman"/>
          <w:sz w:val="24"/>
          <w:szCs w:val="24"/>
          <w:lang w:val="es-ES"/>
        </w:rPr>
        <w:t>el incumplimiento puede estar relacionado con la negligencia a la hora de transponerlas en plazo, incluyendo la ausencia de comunicación</w:t>
      </w:r>
      <w:r w:rsidR="00676B9D" w:rsidRPr="00B22CA9">
        <w:rPr>
          <w:rFonts w:ascii="Times New Roman" w:hAnsi="Times New Roman" w:cs="Times New Roman"/>
          <w:sz w:val="24"/>
          <w:szCs w:val="24"/>
          <w:lang w:val="es-ES"/>
        </w:rPr>
        <w:t>, o</w:t>
      </w:r>
      <w:r w:rsidR="00F63FFC" w:rsidRPr="00B22CA9">
        <w:rPr>
          <w:rFonts w:ascii="Times New Roman" w:hAnsi="Times New Roman" w:cs="Times New Roman"/>
          <w:sz w:val="24"/>
          <w:szCs w:val="24"/>
          <w:lang w:val="es-ES"/>
        </w:rPr>
        <w:t xml:space="preserve"> con la incorrecta </w:t>
      </w:r>
      <w:r w:rsidR="001B2C88" w:rsidRPr="00B22CA9">
        <w:rPr>
          <w:rFonts w:ascii="Times New Roman" w:hAnsi="Times New Roman" w:cs="Times New Roman"/>
          <w:sz w:val="24"/>
          <w:szCs w:val="24"/>
          <w:lang w:val="es-ES"/>
        </w:rPr>
        <w:t xml:space="preserve">adaptación de </w:t>
      </w:r>
      <w:r w:rsidR="00F63FFC" w:rsidRPr="00B22CA9">
        <w:rPr>
          <w:rFonts w:ascii="Times New Roman" w:hAnsi="Times New Roman" w:cs="Times New Roman"/>
          <w:sz w:val="24"/>
          <w:szCs w:val="24"/>
          <w:lang w:val="es-ES"/>
        </w:rPr>
        <w:t>sus mandatos</w:t>
      </w:r>
      <w:r w:rsidR="001B2C88" w:rsidRPr="00B22CA9">
        <w:rPr>
          <w:rFonts w:ascii="Times New Roman" w:hAnsi="Times New Roman" w:cs="Times New Roman"/>
          <w:sz w:val="24"/>
          <w:szCs w:val="24"/>
          <w:lang w:val="es-ES"/>
        </w:rPr>
        <w:t xml:space="preserve">. </w:t>
      </w:r>
      <w:r w:rsidR="00144095" w:rsidRPr="00B22CA9">
        <w:rPr>
          <w:rFonts w:ascii="Times New Roman" w:hAnsi="Times New Roman" w:cs="Times New Roman"/>
          <w:sz w:val="24"/>
          <w:szCs w:val="24"/>
          <w:lang w:val="es-ES"/>
        </w:rPr>
        <w:t>En estos casos, l</w:t>
      </w:r>
      <w:r w:rsidR="001B2C88" w:rsidRPr="00B22CA9">
        <w:rPr>
          <w:rFonts w:ascii="Times New Roman" w:hAnsi="Times New Roman" w:cs="Times New Roman"/>
          <w:sz w:val="24"/>
          <w:szCs w:val="24"/>
          <w:lang w:val="es-ES"/>
        </w:rPr>
        <w:t>a apertura del expediente de incumplimiento es bastante automát</w:t>
      </w:r>
      <w:r w:rsidR="00144095" w:rsidRPr="00B22CA9">
        <w:rPr>
          <w:rFonts w:ascii="Times New Roman" w:hAnsi="Times New Roman" w:cs="Times New Roman"/>
          <w:sz w:val="24"/>
          <w:szCs w:val="24"/>
          <w:lang w:val="es-ES"/>
        </w:rPr>
        <w:t xml:space="preserve">ica </w:t>
      </w:r>
      <w:r w:rsidR="00F63FFC" w:rsidRPr="00B22CA9">
        <w:rPr>
          <w:rFonts w:ascii="Times New Roman" w:hAnsi="Times New Roman" w:cs="Times New Roman"/>
          <w:sz w:val="24"/>
          <w:szCs w:val="24"/>
          <w:lang w:val="es-ES"/>
        </w:rPr>
        <w:t>(</w:t>
      </w:r>
      <w:r w:rsidR="000C4A6F" w:rsidRPr="00B22CA9">
        <w:rPr>
          <w:rFonts w:ascii="Times New Roman" w:hAnsi="Times New Roman" w:cs="Times New Roman"/>
          <w:sz w:val="24"/>
          <w:szCs w:val="24"/>
          <w:lang w:val="es-ES"/>
        </w:rPr>
        <w:t>Mater</w:t>
      </w:r>
      <w:r w:rsidR="00710C3B" w:rsidRPr="00B22CA9">
        <w:rPr>
          <w:rFonts w:ascii="Times New Roman" w:hAnsi="Times New Roman" w:cs="Times New Roman"/>
          <w:sz w:val="24"/>
          <w:szCs w:val="24"/>
          <w:lang w:val="es-ES"/>
        </w:rPr>
        <w:t>n</w:t>
      </w:r>
      <w:r w:rsidR="000C4A6F" w:rsidRPr="00B22CA9">
        <w:rPr>
          <w:rFonts w:ascii="Times New Roman" w:hAnsi="Times New Roman" w:cs="Times New Roman"/>
          <w:sz w:val="24"/>
          <w:szCs w:val="24"/>
          <w:lang w:val="es-ES"/>
        </w:rPr>
        <w:t>e, 2012:</w:t>
      </w:r>
      <w:r w:rsidR="00F63FFC" w:rsidRPr="00B22CA9">
        <w:rPr>
          <w:rFonts w:ascii="Times New Roman" w:hAnsi="Times New Roman" w:cs="Times New Roman"/>
          <w:sz w:val="24"/>
          <w:szCs w:val="24"/>
          <w:lang w:val="es-ES"/>
        </w:rPr>
        <w:t xml:space="preserve"> 31).</w:t>
      </w:r>
      <w:r w:rsidR="00D70B39" w:rsidRPr="00B22CA9">
        <w:rPr>
          <w:rFonts w:ascii="Times New Roman" w:hAnsi="Times New Roman" w:cs="Times New Roman"/>
          <w:sz w:val="24"/>
          <w:szCs w:val="24"/>
          <w:lang w:val="es-ES"/>
        </w:rPr>
        <w:t xml:space="preserve"> La tercera categoría</w:t>
      </w:r>
      <w:r w:rsidR="00144095" w:rsidRPr="00B22CA9">
        <w:rPr>
          <w:rFonts w:ascii="Times New Roman" w:hAnsi="Times New Roman" w:cs="Times New Roman"/>
          <w:sz w:val="24"/>
          <w:szCs w:val="24"/>
          <w:lang w:val="es-ES"/>
        </w:rPr>
        <w:t xml:space="preserve"> recoge una</w:t>
      </w:r>
      <w:r w:rsidR="00F63FFC" w:rsidRPr="00B22CA9">
        <w:rPr>
          <w:rFonts w:ascii="Times New Roman" w:hAnsi="Times New Roman" w:cs="Times New Roman"/>
          <w:sz w:val="24"/>
          <w:szCs w:val="24"/>
          <w:lang w:val="es-ES"/>
        </w:rPr>
        <w:t xml:space="preserve"> casuística heterogénea</w:t>
      </w:r>
      <w:r w:rsidR="00676B9D" w:rsidRPr="00B22CA9">
        <w:rPr>
          <w:rFonts w:ascii="Times New Roman" w:hAnsi="Times New Roman" w:cs="Times New Roman"/>
          <w:sz w:val="24"/>
          <w:szCs w:val="24"/>
          <w:lang w:val="es-ES"/>
        </w:rPr>
        <w:t>. E</w:t>
      </w:r>
      <w:r w:rsidR="00144095" w:rsidRPr="00B22CA9">
        <w:rPr>
          <w:rFonts w:ascii="Times New Roman" w:hAnsi="Times New Roman" w:cs="Times New Roman"/>
          <w:sz w:val="24"/>
          <w:szCs w:val="24"/>
          <w:lang w:val="es-ES"/>
        </w:rPr>
        <w:t xml:space="preserve">s </w:t>
      </w:r>
      <w:r w:rsidR="001B2C88" w:rsidRPr="00B22CA9">
        <w:rPr>
          <w:rFonts w:ascii="Times New Roman" w:hAnsi="Times New Roman" w:cs="Times New Roman"/>
          <w:sz w:val="24"/>
          <w:szCs w:val="24"/>
          <w:lang w:val="es-ES"/>
        </w:rPr>
        <w:t xml:space="preserve">donde más se </w:t>
      </w:r>
      <w:r w:rsidR="00144095" w:rsidRPr="00B22CA9">
        <w:rPr>
          <w:rFonts w:ascii="Times New Roman" w:hAnsi="Times New Roman" w:cs="Times New Roman"/>
          <w:sz w:val="24"/>
          <w:szCs w:val="24"/>
          <w:lang w:val="es-ES"/>
        </w:rPr>
        <w:t>diversifican</w:t>
      </w:r>
      <w:r w:rsidR="001B2C88" w:rsidRPr="00B22CA9">
        <w:rPr>
          <w:rFonts w:ascii="Times New Roman" w:hAnsi="Times New Roman" w:cs="Times New Roman"/>
          <w:sz w:val="24"/>
          <w:szCs w:val="24"/>
          <w:lang w:val="es-ES"/>
        </w:rPr>
        <w:t xml:space="preserve"> las posibilidades del procedimiento</w:t>
      </w:r>
      <w:r w:rsidR="00470963" w:rsidRPr="00B22CA9">
        <w:rPr>
          <w:rFonts w:ascii="Times New Roman" w:hAnsi="Times New Roman" w:cs="Times New Roman"/>
          <w:sz w:val="24"/>
          <w:szCs w:val="24"/>
          <w:lang w:val="es-ES"/>
        </w:rPr>
        <w:t xml:space="preserve">. </w:t>
      </w:r>
      <w:r w:rsidR="00144095" w:rsidRPr="00B22CA9">
        <w:rPr>
          <w:rFonts w:ascii="Times New Roman" w:hAnsi="Times New Roman" w:cs="Times New Roman"/>
          <w:sz w:val="24"/>
          <w:szCs w:val="24"/>
          <w:lang w:val="es-ES"/>
        </w:rPr>
        <w:t>En</w:t>
      </w:r>
      <w:r w:rsidR="001A4F50" w:rsidRPr="00B22CA9">
        <w:rPr>
          <w:rFonts w:ascii="Times New Roman" w:hAnsi="Times New Roman" w:cs="Times New Roman"/>
          <w:sz w:val="24"/>
          <w:szCs w:val="24"/>
          <w:lang w:val="es-ES"/>
        </w:rPr>
        <w:t xml:space="preserve"> el plano de las acciones u omisiones impugnables</w:t>
      </w:r>
      <w:r w:rsidR="00DD4989" w:rsidRPr="00B22CA9">
        <w:rPr>
          <w:rFonts w:ascii="Times New Roman" w:hAnsi="Times New Roman" w:cs="Times New Roman"/>
          <w:sz w:val="24"/>
          <w:szCs w:val="24"/>
          <w:lang w:val="es-ES"/>
        </w:rPr>
        <w:t>,</w:t>
      </w:r>
      <w:r w:rsidR="001A4F50" w:rsidRPr="00B22CA9">
        <w:rPr>
          <w:rFonts w:ascii="Times New Roman" w:hAnsi="Times New Roman" w:cs="Times New Roman"/>
          <w:sz w:val="24"/>
          <w:szCs w:val="24"/>
          <w:lang w:val="es-ES"/>
        </w:rPr>
        <w:t xml:space="preserve"> </w:t>
      </w:r>
      <w:r w:rsidR="00470963" w:rsidRPr="00B22CA9">
        <w:rPr>
          <w:rFonts w:ascii="Times New Roman" w:hAnsi="Times New Roman" w:cs="Times New Roman"/>
          <w:sz w:val="24"/>
          <w:szCs w:val="24"/>
          <w:lang w:val="es-ES"/>
        </w:rPr>
        <w:t xml:space="preserve">la demanda </w:t>
      </w:r>
      <w:r w:rsidR="001A4F50" w:rsidRPr="00B22CA9">
        <w:rPr>
          <w:rFonts w:ascii="Times New Roman" w:hAnsi="Times New Roman" w:cs="Times New Roman"/>
          <w:sz w:val="24"/>
          <w:szCs w:val="24"/>
          <w:lang w:val="es-ES"/>
        </w:rPr>
        <w:t xml:space="preserve">puede </w:t>
      </w:r>
      <w:r w:rsidR="00AE6AF2" w:rsidRPr="00B22CA9">
        <w:rPr>
          <w:rFonts w:ascii="Times New Roman" w:hAnsi="Times New Roman" w:cs="Times New Roman"/>
          <w:sz w:val="24"/>
          <w:szCs w:val="24"/>
          <w:lang w:val="es-ES"/>
        </w:rPr>
        <w:lastRenderedPageBreak/>
        <w:t>proyectarse</w:t>
      </w:r>
      <w:r w:rsidR="001A4F50" w:rsidRPr="00B22CA9">
        <w:rPr>
          <w:rFonts w:ascii="Times New Roman" w:hAnsi="Times New Roman" w:cs="Times New Roman"/>
          <w:sz w:val="24"/>
          <w:szCs w:val="24"/>
          <w:lang w:val="es-ES"/>
        </w:rPr>
        <w:t xml:space="preserve"> sobre cualquier autoridad </w:t>
      </w:r>
      <w:r w:rsidR="00AE6AF2" w:rsidRPr="00B22CA9">
        <w:rPr>
          <w:rFonts w:ascii="Times New Roman" w:hAnsi="Times New Roman" w:cs="Times New Roman"/>
          <w:sz w:val="24"/>
          <w:szCs w:val="24"/>
          <w:lang w:val="es-ES"/>
        </w:rPr>
        <w:t>estatal</w:t>
      </w:r>
      <w:r w:rsidR="001A4F50" w:rsidRPr="00B22CA9">
        <w:rPr>
          <w:rFonts w:ascii="Times New Roman" w:hAnsi="Times New Roman" w:cs="Times New Roman"/>
          <w:sz w:val="24"/>
          <w:szCs w:val="24"/>
          <w:lang w:val="es-ES"/>
        </w:rPr>
        <w:t xml:space="preserve">, incluido el poder judicial. </w:t>
      </w:r>
      <w:r w:rsidR="00144095" w:rsidRPr="00B22CA9">
        <w:rPr>
          <w:rFonts w:ascii="Times New Roman" w:hAnsi="Times New Roman" w:cs="Times New Roman"/>
          <w:sz w:val="24"/>
          <w:szCs w:val="24"/>
          <w:lang w:val="es-ES"/>
        </w:rPr>
        <w:t>En</w:t>
      </w:r>
      <w:r w:rsidR="001A4F50" w:rsidRPr="00B22CA9">
        <w:rPr>
          <w:rFonts w:ascii="Times New Roman" w:hAnsi="Times New Roman" w:cs="Times New Roman"/>
          <w:sz w:val="24"/>
          <w:szCs w:val="24"/>
          <w:lang w:val="es-ES"/>
        </w:rPr>
        <w:t xml:space="preserve"> el plano de la normatividad supranacional infringida, la proyección es</w:t>
      </w:r>
      <w:r w:rsidR="00144095" w:rsidRPr="00B22CA9">
        <w:rPr>
          <w:rFonts w:ascii="Times New Roman" w:hAnsi="Times New Roman" w:cs="Times New Roman"/>
          <w:sz w:val="24"/>
          <w:szCs w:val="24"/>
          <w:lang w:val="es-ES"/>
        </w:rPr>
        <w:t xml:space="preserve"> igual de amplia</w:t>
      </w:r>
      <w:r w:rsidR="001A4F50" w:rsidRPr="00B22CA9">
        <w:rPr>
          <w:rFonts w:ascii="Times New Roman" w:hAnsi="Times New Roman" w:cs="Times New Roman"/>
          <w:sz w:val="24"/>
          <w:szCs w:val="24"/>
          <w:lang w:val="es-ES"/>
        </w:rPr>
        <w:t>: disposiciones del Tratado</w:t>
      </w:r>
      <w:r w:rsidR="001B2C88" w:rsidRPr="00B22CA9">
        <w:rPr>
          <w:rFonts w:ascii="Times New Roman" w:hAnsi="Times New Roman" w:cs="Times New Roman"/>
          <w:sz w:val="24"/>
          <w:szCs w:val="24"/>
          <w:lang w:val="es-ES"/>
        </w:rPr>
        <w:t>,</w:t>
      </w:r>
      <w:r w:rsidR="001A4F50" w:rsidRPr="00B22CA9">
        <w:rPr>
          <w:rFonts w:ascii="Times New Roman" w:hAnsi="Times New Roman" w:cs="Times New Roman"/>
          <w:sz w:val="24"/>
          <w:szCs w:val="24"/>
          <w:lang w:val="es-ES"/>
        </w:rPr>
        <w:t xml:space="preserve"> principios generales de la jurisprudencia, </w:t>
      </w:r>
      <w:r w:rsidR="00340213" w:rsidRPr="00B22CA9">
        <w:rPr>
          <w:rFonts w:ascii="Times New Roman" w:hAnsi="Times New Roman" w:cs="Times New Roman"/>
          <w:sz w:val="24"/>
          <w:szCs w:val="24"/>
          <w:lang w:val="es-ES"/>
        </w:rPr>
        <w:t>d</w:t>
      </w:r>
      <w:r w:rsidR="00AE6AF2" w:rsidRPr="00B22CA9">
        <w:rPr>
          <w:rFonts w:ascii="Times New Roman" w:hAnsi="Times New Roman" w:cs="Times New Roman"/>
          <w:sz w:val="24"/>
          <w:szCs w:val="24"/>
          <w:lang w:val="es-ES"/>
        </w:rPr>
        <w:t xml:space="preserve">irectivas, </w:t>
      </w:r>
      <w:r w:rsidR="00340213" w:rsidRPr="00B22CA9">
        <w:rPr>
          <w:rFonts w:ascii="Times New Roman" w:hAnsi="Times New Roman" w:cs="Times New Roman"/>
          <w:sz w:val="24"/>
          <w:szCs w:val="24"/>
          <w:lang w:val="es-ES"/>
        </w:rPr>
        <w:t>r</w:t>
      </w:r>
      <w:r w:rsidR="001A4F50" w:rsidRPr="00B22CA9">
        <w:rPr>
          <w:rFonts w:ascii="Times New Roman" w:hAnsi="Times New Roman" w:cs="Times New Roman"/>
          <w:sz w:val="24"/>
          <w:szCs w:val="24"/>
          <w:lang w:val="es-ES"/>
        </w:rPr>
        <w:t xml:space="preserve">eglamentos, </w:t>
      </w:r>
      <w:r w:rsidR="00340213" w:rsidRPr="00B22CA9">
        <w:rPr>
          <w:rFonts w:ascii="Times New Roman" w:hAnsi="Times New Roman" w:cs="Times New Roman"/>
          <w:sz w:val="24"/>
          <w:szCs w:val="24"/>
          <w:lang w:val="es-ES"/>
        </w:rPr>
        <w:t>d</w:t>
      </w:r>
      <w:r w:rsidR="001A4F50" w:rsidRPr="00B22CA9">
        <w:rPr>
          <w:rFonts w:ascii="Times New Roman" w:hAnsi="Times New Roman" w:cs="Times New Roman"/>
          <w:sz w:val="24"/>
          <w:szCs w:val="24"/>
          <w:lang w:val="es-ES"/>
        </w:rPr>
        <w:t>ecisiones e incluso sentencias del TJUE (Evans, 1979: 443-444).</w:t>
      </w:r>
      <w:r w:rsidR="00E02172" w:rsidRPr="00B22CA9">
        <w:rPr>
          <w:rFonts w:ascii="Times New Roman" w:hAnsi="Times New Roman" w:cs="Times New Roman"/>
          <w:sz w:val="24"/>
          <w:szCs w:val="24"/>
          <w:lang w:val="es-ES"/>
        </w:rPr>
        <w:t xml:space="preserve"> </w:t>
      </w:r>
    </w:p>
    <w:p w:rsidR="00715CDA" w:rsidRPr="00B22CA9" w:rsidRDefault="00AE6AF2" w:rsidP="007F11DF">
      <w:pPr>
        <w:spacing w:line="240" w:lineRule="auto"/>
        <w:ind w:firstLine="720"/>
        <w:jc w:val="both"/>
        <w:rPr>
          <w:rFonts w:ascii="Times New Roman" w:hAnsi="Times New Roman" w:cs="Times New Roman"/>
          <w:sz w:val="24"/>
          <w:szCs w:val="24"/>
          <w:lang w:val="es-ES"/>
        </w:rPr>
      </w:pPr>
      <w:r w:rsidRPr="00B22CA9">
        <w:rPr>
          <w:rFonts w:ascii="Times New Roman" w:hAnsi="Times New Roman" w:cs="Times New Roman"/>
          <w:sz w:val="24"/>
          <w:szCs w:val="24"/>
          <w:lang w:val="es-ES"/>
        </w:rPr>
        <w:t>L</w:t>
      </w:r>
      <w:r w:rsidR="00EC5AFE" w:rsidRPr="00B22CA9">
        <w:rPr>
          <w:rFonts w:ascii="Times New Roman" w:hAnsi="Times New Roman" w:cs="Times New Roman"/>
          <w:sz w:val="24"/>
          <w:szCs w:val="24"/>
          <w:lang w:val="es-ES"/>
        </w:rPr>
        <w:t xml:space="preserve">os márgenes de </w:t>
      </w:r>
      <w:r w:rsidR="004E22BC" w:rsidRPr="00B22CA9">
        <w:rPr>
          <w:rFonts w:ascii="Times New Roman" w:hAnsi="Times New Roman" w:cs="Times New Roman"/>
          <w:sz w:val="24"/>
          <w:szCs w:val="24"/>
          <w:lang w:val="es-ES"/>
        </w:rPr>
        <w:t>acción</w:t>
      </w:r>
      <w:r w:rsidR="00EC5AFE" w:rsidRPr="00B22CA9">
        <w:rPr>
          <w:rFonts w:ascii="Times New Roman" w:hAnsi="Times New Roman" w:cs="Times New Roman"/>
          <w:sz w:val="24"/>
          <w:szCs w:val="24"/>
          <w:lang w:val="es-ES"/>
        </w:rPr>
        <w:t xml:space="preserve"> </w:t>
      </w:r>
      <w:r w:rsidR="002E4C79" w:rsidRPr="00B22CA9">
        <w:rPr>
          <w:rFonts w:ascii="Times New Roman" w:hAnsi="Times New Roman" w:cs="Times New Roman"/>
          <w:sz w:val="24"/>
          <w:szCs w:val="24"/>
          <w:lang w:val="es-ES"/>
        </w:rPr>
        <w:t xml:space="preserve">de la Comisión </w:t>
      </w:r>
      <w:r w:rsidR="00EC5AFE" w:rsidRPr="00B22CA9">
        <w:rPr>
          <w:rFonts w:ascii="Times New Roman" w:hAnsi="Times New Roman" w:cs="Times New Roman"/>
          <w:sz w:val="24"/>
          <w:szCs w:val="24"/>
          <w:lang w:val="es-ES"/>
        </w:rPr>
        <w:t>son</w:t>
      </w:r>
      <w:r w:rsidR="001B2C88" w:rsidRPr="00B22CA9">
        <w:rPr>
          <w:rFonts w:ascii="Times New Roman" w:hAnsi="Times New Roman" w:cs="Times New Roman"/>
          <w:sz w:val="24"/>
          <w:szCs w:val="24"/>
          <w:lang w:val="es-ES"/>
        </w:rPr>
        <w:t xml:space="preserve"> </w:t>
      </w:r>
      <w:r w:rsidR="00E107A5" w:rsidRPr="00B22CA9">
        <w:rPr>
          <w:rFonts w:ascii="Times New Roman" w:hAnsi="Times New Roman" w:cs="Times New Roman"/>
          <w:sz w:val="24"/>
          <w:szCs w:val="24"/>
          <w:lang w:val="es-ES"/>
        </w:rPr>
        <w:t xml:space="preserve">más </w:t>
      </w:r>
      <w:r w:rsidR="002E4C79" w:rsidRPr="00B22CA9">
        <w:rPr>
          <w:rFonts w:ascii="Times New Roman" w:hAnsi="Times New Roman" w:cs="Times New Roman"/>
          <w:sz w:val="24"/>
          <w:szCs w:val="24"/>
          <w:lang w:val="es-ES"/>
        </w:rPr>
        <w:t>notable</w:t>
      </w:r>
      <w:r w:rsidR="00EC5AFE" w:rsidRPr="00B22CA9">
        <w:rPr>
          <w:rFonts w:ascii="Times New Roman" w:hAnsi="Times New Roman" w:cs="Times New Roman"/>
          <w:sz w:val="24"/>
          <w:szCs w:val="24"/>
          <w:lang w:val="es-ES"/>
        </w:rPr>
        <w:t>s</w:t>
      </w:r>
      <w:r w:rsidR="002E4C79" w:rsidRPr="00B22CA9">
        <w:rPr>
          <w:rFonts w:ascii="Times New Roman" w:hAnsi="Times New Roman" w:cs="Times New Roman"/>
          <w:sz w:val="24"/>
          <w:szCs w:val="24"/>
          <w:lang w:val="es-ES"/>
        </w:rPr>
        <w:t xml:space="preserve"> dentro de</w:t>
      </w:r>
      <w:r w:rsidR="00097F06" w:rsidRPr="00B22CA9">
        <w:rPr>
          <w:rFonts w:ascii="Times New Roman" w:hAnsi="Times New Roman" w:cs="Times New Roman"/>
          <w:sz w:val="24"/>
          <w:szCs w:val="24"/>
          <w:lang w:val="es-ES"/>
        </w:rPr>
        <w:t>l</w:t>
      </w:r>
      <w:r w:rsidR="002E4C79" w:rsidRPr="00B22CA9">
        <w:rPr>
          <w:rFonts w:ascii="Times New Roman" w:hAnsi="Times New Roman" w:cs="Times New Roman"/>
          <w:sz w:val="24"/>
          <w:szCs w:val="24"/>
          <w:lang w:val="es-ES"/>
        </w:rPr>
        <w:t xml:space="preserve"> tercer grupo</w:t>
      </w:r>
      <w:r w:rsidR="00D1279C" w:rsidRPr="00B22CA9">
        <w:rPr>
          <w:rFonts w:ascii="Times New Roman" w:hAnsi="Times New Roman" w:cs="Times New Roman"/>
          <w:sz w:val="24"/>
          <w:szCs w:val="24"/>
          <w:lang w:val="es-ES"/>
        </w:rPr>
        <w:t xml:space="preserve"> y a veces</w:t>
      </w:r>
      <w:r w:rsidR="00E02172" w:rsidRPr="00B22CA9">
        <w:rPr>
          <w:rFonts w:ascii="Times New Roman" w:hAnsi="Times New Roman" w:cs="Times New Roman"/>
          <w:sz w:val="24"/>
          <w:szCs w:val="24"/>
          <w:lang w:val="es-ES"/>
        </w:rPr>
        <w:t xml:space="preserve"> </w:t>
      </w:r>
      <w:r w:rsidR="00D57816" w:rsidRPr="00B22CA9">
        <w:rPr>
          <w:rFonts w:ascii="Times New Roman" w:hAnsi="Times New Roman" w:cs="Times New Roman"/>
          <w:sz w:val="24"/>
          <w:szCs w:val="24"/>
          <w:lang w:val="es-ES"/>
        </w:rPr>
        <w:t>emple</w:t>
      </w:r>
      <w:r w:rsidR="001F425A" w:rsidRPr="00B22CA9">
        <w:rPr>
          <w:rFonts w:ascii="Times New Roman" w:hAnsi="Times New Roman" w:cs="Times New Roman"/>
          <w:sz w:val="24"/>
          <w:szCs w:val="24"/>
          <w:lang w:val="es-ES"/>
        </w:rPr>
        <w:t>a</w:t>
      </w:r>
      <w:r w:rsidR="00D57816" w:rsidRPr="00B22CA9">
        <w:rPr>
          <w:rFonts w:ascii="Times New Roman" w:hAnsi="Times New Roman" w:cs="Times New Roman"/>
          <w:sz w:val="24"/>
          <w:szCs w:val="24"/>
          <w:lang w:val="es-ES"/>
        </w:rPr>
        <w:t xml:space="preserve"> </w:t>
      </w:r>
      <w:r w:rsidR="00E02172" w:rsidRPr="00B22CA9">
        <w:rPr>
          <w:rFonts w:ascii="Times New Roman" w:hAnsi="Times New Roman" w:cs="Times New Roman"/>
          <w:sz w:val="24"/>
          <w:szCs w:val="24"/>
          <w:lang w:val="es-ES"/>
        </w:rPr>
        <w:t xml:space="preserve">el procedimiento </w:t>
      </w:r>
      <w:r w:rsidR="00D57816" w:rsidRPr="00B22CA9">
        <w:rPr>
          <w:rFonts w:ascii="Times New Roman" w:hAnsi="Times New Roman" w:cs="Times New Roman"/>
          <w:sz w:val="24"/>
          <w:szCs w:val="24"/>
          <w:lang w:val="es-ES"/>
        </w:rPr>
        <w:t xml:space="preserve">para conseguir </w:t>
      </w:r>
      <w:r w:rsidR="00E02172" w:rsidRPr="00B22CA9">
        <w:rPr>
          <w:rFonts w:ascii="Times New Roman" w:hAnsi="Times New Roman" w:cs="Times New Roman"/>
          <w:sz w:val="24"/>
          <w:szCs w:val="24"/>
          <w:lang w:val="es-ES"/>
        </w:rPr>
        <w:t>objetivos</w:t>
      </w:r>
      <w:r w:rsidR="00D1279C" w:rsidRPr="00B22CA9">
        <w:rPr>
          <w:rFonts w:ascii="Times New Roman" w:hAnsi="Times New Roman" w:cs="Times New Roman"/>
          <w:sz w:val="24"/>
          <w:szCs w:val="24"/>
          <w:lang w:val="es-ES"/>
        </w:rPr>
        <w:t xml:space="preserve"> de integración no especificados como obligaciones en el derecho de la Unión</w:t>
      </w:r>
      <w:r w:rsidR="001F425A" w:rsidRPr="00B22CA9">
        <w:rPr>
          <w:rFonts w:ascii="Times New Roman" w:hAnsi="Times New Roman" w:cs="Times New Roman"/>
          <w:sz w:val="24"/>
          <w:szCs w:val="24"/>
          <w:lang w:val="es-ES"/>
        </w:rPr>
        <w:t>. Es</w:t>
      </w:r>
      <w:r w:rsidR="00676B9D" w:rsidRPr="00B22CA9">
        <w:rPr>
          <w:rFonts w:ascii="Times New Roman" w:hAnsi="Times New Roman" w:cs="Times New Roman"/>
          <w:sz w:val="24"/>
          <w:szCs w:val="24"/>
          <w:lang w:val="es-ES"/>
        </w:rPr>
        <w:t>ta forma de proceder se</w:t>
      </w:r>
      <w:r w:rsidR="001F425A" w:rsidRPr="00B22CA9">
        <w:rPr>
          <w:rFonts w:ascii="Times New Roman" w:hAnsi="Times New Roman" w:cs="Times New Roman"/>
          <w:sz w:val="24"/>
          <w:szCs w:val="24"/>
          <w:lang w:val="es-ES"/>
        </w:rPr>
        <w:t xml:space="preserve"> ha </w:t>
      </w:r>
      <w:r w:rsidR="00676B9D" w:rsidRPr="00B22CA9">
        <w:rPr>
          <w:rFonts w:ascii="Times New Roman" w:hAnsi="Times New Roman" w:cs="Times New Roman"/>
          <w:sz w:val="24"/>
          <w:szCs w:val="24"/>
          <w:lang w:val="es-ES"/>
        </w:rPr>
        <w:t xml:space="preserve">estudiado </w:t>
      </w:r>
      <w:r w:rsidR="00D70B39" w:rsidRPr="00B22CA9">
        <w:rPr>
          <w:rFonts w:ascii="Times New Roman" w:hAnsi="Times New Roman" w:cs="Times New Roman"/>
          <w:sz w:val="24"/>
          <w:szCs w:val="24"/>
          <w:lang w:val="es-ES"/>
        </w:rPr>
        <w:t>y definido</w:t>
      </w:r>
      <w:r w:rsidR="00676B9D" w:rsidRPr="00B22CA9">
        <w:rPr>
          <w:rFonts w:ascii="Times New Roman" w:hAnsi="Times New Roman" w:cs="Times New Roman"/>
          <w:sz w:val="24"/>
          <w:szCs w:val="24"/>
          <w:lang w:val="es-ES"/>
        </w:rPr>
        <w:t xml:space="preserve"> </w:t>
      </w:r>
      <w:r w:rsidR="001F425A" w:rsidRPr="00B22CA9">
        <w:rPr>
          <w:rFonts w:ascii="Times New Roman" w:hAnsi="Times New Roman" w:cs="Times New Roman"/>
          <w:sz w:val="24"/>
          <w:szCs w:val="24"/>
          <w:lang w:val="es-ES"/>
        </w:rPr>
        <w:t xml:space="preserve">como </w:t>
      </w:r>
      <w:r w:rsidR="00D57816" w:rsidRPr="00B22CA9">
        <w:rPr>
          <w:rFonts w:ascii="Times New Roman" w:hAnsi="Times New Roman" w:cs="Times New Roman"/>
          <w:i/>
          <w:sz w:val="24"/>
          <w:szCs w:val="24"/>
          <w:lang w:val="es-ES"/>
        </w:rPr>
        <w:t>integración encubierta</w:t>
      </w:r>
      <w:r w:rsidR="001F425A" w:rsidRPr="00B22CA9">
        <w:rPr>
          <w:rFonts w:ascii="Times New Roman" w:hAnsi="Times New Roman" w:cs="Times New Roman"/>
          <w:sz w:val="24"/>
          <w:szCs w:val="24"/>
          <w:lang w:val="es-ES"/>
        </w:rPr>
        <w:t xml:space="preserve">. </w:t>
      </w:r>
      <w:r w:rsidR="00676B9D" w:rsidRPr="00B22CA9">
        <w:rPr>
          <w:rFonts w:ascii="Times New Roman" w:hAnsi="Times New Roman" w:cs="Times New Roman"/>
          <w:sz w:val="24"/>
          <w:szCs w:val="24"/>
          <w:lang w:val="es-ES"/>
        </w:rPr>
        <w:t xml:space="preserve">Se trata de una </w:t>
      </w:r>
      <w:r w:rsidR="001F425A" w:rsidRPr="00B22CA9">
        <w:rPr>
          <w:rFonts w:ascii="Times New Roman" w:hAnsi="Times New Roman" w:cs="Times New Roman"/>
          <w:sz w:val="24"/>
          <w:szCs w:val="24"/>
          <w:lang w:val="es-ES"/>
        </w:rPr>
        <w:t>estrategia</w:t>
      </w:r>
      <w:r w:rsidR="00676B9D" w:rsidRPr="00B22CA9">
        <w:rPr>
          <w:rFonts w:ascii="Times New Roman" w:hAnsi="Times New Roman" w:cs="Times New Roman"/>
          <w:sz w:val="24"/>
          <w:szCs w:val="24"/>
          <w:lang w:val="es-ES"/>
        </w:rPr>
        <w:t xml:space="preserve">-tipo mediante la </w:t>
      </w:r>
      <w:r w:rsidR="00D70B39" w:rsidRPr="00B22CA9">
        <w:rPr>
          <w:rFonts w:ascii="Times New Roman" w:hAnsi="Times New Roman" w:cs="Times New Roman"/>
          <w:sz w:val="24"/>
          <w:szCs w:val="24"/>
          <w:lang w:val="es-ES"/>
        </w:rPr>
        <w:t>cual</w:t>
      </w:r>
      <w:r w:rsidR="00D57816" w:rsidRPr="00B22CA9">
        <w:rPr>
          <w:rFonts w:ascii="Times New Roman" w:hAnsi="Times New Roman" w:cs="Times New Roman"/>
          <w:sz w:val="24"/>
          <w:szCs w:val="24"/>
          <w:lang w:val="es-ES"/>
        </w:rPr>
        <w:t xml:space="preserve"> se desplaza o sustituye al</w:t>
      </w:r>
      <w:r w:rsidR="001F425A" w:rsidRPr="00B22CA9">
        <w:rPr>
          <w:rFonts w:ascii="Times New Roman" w:hAnsi="Times New Roman" w:cs="Times New Roman"/>
          <w:sz w:val="24"/>
          <w:szCs w:val="24"/>
          <w:lang w:val="es-ES"/>
        </w:rPr>
        <w:t xml:space="preserve"> legislador europeo para dar eficacia a una propuesta </w:t>
      </w:r>
      <w:r w:rsidR="00676B9D" w:rsidRPr="00B22CA9">
        <w:rPr>
          <w:rFonts w:ascii="Times New Roman" w:hAnsi="Times New Roman" w:cs="Times New Roman"/>
          <w:sz w:val="24"/>
          <w:szCs w:val="24"/>
          <w:lang w:val="es-ES"/>
        </w:rPr>
        <w:t xml:space="preserve">fallida </w:t>
      </w:r>
      <w:r w:rsidR="001F425A" w:rsidRPr="00B22CA9">
        <w:rPr>
          <w:rFonts w:ascii="Times New Roman" w:hAnsi="Times New Roman" w:cs="Times New Roman"/>
          <w:sz w:val="24"/>
          <w:szCs w:val="24"/>
          <w:lang w:val="es-ES"/>
        </w:rPr>
        <w:t xml:space="preserve">de la Comisión, logrando </w:t>
      </w:r>
      <w:r w:rsidR="00D57816" w:rsidRPr="00B22CA9">
        <w:rPr>
          <w:rFonts w:ascii="Times New Roman" w:hAnsi="Times New Roman" w:cs="Times New Roman"/>
          <w:sz w:val="24"/>
          <w:szCs w:val="24"/>
          <w:lang w:val="es-ES"/>
        </w:rPr>
        <w:t>un resultado normativo que</w:t>
      </w:r>
      <w:r w:rsidR="00D70B39" w:rsidRPr="00B22CA9">
        <w:rPr>
          <w:rFonts w:ascii="Times New Roman" w:hAnsi="Times New Roman" w:cs="Times New Roman"/>
          <w:sz w:val="24"/>
          <w:szCs w:val="24"/>
          <w:lang w:val="es-ES"/>
        </w:rPr>
        <w:t>,</w:t>
      </w:r>
      <w:r w:rsidR="00D57816" w:rsidRPr="00B22CA9">
        <w:rPr>
          <w:rFonts w:ascii="Times New Roman" w:hAnsi="Times New Roman" w:cs="Times New Roman"/>
          <w:sz w:val="24"/>
          <w:szCs w:val="24"/>
          <w:lang w:val="es-ES"/>
        </w:rPr>
        <w:t xml:space="preserve"> por una razón u otra</w:t>
      </w:r>
      <w:r w:rsidR="00D70B39" w:rsidRPr="00B22CA9">
        <w:rPr>
          <w:rFonts w:ascii="Times New Roman" w:hAnsi="Times New Roman" w:cs="Times New Roman"/>
          <w:sz w:val="24"/>
          <w:szCs w:val="24"/>
          <w:lang w:val="es-ES"/>
        </w:rPr>
        <w:t>,</w:t>
      </w:r>
      <w:r w:rsidR="00D57816" w:rsidRPr="00B22CA9">
        <w:rPr>
          <w:rFonts w:ascii="Times New Roman" w:hAnsi="Times New Roman" w:cs="Times New Roman"/>
          <w:sz w:val="24"/>
          <w:szCs w:val="24"/>
          <w:lang w:val="es-ES"/>
        </w:rPr>
        <w:t xml:space="preserve"> </w:t>
      </w:r>
      <w:r w:rsidR="001F425A" w:rsidRPr="00B22CA9">
        <w:rPr>
          <w:rFonts w:ascii="Times New Roman" w:hAnsi="Times New Roman" w:cs="Times New Roman"/>
          <w:sz w:val="24"/>
          <w:szCs w:val="24"/>
          <w:lang w:val="es-ES"/>
        </w:rPr>
        <w:t>permanece</w:t>
      </w:r>
      <w:r w:rsidR="00E02172" w:rsidRPr="00B22CA9">
        <w:rPr>
          <w:rFonts w:ascii="Times New Roman" w:hAnsi="Times New Roman" w:cs="Times New Roman"/>
          <w:sz w:val="24"/>
          <w:szCs w:val="24"/>
          <w:lang w:val="es-ES"/>
        </w:rPr>
        <w:t xml:space="preserve"> bloq</w:t>
      </w:r>
      <w:r w:rsidR="001F425A" w:rsidRPr="00B22CA9">
        <w:rPr>
          <w:rFonts w:ascii="Times New Roman" w:hAnsi="Times New Roman" w:cs="Times New Roman"/>
          <w:sz w:val="24"/>
          <w:szCs w:val="24"/>
          <w:lang w:val="es-ES"/>
        </w:rPr>
        <w:t>uead</w:t>
      </w:r>
      <w:r w:rsidR="00676B9D" w:rsidRPr="00B22CA9">
        <w:rPr>
          <w:rFonts w:ascii="Times New Roman" w:hAnsi="Times New Roman" w:cs="Times New Roman"/>
          <w:sz w:val="24"/>
          <w:szCs w:val="24"/>
          <w:lang w:val="es-ES"/>
        </w:rPr>
        <w:t>o en sede legislativa</w:t>
      </w:r>
      <w:r w:rsidR="00D57816" w:rsidRPr="00B22CA9">
        <w:rPr>
          <w:rFonts w:ascii="Times New Roman" w:hAnsi="Times New Roman" w:cs="Times New Roman"/>
          <w:sz w:val="24"/>
          <w:szCs w:val="24"/>
          <w:lang w:val="es-ES"/>
        </w:rPr>
        <w:t xml:space="preserve"> (</w:t>
      </w:r>
      <w:proofErr w:type="spellStart"/>
      <w:r w:rsidR="002C7F93" w:rsidRPr="00B22CA9">
        <w:rPr>
          <w:rFonts w:ascii="Times New Roman" w:hAnsi="Times New Roman" w:cs="Times New Roman"/>
          <w:sz w:val="24"/>
          <w:szCs w:val="24"/>
          <w:lang w:val="es-ES"/>
        </w:rPr>
        <w:t>Hé</w:t>
      </w:r>
      <w:r w:rsidR="00D57816" w:rsidRPr="00B22CA9">
        <w:rPr>
          <w:rFonts w:ascii="Times New Roman" w:hAnsi="Times New Roman" w:cs="Times New Roman"/>
          <w:sz w:val="24"/>
          <w:szCs w:val="24"/>
          <w:lang w:val="es-ES"/>
        </w:rPr>
        <w:t>ritier</w:t>
      </w:r>
      <w:proofErr w:type="spellEnd"/>
      <w:r w:rsidR="00D57816" w:rsidRPr="00B22CA9">
        <w:rPr>
          <w:rFonts w:ascii="Times New Roman" w:hAnsi="Times New Roman" w:cs="Times New Roman"/>
          <w:sz w:val="24"/>
          <w:szCs w:val="24"/>
          <w:lang w:val="es-ES"/>
        </w:rPr>
        <w:t>, 2017: 15).</w:t>
      </w:r>
      <w:r w:rsidR="002C7F93" w:rsidRPr="00B22CA9">
        <w:rPr>
          <w:rFonts w:ascii="Times New Roman" w:hAnsi="Times New Roman" w:cs="Times New Roman"/>
          <w:sz w:val="24"/>
          <w:szCs w:val="24"/>
          <w:lang w:val="es-ES"/>
        </w:rPr>
        <w:t xml:space="preserve"> </w:t>
      </w:r>
      <w:r w:rsidR="00D1279C" w:rsidRPr="00B22CA9">
        <w:rPr>
          <w:rFonts w:ascii="Times New Roman" w:hAnsi="Times New Roman" w:cs="Times New Roman"/>
          <w:sz w:val="24"/>
          <w:szCs w:val="24"/>
          <w:lang w:val="es-ES"/>
        </w:rPr>
        <w:t>Se explica que e</w:t>
      </w:r>
      <w:r w:rsidR="00C6217D" w:rsidRPr="00B22CA9">
        <w:rPr>
          <w:rFonts w:ascii="Times New Roman" w:hAnsi="Times New Roman" w:cs="Times New Roman"/>
          <w:sz w:val="24"/>
          <w:szCs w:val="24"/>
          <w:lang w:val="es-ES"/>
        </w:rPr>
        <w:t>xiste u</w:t>
      </w:r>
      <w:r w:rsidR="00E02172" w:rsidRPr="00B22CA9">
        <w:rPr>
          <w:rFonts w:ascii="Times New Roman" w:hAnsi="Times New Roman" w:cs="Times New Roman"/>
          <w:sz w:val="24"/>
          <w:szCs w:val="24"/>
          <w:lang w:val="es-ES"/>
        </w:rPr>
        <w:t>na regulación incompleta</w:t>
      </w:r>
      <w:r w:rsidR="00676B9D" w:rsidRPr="00B22CA9">
        <w:rPr>
          <w:rFonts w:ascii="Times New Roman" w:hAnsi="Times New Roman" w:cs="Times New Roman"/>
          <w:sz w:val="24"/>
          <w:szCs w:val="24"/>
          <w:lang w:val="es-ES"/>
        </w:rPr>
        <w:t>, que es</w:t>
      </w:r>
      <w:r w:rsidR="00E02172" w:rsidRPr="00B22CA9">
        <w:rPr>
          <w:rFonts w:ascii="Times New Roman" w:hAnsi="Times New Roman" w:cs="Times New Roman"/>
          <w:sz w:val="24"/>
          <w:szCs w:val="24"/>
          <w:lang w:val="es-ES"/>
        </w:rPr>
        <w:t xml:space="preserve"> </w:t>
      </w:r>
      <w:r w:rsidR="001F425A" w:rsidRPr="00B22CA9">
        <w:rPr>
          <w:rFonts w:ascii="Times New Roman" w:hAnsi="Times New Roman" w:cs="Times New Roman"/>
          <w:sz w:val="24"/>
          <w:szCs w:val="24"/>
          <w:lang w:val="es-ES"/>
        </w:rPr>
        <w:t>l</w:t>
      </w:r>
      <w:r w:rsidR="00E02172" w:rsidRPr="00B22CA9">
        <w:rPr>
          <w:rFonts w:ascii="Times New Roman" w:hAnsi="Times New Roman" w:cs="Times New Roman"/>
          <w:sz w:val="24"/>
          <w:szCs w:val="24"/>
          <w:lang w:val="es-ES"/>
        </w:rPr>
        <w:t xml:space="preserve">a propuesta </w:t>
      </w:r>
      <w:r w:rsidR="00C6217D" w:rsidRPr="00B22CA9">
        <w:rPr>
          <w:rFonts w:ascii="Times New Roman" w:hAnsi="Times New Roman" w:cs="Times New Roman"/>
          <w:sz w:val="24"/>
          <w:szCs w:val="24"/>
          <w:lang w:val="es-ES"/>
        </w:rPr>
        <w:t>frustrada en sede legislativa</w:t>
      </w:r>
      <w:r w:rsidR="00D1279C" w:rsidRPr="00B22CA9">
        <w:rPr>
          <w:rFonts w:ascii="Times New Roman" w:hAnsi="Times New Roman" w:cs="Times New Roman"/>
          <w:sz w:val="24"/>
          <w:szCs w:val="24"/>
          <w:lang w:val="es-ES"/>
        </w:rPr>
        <w:t>,</w:t>
      </w:r>
      <w:r w:rsidR="00676B9D" w:rsidRPr="00B22CA9">
        <w:rPr>
          <w:rFonts w:ascii="Times New Roman" w:hAnsi="Times New Roman" w:cs="Times New Roman"/>
          <w:sz w:val="24"/>
          <w:szCs w:val="24"/>
          <w:lang w:val="es-ES"/>
        </w:rPr>
        <w:t xml:space="preserve"> que l</w:t>
      </w:r>
      <w:r w:rsidR="001F425A" w:rsidRPr="00B22CA9">
        <w:rPr>
          <w:rFonts w:ascii="Times New Roman" w:hAnsi="Times New Roman" w:cs="Times New Roman"/>
          <w:sz w:val="24"/>
          <w:szCs w:val="24"/>
          <w:lang w:val="es-ES"/>
        </w:rPr>
        <w:t>a Comisión reconduce</w:t>
      </w:r>
      <w:r w:rsidR="00D1279C" w:rsidRPr="00B22CA9">
        <w:rPr>
          <w:rFonts w:ascii="Times New Roman" w:hAnsi="Times New Roman" w:cs="Times New Roman"/>
          <w:sz w:val="24"/>
          <w:szCs w:val="24"/>
          <w:lang w:val="es-ES"/>
        </w:rPr>
        <w:t xml:space="preserve"> </w:t>
      </w:r>
      <w:r w:rsidR="00C6217D" w:rsidRPr="00B22CA9">
        <w:rPr>
          <w:rFonts w:ascii="Times New Roman" w:hAnsi="Times New Roman" w:cs="Times New Roman"/>
          <w:sz w:val="24"/>
          <w:szCs w:val="24"/>
          <w:lang w:val="es-ES"/>
        </w:rPr>
        <w:t xml:space="preserve">a través de instrumentos de </w:t>
      </w:r>
      <w:proofErr w:type="spellStart"/>
      <w:r w:rsidR="00C6217D" w:rsidRPr="00B22CA9">
        <w:rPr>
          <w:rFonts w:ascii="Times New Roman" w:hAnsi="Times New Roman" w:cs="Times New Roman"/>
          <w:i/>
          <w:sz w:val="24"/>
          <w:szCs w:val="24"/>
          <w:lang w:val="es-ES"/>
        </w:rPr>
        <w:t>soft</w:t>
      </w:r>
      <w:proofErr w:type="spellEnd"/>
      <w:r w:rsidR="00C6217D" w:rsidRPr="00B22CA9">
        <w:rPr>
          <w:rFonts w:ascii="Times New Roman" w:hAnsi="Times New Roman" w:cs="Times New Roman"/>
          <w:i/>
          <w:sz w:val="24"/>
          <w:szCs w:val="24"/>
          <w:lang w:val="es-ES"/>
        </w:rPr>
        <w:t xml:space="preserve"> </w:t>
      </w:r>
      <w:proofErr w:type="spellStart"/>
      <w:r w:rsidR="00C6217D" w:rsidRPr="00B22CA9">
        <w:rPr>
          <w:rFonts w:ascii="Times New Roman" w:hAnsi="Times New Roman" w:cs="Times New Roman"/>
          <w:i/>
          <w:sz w:val="24"/>
          <w:szCs w:val="24"/>
          <w:lang w:val="es-ES"/>
        </w:rPr>
        <w:t>law</w:t>
      </w:r>
      <w:proofErr w:type="spellEnd"/>
      <w:r w:rsidR="00D1279C" w:rsidRPr="00B22CA9">
        <w:rPr>
          <w:rFonts w:ascii="Times New Roman" w:hAnsi="Times New Roman" w:cs="Times New Roman"/>
          <w:i/>
          <w:sz w:val="24"/>
          <w:szCs w:val="24"/>
          <w:lang w:val="es-ES"/>
        </w:rPr>
        <w:t>.</w:t>
      </w:r>
      <w:r w:rsidR="00C6217D" w:rsidRPr="00B22CA9">
        <w:rPr>
          <w:rFonts w:ascii="Times New Roman" w:hAnsi="Times New Roman" w:cs="Times New Roman"/>
          <w:sz w:val="24"/>
          <w:szCs w:val="24"/>
          <w:lang w:val="es-ES"/>
        </w:rPr>
        <w:t xml:space="preserve"> </w:t>
      </w:r>
      <w:r w:rsidR="00D1279C" w:rsidRPr="00B22CA9">
        <w:rPr>
          <w:rFonts w:ascii="Times New Roman" w:hAnsi="Times New Roman" w:cs="Times New Roman"/>
          <w:sz w:val="24"/>
          <w:szCs w:val="24"/>
          <w:lang w:val="es-ES"/>
        </w:rPr>
        <w:t>C</w:t>
      </w:r>
      <w:r w:rsidR="00C6217D" w:rsidRPr="00B22CA9">
        <w:rPr>
          <w:rFonts w:ascii="Times New Roman" w:hAnsi="Times New Roman" w:cs="Times New Roman"/>
          <w:sz w:val="24"/>
          <w:szCs w:val="24"/>
          <w:lang w:val="es-ES"/>
        </w:rPr>
        <w:t xml:space="preserve">uando algún Estado se resiste a asumir </w:t>
      </w:r>
      <w:r w:rsidR="00676B9D" w:rsidRPr="00B22CA9">
        <w:rPr>
          <w:rFonts w:ascii="Times New Roman" w:hAnsi="Times New Roman" w:cs="Times New Roman"/>
          <w:sz w:val="24"/>
          <w:szCs w:val="24"/>
          <w:lang w:val="es-ES"/>
        </w:rPr>
        <w:t>las</w:t>
      </w:r>
      <w:r w:rsidR="001F425A" w:rsidRPr="00B22CA9">
        <w:rPr>
          <w:rFonts w:ascii="Times New Roman" w:hAnsi="Times New Roman" w:cs="Times New Roman"/>
          <w:sz w:val="24"/>
          <w:szCs w:val="24"/>
          <w:lang w:val="es-ES"/>
        </w:rPr>
        <w:t xml:space="preserve"> </w:t>
      </w:r>
      <w:r w:rsidR="00C6217D" w:rsidRPr="00B22CA9">
        <w:rPr>
          <w:rFonts w:ascii="Times New Roman" w:hAnsi="Times New Roman" w:cs="Times New Roman"/>
          <w:sz w:val="24"/>
          <w:szCs w:val="24"/>
          <w:lang w:val="es-ES"/>
        </w:rPr>
        <w:t>recomendaci</w:t>
      </w:r>
      <w:r w:rsidR="00676B9D" w:rsidRPr="00B22CA9">
        <w:rPr>
          <w:rFonts w:ascii="Times New Roman" w:hAnsi="Times New Roman" w:cs="Times New Roman"/>
          <w:sz w:val="24"/>
          <w:szCs w:val="24"/>
          <w:lang w:val="es-ES"/>
        </w:rPr>
        <w:t>ones referidas a la propuesta</w:t>
      </w:r>
      <w:r w:rsidR="00C6217D" w:rsidRPr="00B22CA9">
        <w:rPr>
          <w:rFonts w:ascii="Times New Roman" w:hAnsi="Times New Roman" w:cs="Times New Roman"/>
          <w:sz w:val="24"/>
          <w:szCs w:val="24"/>
          <w:lang w:val="es-ES"/>
        </w:rPr>
        <w:t xml:space="preserve">, </w:t>
      </w:r>
      <w:r w:rsidR="002C7F93" w:rsidRPr="00B22CA9">
        <w:rPr>
          <w:rFonts w:ascii="Times New Roman" w:hAnsi="Times New Roman" w:cs="Times New Roman"/>
          <w:sz w:val="24"/>
          <w:szCs w:val="24"/>
          <w:lang w:val="es-ES"/>
        </w:rPr>
        <w:t>la Comisión abr</w:t>
      </w:r>
      <w:r w:rsidRPr="00B22CA9">
        <w:rPr>
          <w:rFonts w:ascii="Times New Roman" w:hAnsi="Times New Roman" w:cs="Times New Roman"/>
          <w:sz w:val="24"/>
          <w:szCs w:val="24"/>
          <w:lang w:val="es-ES"/>
        </w:rPr>
        <w:t>e</w:t>
      </w:r>
      <w:r w:rsidR="002C7F93" w:rsidRPr="00B22CA9">
        <w:rPr>
          <w:rFonts w:ascii="Times New Roman" w:hAnsi="Times New Roman" w:cs="Times New Roman"/>
          <w:sz w:val="24"/>
          <w:szCs w:val="24"/>
          <w:lang w:val="es-ES"/>
        </w:rPr>
        <w:t xml:space="preserve"> un procedimiento por incumplimiento</w:t>
      </w:r>
      <w:r w:rsidR="001F425A" w:rsidRPr="00B22CA9">
        <w:rPr>
          <w:rFonts w:ascii="Times New Roman" w:hAnsi="Times New Roman" w:cs="Times New Roman"/>
          <w:sz w:val="24"/>
          <w:szCs w:val="24"/>
          <w:lang w:val="es-ES"/>
        </w:rPr>
        <w:t xml:space="preserve">, enlazando los objetivos de </w:t>
      </w:r>
      <w:r w:rsidR="00676B9D" w:rsidRPr="00B22CA9">
        <w:rPr>
          <w:rFonts w:ascii="Times New Roman" w:hAnsi="Times New Roman" w:cs="Times New Roman"/>
          <w:sz w:val="24"/>
          <w:szCs w:val="24"/>
          <w:lang w:val="es-ES"/>
        </w:rPr>
        <w:t>aquella</w:t>
      </w:r>
      <w:r w:rsidR="001F425A" w:rsidRPr="00B22CA9">
        <w:rPr>
          <w:rFonts w:ascii="Times New Roman" w:hAnsi="Times New Roman" w:cs="Times New Roman"/>
          <w:sz w:val="24"/>
          <w:szCs w:val="24"/>
          <w:lang w:val="es-ES"/>
        </w:rPr>
        <w:t xml:space="preserve"> con </w:t>
      </w:r>
      <w:r w:rsidR="00C6217D" w:rsidRPr="00B22CA9">
        <w:rPr>
          <w:rFonts w:ascii="Times New Roman" w:hAnsi="Times New Roman" w:cs="Times New Roman"/>
          <w:sz w:val="24"/>
          <w:szCs w:val="24"/>
          <w:lang w:val="es-ES"/>
        </w:rPr>
        <w:t>principios o normas generales del Tratado</w:t>
      </w:r>
      <w:r w:rsidR="001F425A" w:rsidRPr="00B22CA9">
        <w:rPr>
          <w:rFonts w:ascii="Times New Roman" w:hAnsi="Times New Roman" w:cs="Times New Roman"/>
          <w:sz w:val="24"/>
          <w:szCs w:val="24"/>
          <w:lang w:val="es-ES"/>
        </w:rPr>
        <w:t xml:space="preserve"> y</w:t>
      </w:r>
      <w:r w:rsidR="00C6217D" w:rsidRPr="00B22CA9">
        <w:rPr>
          <w:rFonts w:ascii="Times New Roman" w:hAnsi="Times New Roman" w:cs="Times New Roman"/>
          <w:sz w:val="24"/>
          <w:szCs w:val="24"/>
          <w:lang w:val="es-ES"/>
        </w:rPr>
        <w:t xml:space="preserve"> apelando a su efectividad</w:t>
      </w:r>
      <w:r w:rsidR="00C322EB" w:rsidRPr="00B22CA9">
        <w:rPr>
          <w:rStyle w:val="Refdenotaalpie"/>
          <w:rFonts w:ascii="Times New Roman" w:hAnsi="Times New Roman" w:cs="Times New Roman"/>
          <w:sz w:val="24"/>
          <w:szCs w:val="24"/>
          <w:lang w:val="es-ES"/>
        </w:rPr>
        <w:footnoteReference w:id="30"/>
      </w:r>
      <w:r w:rsidR="00D1279C" w:rsidRPr="00B22CA9">
        <w:rPr>
          <w:rFonts w:ascii="Times New Roman" w:hAnsi="Times New Roman" w:cs="Times New Roman"/>
          <w:sz w:val="24"/>
          <w:szCs w:val="24"/>
          <w:lang w:val="es-ES"/>
        </w:rPr>
        <w:t>. E</w:t>
      </w:r>
      <w:r w:rsidR="002C7F93" w:rsidRPr="00B22CA9">
        <w:rPr>
          <w:rFonts w:ascii="Times New Roman" w:hAnsi="Times New Roman" w:cs="Times New Roman"/>
          <w:sz w:val="24"/>
          <w:szCs w:val="24"/>
          <w:lang w:val="es-ES"/>
        </w:rPr>
        <w:t xml:space="preserve">n última instancia, el </w:t>
      </w:r>
      <w:r w:rsidR="00E02172" w:rsidRPr="00B22CA9">
        <w:rPr>
          <w:rFonts w:ascii="Times New Roman" w:hAnsi="Times New Roman" w:cs="Times New Roman"/>
          <w:sz w:val="24"/>
          <w:szCs w:val="24"/>
          <w:lang w:val="es-ES"/>
        </w:rPr>
        <w:t>Tribunal de Justicia</w:t>
      </w:r>
      <w:r w:rsidR="002C7F93" w:rsidRPr="00B22CA9">
        <w:rPr>
          <w:rFonts w:ascii="Times New Roman" w:hAnsi="Times New Roman" w:cs="Times New Roman"/>
          <w:sz w:val="24"/>
          <w:szCs w:val="24"/>
          <w:lang w:val="es-ES"/>
        </w:rPr>
        <w:t xml:space="preserve"> interv</w:t>
      </w:r>
      <w:r w:rsidRPr="00B22CA9">
        <w:rPr>
          <w:rFonts w:ascii="Times New Roman" w:hAnsi="Times New Roman" w:cs="Times New Roman"/>
          <w:sz w:val="24"/>
          <w:szCs w:val="24"/>
          <w:lang w:val="es-ES"/>
        </w:rPr>
        <w:t>iene</w:t>
      </w:r>
      <w:r w:rsidR="002C7F93" w:rsidRPr="00B22CA9">
        <w:rPr>
          <w:rFonts w:ascii="Times New Roman" w:hAnsi="Times New Roman" w:cs="Times New Roman"/>
          <w:sz w:val="24"/>
          <w:szCs w:val="24"/>
          <w:lang w:val="es-ES"/>
        </w:rPr>
        <w:t xml:space="preserve"> </w:t>
      </w:r>
      <w:r w:rsidR="00E02172" w:rsidRPr="00B22CA9">
        <w:rPr>
          <w:rFonts w:ascii="Times New Roman" w:hAnsi="Times New Roman" w:cs="Times New Roman"/>
          <w:sz w:val="24"/>
          <w:szCs w:val="24"/>
          <w:lang w:val="es-ES"/>
        </w:rPr>
        <w:t>y, d</w:t>
      </w:r>
      <w:r w:rsidR="002C7F93" w:rsidRPr="00B22CA9">
        <w:rPr>
          <w:rFonts w:ascii="Times New Roman" w:hAnsi="Times New Roman" w:cs="Times New Roman"/>
          <w:sz w:val="24"/>
          <w:szCs w:val="24"/>
          <w:lang w:val="es-ES"/>
        </w:rPr>
        <w:t>e esa manera, la</w:t>
      </w:r>
      <w:r w:rsidR="00E02172" w:rsidRPr="00B22CA9">
        <w:rPr>
          <w:rFonts w:ascii="Times New Roman" w:hAnsi="Times New Roman" w:cs="Times New Roman"/>
          <w:sz w:val="24"/>
          <w:szCs w:val="24"/>
          <w:lang w:val="es-ES"/>
        </w:rPr>
        <w:t xml:space="preserve"> regulación se completa</w:t>
      </w:r>
      <w:r w:rsidR="00A31181" w:rsidRPr="00B22CA9">
        <w:rPr>
          <w:rFonts w:ascii="Times New Roman" w:hAnsi="Times New Roman" w:cs="Times New Roman"/>
          <w:sz w:val="24"/>
          <w:szCs w:val="24"/>
          <w:lang w:val="es-ES"/>
        </w:rPr>
        <w:t xml:space="preserve">, en especial si la fundamentación jurídica o el fallo contienen indicaciones o sugerencias acerca de lo </w:t>
      </w:r>
      <w:r w:rsidR="0060711B" w:rsidRPr="00B22CA9">
        <w:rPr>
          <w:rFonts w:ascii="Times New Roman" w:hAnsi="Times New Roman" w:cs="Times New Roman"/>
          <w:sz w:val="24"/>
          <w:szCs w:val="24"/>
          <w:lang w:val="es-ES"/>
        </w:rPr>
        <w:t>que deben hacer los Estados</w:t>
      </w:r>
      <w:r w:rsidR="00A31181" w:rsidRPr="00B22CA9">
        <w:rPr>
          <w:rFonts w:ascii="Times New Roman" w:hAnsi="Times New Roman" w:cs="Times New Roman"/>
          <w:sz w:val="24"/>
          <w:szCs w:val="24"/>
          <w:lang w:val="es-ES"/>
        </w:rPr>
        <w:t xml:space="preserve"> (</w:t>
      </w:r>
      <w:proofErr w:type="spellStart"/>
      <w:r w:rsidR="00A31181" w:rsidRPr="00B22CA9">
        <w:rPr>
          <w:rFonts w:ascii="Times New Roman" w:hAnsi="Times New Roman" w:cs="Times New Roman"/>
          <w:sz w:val="24"/>
          <w:szCs w:val="24"/>
          <w:lang w:val="es-ES"/>
        </w:rPr>
        <w:t>Prete</w:t>
      </w:r>
      <w:proofErr w:type="spellEnd"/>
      <w:r w:rsidR="00A31181" w:rsidRPr="00B22CA9">
        <w:rPr>
          <w:rFonts w:ascii="Times New Roman" w:hAnsi="Times New Roman" w:cs="Times New Roman"/>
          <w:sz w:val="24"/>
          <w:szCs w:val="24"/>
          <w:lang w:val="es-ES"/>
        </w:rPr>
        <w:t>, 2017: 243)</w:t>
      </w:r>
      <w:r w:rsidR="00C6217D" w:rsidRPr="00B22CA9">
        <w:rPr>
          <w:rFonts w:ascii="Times New Roman" w:hAnsi="Times New Roman" w:cs="Times New Roman"/>
          <w:sz w:val="24"/>
          <w:szCs w:val="24"/>
          <w:lang w:val="es-ES"/>
        </w:rPr>
        <w:t>. L</w:t>
      </w:r>
      <w:r w:rsidR="00E02172" w:rsidRPr="00B22CA9">
        <w:rPr>
          <w:rFonts w:ascii="Times New Roman" w:hAnsi="Times New Roman" w:cs="Times New Roman"/>
          <w:sz w:val="24"/>
          <w:szCs w:val="24"/>
          <w:lang w:val="es-ES"/>
        </w:rPr>
        <w:t>a</w:t>
      </w:r>
      <w:r w:rsidR="002C7F93" w:rsidRPr="00B22CA9">
        <w:rPr>
          <w:rFonts w:ascii="Times New Roman" w:hAnsi="Times New Roman" w:cs="Times New Roman"/>
          <w:sz w:val="24"/>
          <w:szCs w:val="24"/>
          <w:lang w:val="es-ES"/>
        </w:rPr>
        <w:t xml:space="preserve"> fuerza normativa </w:t>
      </w:r>
      <w:r w:rsidRPr="00B22CA9">
        <w:rPr>
          <w:rFonts w:ascii="Times New Roman" w:hAnsi="Times New Roman" w:cs="Times New Roman"/>
          <w:sz w:val="24"/>
          <w:szCs w:val="24"/>
          <w:lang w:val="es-ES"/>
        </w:rPr>
        <w:t>de la</w:t>
      </w:r>
      <w:r w:rsidR="00A31181" w:rsidRPr="00B22CA9">
        <w:rPr>
          <w:rFonts w:ascii="Times New Roman" w:hAnsi="Times New Roman" w:cs="Times New Roman"/>
          <w:sz w:val="24"/>
          <w:szCs w:val="24"/>
          <w:lang w:val="es-ES"/>
        </w:rPr>
        <w:t xml:space="preserve"> resolución</w:t>
      </w:r>
      <w:r w:rsidR="002C7F93" w:rsidRPr="00B22CA9">
        <w:rPr>
          <w:rFonts w:ascii="Times New Roman" w:hAnsi="Times New Roman" w:cs="Times New Roman"/>
          <w:sz w:val="24"/>
          <w:szCs w:val="24"/>
          <w:lang w:val="es-ES"/>
        </w:rPr>
        <w:t xml:space="preserve"> del TJUE </w:t>
      </w:r>
      <w:r w:rsidR="00C6217D" w:rsidRPr="00B22CA9">
        <w:rPr>
          <w:rFonts w:ascii="Times New Roman" w:hAnsi="Times New Roman" w:cs="Times New Roman"/>
          <w:sz w:val="24"/>
          <w:szCs w:val="24"/>
          <w:lang w:val="es-ES"/>
        </w:rPr>
        <w:t>se pone en el lugar del acto legislativo frustrado</w:t>
      </w:r>
      <w:r w:rsidR="0060711B" w:rsidRPr="00B22CA9">
        <w:rPr>
          <w:rFonts w:ascii="Times New Roman" w:hAnsi="Times New Roman" w:cs="Times New Roman"/>
          <w:sz w:val="24"/>
          <w:szCs w:val="24"/>
          <w:lang w:val="es-ES"/>
        </w:rPr>
        <w:t xml:space="preserve"> y, en definitiva, l</w:t>
      </w:r>
      <w:r w:rsidR="00A31181" w:rsidRPr="00B22CA9">
        <w:rPr>
          <w:rFonts w:ascii="Times New Roman" w:hAnsi="Times New Roman" w:cs="Times New Roman"/>
          <w:sz w:val="24"/>
          <w:szCs w:val="24"/>
          <w:lang w:val="es-ES"/>
        </w:rPr>
        <w:t>a sentencia confiere</w:t>
      </w:r>
      <w:r w:rsidR="00C6217D" w:rsidRPr="00B22CA9">
        <w:rPr>
          <w:rFonts w:ascii="Times New Roman" w:hAnsi="Times New Roman" w:cs="Times New Roman"/>
          <w:sz w:val="24"/>
          <w:szCs w:val="24"/>
          <w:lang w:val="es-ES"/>
        </w:rPr>
        <w:t xml:space="preserve"> efectividad </w:t>
      </w:r>
      <w:r w:rsidR="0060711B" w:rsidRPr="00B22CA9">
        <w:rPr>
          <w:rFonts w:ascii="Times New Roman" w:hAnsi="Times New Roman" w:cs="Times New Roman"/>
          <w:sz w:val="24"/>
          <w:szCs w:val="24"/>
          <w:lang w:val="es-ES"/>
        </w:rPr>
        <w:t>y compl</w:t>
      </w:r>
      <w:r w:rsidR="00CB7AA6" w:rsidRPr="00B22CA9">
        <w:rPr>
          <w:rFonts w:ascii="Times New Roman" w:hAnsi="Times New Roman" w:cs="Times New Roman"/>
          <w:sz w:val="24"/>
          <w:szCs w:val="24"/>
          <w:lang w:val="es-ES"/>
        </w:rPr>
        <w:t>eti</w:t>
      </w:r>
      <w:r w:rsidR="0060711B" w:rsidRPr="00B22CA9">
        <w:rPr>
          <w:rFonts w:ascii="Times New Roman" w:hAnsi="Times New Roman" w:cs="Times New Roman"/>
          <w:sz w:val="24"/>
          <w:szCs w:val="24"/>
          <w:lang w:val="es-ES"/>
        </w:rPr>
        <w:t>tud</w:t>
      </w:r>
      <w:r w:rsidR="002C7F93" w:rsidRPr="00B22CA9">
        <w:rPr>
          <w:rFonts w:ascii="Times New Roman" w:hAnsi="Times New Roman" w:cs="Times New Roman"/>
          <w:sz w:val="24"/>
          <w:szCs w:val="24"/>
          <w:lang w:val="es-ES"/>
        </w:rPr>
        <w:t xml:space="preserve"> (</w:t>
      </w:r>
      <w:proofErr w:type="spellStart"/>
      <w:r w:rsidR="002C7F93" w:rsidRPr="00B22CA9">
        <w:rPr>
          <w:rFonts w:ascii="Times New Roman" w:hAnsi="Times New Roman" w:cs="Times New Roman"/>
          <w:sz w:val="24"/>
          <w:szCs w:val="24"/>
          <w:lang w:val="es-ES"/>
        </w:rPr>
        <w:t>Héritier</w:t>
      </w:r>
      <w:proofErr w:type="spellEnd"/>
      <w:r w:rsidR="000A1803" w:rsidRPr="00B22CA9">
        <w:rPr>
          <w:rFonts w:ascii="Times New Roman" w:hAnsi="Times New Roman" w:cs="Times New Roman"/>
          <w:sz w:val="24"/>
          <w:szCs w:val="24"/>
          <w:lang w:val="es-ES"/>
        </w:rPr>
        <w:t>, 2015</w:t>
      </w:r>
      <w:r w:rsidR="002C7F93" w:rsidRPr="00B22CA9">
        <w:rPr>
          <w:rFonts w:ascii="Times New Roman" w:hAnsi="Times New Roman" w:cs="Times New Roman"/>
          <w:sz w:val="24"/>
          <w:szCs w:val="24"/>
          <w:lang w:val="es-ES"/>
        </w:rPr>
        <w:t>: 35</w:t>
      </w:r>
      <w:r w:rsidR="000A1803" w:rsidRPr="00B22CA9">
        <w:rPr>
          <w:rFonts w:ascii="Times New Roman" w:hAnsi="Times New Roman" w:cs="Times New Roman"/>
          <w:sz w:val="24"/>
          <w:szCs w:val="24"/>
          <w:lang w:val="es-ES"/>
        </w:rPr>
        <w:t>8</w:t>
      </w:r>
      <w:r w:rsidR="002C7F93" w:rsidRPr="00B22CA9">
        <w:rPr>
          <w:rFonts w:ascii="Times New Roman" w:hAnsi="Times New Roman" w:cs="Times New Roman"/>
          <w:sz w:val="24"/>
          <w:szCs w:val="24"/>
          <w:lang w:val="es-ES"/>
        </w:rPr>
        <w:t>)</w:t>
      </w:r>
      <w:r w:rsidR="00B067AA" w:rsidRPr="00B22CA9">
        <w:rPr>
          <w:rStyle w:val="Refdenotaalpie"/>
          <w:rFonts w:ascii="Times New Roman" w:hAnsi="Times New Roman" w:cs="Times New Roman"/>
          <w:sz w:val="24"/>
          <w:szCs w:val="24"/>
          <w:lang w:val="es-ES"/>
        </w:rPr>
        <w:footnoteReference w:id="31"/>
      </w:r>
      <w:r w:rsidR="002C7F93" w:rsidRPr="00B22CA9">
        <w:rPr>
          <w:rFonts w:ascii="Times New Roman" w:hAnsi="Times New Roman" w:cs="Times New Roman"/>
          <w:sz w:val="24"/>
          <w:szCs w:val="24"/>
          <w:lang w:val="es-ES"/>
        </w:rPr>
        <w:t xml:space="preserve">. </w:t>
      </w:r>
      <w:r w:rsidR="00D1279C" w:rsidRPr="00B22CA9">
        <w:rPr>
          <w:rFonts w:ascii="Times New Roman" w:hAnsi="Times New Roman" w:cs="Times New Roman"/>
          <w:sz w:val="24"/>
          <w:szCs w:val="24"/>
          <w:lang w:val="es-ES"/>
        </w:rPr>
        <w:t>Es una estrategia que juega con los límites de la interpretación legal y de las facultades de la Comisión y el TJUE. En relación con el objeto de este estudio, s</w:t>
      </w:r>
      <w:r w:rsidR="002148C7" w:rsidRPr="00B22CA9">
        <w:rPr>
          <w:rFonts w:ascii="Times New Roman" w:hAnsi="Times New Roman" w:cs="Times New Roman"/>
          <w:sz w:val="24"/>
          <w:szCs w:val="24"/>
          <w:lang w:val="es-ES"/>
        </w:rPr>
        <w:t xml:space="preserve">e abre </w:t>
      </w:r>
      <w:r w:rsidR="00D1279C" w:rsidRPr="00B22CA9">
        <w:rPr>
          <w:rFonts w:ascii="Times New Roman" w:hAnsi="Times New Roman" w:cs="Times New Roman"/>
          <w:sz w:val="24"/>
          <w:szCs w:val="24"/>
          <w:lang w:val="es-ES"/>
        </w:rPr>
        <w:t>un</w:t>
      </w:r>
      <w:r w:rsidR="002148C7" w:rsidRPr="00B22CA9">
        <w:rPr>
          <w:rFonts w:ascii="Times New Roman" w:hAnsi="Times New Roman" w:cs="Times New Roman"/>
          <w:sz w:val="24"/>
          <w:szCs w:val="24"/>
          <w:lang w:val="es-ES"/>
        </w:rPr>
        <w:t xml:space="preserve"> interrogante sobre</w:t>
      </w:r>
      <w:r w:rsidR="00D1279C" w:rsidRPr="00B22CA9">
        <w:rPr>
          <w:rFonts w:ascii="Times New Roman" w:hAnsi="Times New Roman" w:cs="Times New Roman"/>
          <w:sz w:val="24"/>
          <w:szCs w:val="24"/>
          <w:lang w:val="es-ES"/>
        </w:rPr>
        <w:t xml:space="preserve"> el</w:t>
      </w:r>
      <w:r w:rsidR="002148C7" w:rsidRPr="00B22CA9">
        <w:rPr>
          <w:rFonts w:ascii="Times New Roman" w:hAnsi="Times New Roman" w:cs="Times New Roman"/>
          <w:sz w:val="24"/>
          <w:szCs w:val="24"/>
          <w:lang w:val="es-ES"/>
        </w:rPr>
        <w:t xml:space="preserve"> </w:t>
      </w:r>
      <w:r w:rsidR="001B2C88" w:rsidRPr="00B22CA9">
        <w:rPr>
          <w:rFonts w:ascii="Times New Roman" w:hAnsi="Times New Roman" w:cs="Times New Roman"/>
          <w:sz w:val="24"/>
          <w:szCs w:val="24"/>
          <w:lang w:val="es-ES"/>
        </w:rPr>
        <w:t xml:space="preserve">empleo de </w:t>
      </w:r>
      <w:r w:rsidR="002C7F93" w:rsidRPr="00B22CA9">
        <w:rPr>
          <w:rFonts w:ascii="Times New Roman" w:hAnsi="Times New Roman" w:cs="Times New Roman"/>
          <w:sz w:val="24"/>
          <w:szCs w:val="24"/>
          <w:lang w:val="es-ES"/>
        </w:rPr>
        <w:t>estrategia</w:t>
      </w:r>
      <w:r w:rsidR="001B2C88" w:rsidRPr="00B22CA9">
        <w:rPr>
          <w:rFonts w:ascii="Times New Roman" w:hAnsi="Times New Roman" w:cs="Times New Roman"/>
          <w:sz w:val="24"/>
          <w:szCs w:val="24"/>
          <w:lang w:val="es-ES"/>
        </w:rPr>
        <w:t xml:space="preserve">s de este tipo </w:t>
      </w:r>
      <w:r w:rsidR="001F425A" w:rsidRPr="00B22CA9">
        <w:rPr>
          <w:rFonts w:ascii="Times New Roman" w:hAnsi="Times New Roman" w:cs="Times New Roman"/>
          <w:sz w:val="24"/>
          <w:szCs w:val="24"/>
          <w:lang w:val="es-ES"/>
        </w:rPr>
        <w:t>cuando</w:t>
      </w:r>
      <w:r w:rsidR="002C7F93" w:rsidRPr="00B22CA9">
        <w:rPr>
          <w:rFonts w:ascii="Times New Roman" w:hAnsi="Times New Roman" w:cs="Times New Roman"/>
          <w:sz w:val="24"/>
          <w:szCs w:val="24"/>
          <w:lang w:val="es-ES"/>
        </w:rPr>
        <w:t xml:space="preserve"> </w:t>
      </w:r>
      <w:r w:rsidR="002148C7" w:rsidRPr="00B22CA9">
        <w:rPr>
          <w:rFonts w:ascii="Times New Roman" w:hAnsi="Times New Roman" w:cs="Times New Roman"/>
          <w:sz w:val="24"/>
          <w:szCs w:val="24"/>
          <w:lang w:val="es-ES"/>
        </w:rPr>
        <w:t xml:space="preserve">la regulación incompleta incide en </w:t>
      </w:r>
      <w:r w:rsidR="002C7F93" w:rsidRPr="00B22CA9">
        <w:rPr>
          <w:rFonts w:ascii="Times New Roman" w:hAnsi="Times New Roman" w:cs="Times New Roman"/>
          <w:sz w:val="24"/>
          <w:szCs w:val="24"/>
          <w:lang w:val="es-ES"/>
        </w:rPr>
        <w:t>derecho</w:t>
      </w:r>
      <w:r w:rsidR="002F4B52" w:rsidRPr="00B22CA9">
        <w:rPr>
          <w:rFonts w:ascii="Times New Roman" w:hAnsi="Times New Roman" w:cs="Times New Roman"/>
          <w:sz w:val="24"/>
          <w:szCs w:val="24"/>
          <w:lang w:val="es-ES"/>
        </w:rPr>
        <w:t>s fundamentales</w:t>
      </w:r>
      <w:r w:rsidR="0060711B" w:rsidRPr="00B22CA9">
        <w:rPr>
          <w:rFonts w:ascii="Times New Roman" w:hAnsi="Times New Roman" w:cs="Times New Roman"/>
          <w:sz w:val="24"/>
          <w:szCs w:val="24"/>
          <w:lang w:val="es-ES"/>
        </w:rPr>
        <w:t>. El tema</w:t>
      </w:r>
      <w:r w:rsidR="00D1279C" w:rsidRPr="00B22CA9">
        <w:rPr>
          <w:rFonts w:ascii="Times New Roman" w:hAnsi="Times New Roman" w:cs="Times New Roman"/>
          <w:sz w:val="24"/>
          <w:szCs w:val="24"/>
          <w:lang w:val="es-ES"/>
        </w:rPr>
        <w:t xml:space="preserve"> será tratado más adelante</w:t>
      </w:r>
      <w:r w:rsidR="002148C7" w:rsidRPr="00B22CA9">
        <w:rPr>
          <w:rFonts w:ascii="Times New Roman" w:hAnsi="Times New Roman" w:cs="Times New Roman"/>
          <w:sz w:val="24"/>
          <w:szCs w:val="24"/>
          <w:lang w:val="es-ES"/>
        </w:rPr>
        <w:t>.</w:t>
      </w:r>
    </w:p>
    <w:p w:rsidR="006A1FBE" w:rsidRPr="00B22CA9" w:rsidRDefault="006A1FBE" w:rsidP="00065B96">
      <w:pPr>
        <w:pStyle w:val="Prrafodelista"/>
        <w:numPr>
          <w:ilvl w:val="0"/>
          <w:numId w:val="4"/>
        </w:numPr>
        <w:spacing w:line="240" w:lineRule="auto"/>
        <w:jc w:val="both"/>
        <w:rPr>
          <w:rFonts w:ascii="Times New Roman" w:hAnsi="Times New Roman" w:cs="Times New Roman"/>
          <w:b/>
          <w:sz w:val="24"/>
          <w:szCs w:val="24"/>
          <w:lang w:val="es-ES"/>
        </w:rPr>
      </w:pPr>
      <w:r w:rsidRPr="00B22CA9">
        <w:rPr>
          <w:rFonts w:ascii="Times New Roman" w:hAnsi="Times New Roman" w:cs="Times New Roman"/>
          <w:b/>
          <w:sz w:val="24"/>
          <w:szCs w:val="24"/>
          <w:lang w:val="es-ES"/>
        </w:rPr>
        <w:t>Revisión crítica</w:t>
      </w:r>
      <w:r w:rsidR="00730B99" w:rsidRPr="00B22CA9">
        <w:rPr>
          <w:rFonts w:ascii="Times New Roman" w:hAnsi="Times New Roman" w:cs="Times New Roman"/>
          <w:b/>
          <w:sz w:val="24"/>
          <w:szCs w:val="24"/>
          <w:lang w:val="es-ES"/>
        </w:rPr>
        <w:t>:</w:t>
      </w:r>
      <w:r w:rsidR="00374BBC" w:rsidRPr="00B22CA9">
        <w:rPr>
          <w:rFonts w:ascii="Times New Roman" w:hAnsi="Times New Roman" w:cs="Times New Roman"/>
          <w:b/>
          <w:sz w:val="24"/>
          <w:szCs w:val="24"/>
          <w:lang w:val="es-ES"/>
        </w:rPr>
        <w:t xml:space="preserve"> </w:t>
      </w:r>
      <w:r w:rsidRPr="00B22CA9">
        <w:rPr>
          <w:rFonts w:ascii="Times New Roman" w:hAnsi="Times New Roman" w:cs="Times New Roman"/>
          <w:b/>
          <w:sz w:val="24"/>
          <w:szCs w:val="24"/>
          <w:lang w:val="es-ES"/>
        </w:rPr>
        <w:t>el</w:t>
      </w:r>
      <w:r w:rsidR="005B352B" w:rsidRPr="00B22CA9">
        <w:rPr>
          <w:rFonts w:ascii="Times New Roman" w:hAnsi="Times New Roman" w:cs="Times New Roman"/>
          <w:b/>
          <w:sz w:val="24"/>
          <w:szCs w:val="24"/>
          <w:lang w:val="es-ES"/>
        </w:rPr>
        <w:t xml:space="preserve"> recurso por incumplimiento</w:t>
      </w:r>
      <w:r w:rsidR="00A844D0" w:rsidRPr="00B22CA9">
        <w:rPr>
          <w:rFonts w:ascii="Times New Roman" w:hAnsi="Times New Roman" w:cs="Times New Roman"/>
          <w:b/>
          <w:sz w:val="24"/>
          <w:szCs w:val="24"/>
          <w:lang w:val="es-ES"/>
        </w:rPr>
        <w:t xml:space="preserve"> </w:t>
      </w:r>
      <w:r w:rsidR="00AE2F3A" w:rsidRPr="00B22CA9">
        <w:rPr>
          <w:rFonts w:ascii="Times New Roman" w:hAnsi="Times New Roman" w:cs="Times New Roman"/>
          <w:b/>
          <w:sz w:val="24"/>
          <w:szCs w:val="24"/>
          <w:lang w:val="es-ES"/>
        </w:rPr>
        <w:t>en perspectiva</w:t>
      </w:r>
      <w:r w:rsidR="00A844D0" w:rsidRPr="00B22CA9">
        <w:rPr>
          <w:rFonts w:ascii="Times New Roman" w:hAnsi="Times New Roman" w:cs="Times New Roman"/>
          <w:b/>
          <w:sz w:val="24"/>
          <w:szCs w:val="24"/>
          <w:lang w:val="es-ES"/>
        </w:rPr>
        <w:t xml:space="preserve"> constitucional</w:t>
      </w:r>
      <w:r w:rsidR="005B352B" w:rsidRPr="00B22CA9">
        <w:rPr>
          <w:rFonts w:ascii="Times New Roman" w:hAnsi="Times New Roman" w:cs="Times New Roman"/>
          <w:b/>
          <w:sz w:val="24"/>
          <w:szCs w:val="24"/>
          <w:lang w:val="es-ES"/>
        </w:rPr>
        <w:t xml:space="preserve"> </w:t>
      </w:r>
    </w:p>
    <w:p w:rsidR="00AE76BB" w:rsidRPr="00B22CA9" w:rsidRDefault="001F1EA1" w:rsidP="007F11DF">
      <w:pPr>
        <w:spacing w:line="240" w:lineRule="auto"/>
        <w:jc w:val="both"/>
        <w:rPr>
          <w:rFonts w:ascii="Times New Roman" w:hAnsi="Times New Roman" w:cs="Times New Roman"/>
          <w:sz w:val="24"/>
          <w:szCs w:val="24"/>
          <w:lang w:val="es-ES"/>
        </w:rPr>
      </w:pPr>
      <w:r w:rsidRPr="00B22CA9">
        <w:rPr>
          <w:rFonts w:ascii="Times New Roman" w:hAnsi="Times New Roman" w:cs="Times New Roman"/>
          <w:sz w:val="24"/>
          <w:szCs w:val="24"/>
          <w:lang w:val="es-ES"/>
        </w:rPr>
        <w:tab/>
      </w:r>
      <w:r w:rsidR="002148C7" w:rsidRPr="00B22CA9">
        <w:rPr>
          <w:rFonts w:ascii="Times New Roman" w:hAnsi="Times New Roman" w:cs="Times New Roman"/>
          <w:sz w:val="24"/>
          <w:szCs w:val="24"/>
          <w:lang w:val="es-ES"/>
        </w:rPr>
        <w:t>L</w:t>
      </w:r>
      <w:r w:rsidR="00AE2F3A" w:rsidRPr="00B22CA9">
        <w:rPr>
          <w:rFonts w:ascii="Times New Roman" w:hAnsi="Times New Roman" w:cs="Times New Roman"/>
          <w:sz w:val="24"/>
          <w:szCs w:val="24"/>
          <w:lang w:val="es-ES"/>
        </w:rPr>
        <w:t>a perspectiva constitucional</w:t>
      </w:r>
      <w:r w:rsidR="00BB235F" w:rsidRPr="00B22CA9">
        <w:rPr>
          <w:rFonts w:ascii="Times New Roman" w:hAnsi="Times New Roman" w:cs="Times New Roman"/>
          <w:sz w:val="24"/>
          <w:szCs w:val="24"/>
          <w:lang w:val="es-ES"/>
        </w:rPr>
        <w:t xml:space="preserve"> del </w:t>
      </w:r>
      <w:r w:rsidR="002148C7" w:rsidRPr="00B22CA9">
        <w:rPr>
          <w:rFonts w:ascii="Times New Roman" w:hAnsi="Times New Roman" w:cs="Times New Roman"/>
          <w:sz w:val="24"/>
          <w:szCs w:val="24"/>
          <w:lang w:val="es-ES"/>
        </w:rPr>
        <w:t xml:space="preserve">procedimiento por incumplimiento, </w:t>
      </w:r>
      <w:r w:rsidR="00AE2F3A" w:rsidRPr="00B22CA9">
        <w:rPr>
          <w:rFonts w:ascii="Times New Roman" w:hAnsi="Times New Roman" w:cs="Times New Roman"/>
          <w:sz w:val="24"/>
          <w:szCs w:val="24"/>
          <w:lang w:val="es-ES"/>
        </w:rPr>
        <w:t xml:space="preserve">en qué medida  puede servir para lograr la adecuación constitucional de la actuación de los </w:t>
      </w:r>
      <w:r w:rsidRPr="00B22CA9">
        <w:rPr>
          <w:rFonts w:ascii="Times New Roman" w:hAnsi="Times New Roman" w:cs="Times New Roman"/>
          <w:sz w:val="24"/>
          <w:szCs w:val="24"/>
          <w:lang w:val="es-ES"/>
        </w:rPr>
        <w:t>Estados miembros</w:t>
      </w:r>
      <w:r w:rsidR="002148C7" w:rsidRPr="00B22CA9">
        <w:rPr>
          <w:rFonts w:ascii="Times New Roman" w:hAnsi="Times New Roman" w:cs="Times New Roman"/>
          <w:sz w:val="24"/>
          <w:szCs w:val="24"/>
          <w:lang w:val="es-ES"/>
        </w:rPr>
        <w:t>, se pone en relación con un hecho cierto y una teoría. El hecho cierto es que l</w:t>
      </w:r>
      <w:r w:rsidR="00AE2F3A" w:rsidRPr="00B22CA9">
        <w:rPr>
          <w:rFonts w:ascii="Times New Roman" w:hAnsi="Times New Roman" w:cs="Times New Roman"/>
          <w:sz w:val="24"/>
          <w:szCs w:val="24"/>
          <w:lang w:val="es-ES"/>
        </w:rPr>
        <w:t>os derechos fundamentales son normas constitucionales en la Unión y en los Estados</w:t>
      </w:r>
      <w:r w:rsidR="002148C7" w:rsidRPr="00B22CA9">
        <w:rPr>
          <w:rFonts w:ascii="Times New Roman" w:hAnsi="Times New Roman" w:cs="Times New Roman"/>
          <w:sz w:val="24"/>
          <w:szCs w:val="24"/>
          <w:lang w:val="es-ES"/>
        </w:rPr>
        <w:t xml:space="preserve">. La teoría </w:t>
      </w:r>
      <w:r w:rsidR="0060711B" w:rsidRPr="00B22CA9">
        <w:rPr>
          <w:rFonts w:ascii="Times New Roman" w:hAnsi="Times New Roman" w:cs="Times New Roman"/>
          <w:sz w:val="24"/>
          <w:szCs w:val="24"/>
          <w:lang w:val="es-ES"/>
        </w:rPr>
        <w:t>sostiene que</w:t>
      </w:r>
      <w:r w:rsidR="002148C7" w:rsidRPr="00B22CA9">
        <w:rPr>
          <w:rFonts w:ascii="Times New Roman" w:hAnsi="Times New Roman" w:cs="Times New Roman"/>
          <w:sz w:val="24"/>
          <w:szCs w:val="24"/>
          <w:lang w:val="es-ES"/>
        </w:rPr>
        <w:t xml:space="preserve"> la </w:t>
      </w:r>
      <w:r w:rsidR="00AE2F3A" w:rsidRPr="00B22CA9">
        <w:rPr>
          <w:rFonts w:ascii="Times New Roman" w:hAnsi="Times New Roman" w:cs="Times New Roman"/>
          <w:sz w:val="24"/>
          <w:szCs w:val="24"/>
          <w:lang w:val="es-ES"/>
        </w:rPr>
        <w:t xml:space="preserve">relación entre </w:t>
      </w:r>
      <w:r w:rsidR="002148C7" w:rsidRPr="00B22CA9">
        <w:rPr>
          <w:rFonts w:ascii="Times New Roman" w:hAnsi="Times New Roman" w:cs="Times New Roman"/>
          <w:sz w:val="24"/>
          <w:szCs w:val="24"/>
          <w:lang w:val="es-ES"/>
        </w:rPr>
        <w:t xml:space="preserve">Unión y Estados </w:t>
      </w:r>
      <w:r w:rsidR="00611AB7" w:rsidRPr="00B22CA9">
        <w:rPr>
          <w:rFonts w:ascii="Times New Roman" w:hAnsi="Times New Roman" w:cs="Times New Roman"/>
          <w:sz w:val="24"/>
          <w:szCs w:val="24"/>
          <w:lang w:val="es-ES"/>
        </w:rPr>
        <w:t xml:space="preserve">se sustenta </w:t>
      </w:r>
      <w:r w:rsidR="00BB235F" w:rsidRPr="00B22CA9">
        <w:rPr>
          <w:rFonts w:ascii="Times New Roman" w:hAnsi="Times New Roman" w:cs="Times New Roman"/>
          <w:sz w:val="24"/>
          <w:szCs w:val="24"/>
          <w:lang w:val="es-ES"/>
        </w:rPr>
        <w:t>en</w:t>
      </w:r>
      <w:r w:rsidR="00611AB7" w:rsidRPr="00B22CA9">
        <w:rPr>
          <w:rFonts w:ascii="Times New Roman" w:hAnsi="Times New Roman" w:cs="Times New Roman"/>
          <w:sz w:val="24"/>
          <w:szCs w:val="24"/>
          <w:lang w:val="es-ES"/>
        </w:rPr>
        <w:t xml:space="preserve"> </w:t>
      </w:r>
      <w:r w:rsidR="002148C7" w:rsidRPr="00B22CA9">
        <w:rPr>
          <w:rFonts w:ascii="Times New Roman" w:hAnsi="Times New Roman" w:cs="Times New Roman"/>
          <w:sz w:val="24"/>
          <w:szCs w:val="24"/>
          <w:lang w:val="es-ES"/>
        </w:rPr>
        <w:t>m</w:t>
      </w:r>
      <w:r w:rsidR="009773D1" w:rsidRPr="00B22CA9">
        <w:rPr>
          <w:rFonts w:ascii="Times New Roman" w:hAnsi="Times New Roman" w:cs="Times New Roman"/>
          <w:sz w:val="24"/>
          <w:szCs w:val="24"/>
          <w:lang w:val="es-ES"/>
        </w:rPr>
        <w:t xml:space="preserve">odelo </w:t>
      </w:r>
      <w:r w:rsidR="002148C7" w:rsidRPr="00B22CA9">
        <w:rPr>
          <w:rFonts w:ascii="Times New Roman" w:hAnsi="Times New Roman" w:cs="Times New Roman"/>
          <w:sz w:val="24"/>
          <w:szCs w:val="24"/>
          <w:lang w:val="es-ES"/>
        </w:rPr>
        <w:t xml:space="preserve">evolutivo </w:t>
      </w:r>
      <w:r w:rsidR="009773D1" w:rsidRPr="00B22CA9">
        <w:rPr>
          <w:rFonts w:ascii="Times New Roman" w:hAnsi="Times New Roman" w:cs="Times New Roman"/>
          <w:sz w:val="24"/>
          <w:szCs w:val="24"/>
          <w:lang w:val="es-ES"/>
        </w:rPr>
        <w:t>de</w:t>
      </w:r>
      <w:r w:rsidR="00611AB7" w:rsidRPr="00B22CA9">
        <w:rPr>
          <w:rFonts w:ascii="Times New Roman" w:hAnsi="Times New Roman" w:cs="Times New Roman"/>
          <w:sz w:val="24"/>
          <w:szCs w:val="24"/>
          <w:lang w:val="es-ES"/>
        </w:rPr>
        <w:t xml:space="preserve"> pluralidad </w:t>
      </w:r>
      <w:r w:rsidR="009773D1" w:rsidRPr="00B22CA9">
        <w:rPr>
          <w:rFonts w:ascii="Times New Roman" w:hAnsi="Times New Roman" w:cs="Times New Roman"/>
          <w:sz w:val="24"/>
          <w:szCs w:val="24"/>
          <w:lang w:val="es-ES"/>
        </w:rPr>
        <w:t>constitucional (Cruz Villalón, 2004: 137-138)</w:t>
      </w:r>
      <w:r w:rsidR="002148C7" w:rsidRPr="00B22CA9">
        <w:rPr>
          <w:rFonts w:ascii="Times New Roman" w:hAnsi="Times New Roman" w:cs="Times New Roman"/>
          <w:sz w:val="24"/>
          <w:szCs w:val="24"/>
          <w:lang w:val="es-ES"/>
        </w:rPr>
        <w:t xml:space="preserve">, en cuyo seno </w:t>
      </w:r>
      <w:r w:rsidR="009773D1" w:rsidRPr="00B22CA9">
        <w:rPr>
          <w:rFonts w:ascii="Times New Roman" w:hAnsi="Times New Roman" w:cs="Times New Roman"/>
          <w:sz w:val="24"/>
          <w:szCs w:val="24"/>
          <w:lang w:val="es-ES"/>
        </w:rPr>
        <w:t xml:space="preserve">Estados y Unión </w:t>
      </w:r>
      <w:r w:rsidR="00AE2F3A" w:rsidRPr="00B22CA9">
        <w:rPr>
          <w:rFonts w:ascii="Times New Roman" w:hAnsi="Times New Roman" w:cs="Times New Roman"/>
          <w:sz w:val="24"/>
          <w:szCs w:val="24"/>
          <w:lang w:val="es-ES"/>
        </w:rPr>
        <w:t>realizan una proyección recíproca de condiciones de constitucionalidad</w:t>
      </w:r>
      <w:r w:rsidR="00A346CF" w:rsidRPr="00B22CA9">
        <w:rPr>
          <w:rFonts w:ascii="Times New Roman" w:hAnsi="Times New Roman" w:cs="Times New Roman"/>
          <w:sz w:val="24"/>
          <w:szCs w:val="24"/>
          <w:lang w:val="es-ES"/>
        </w:rPr>
        <w:t>. Se vinculan</w:t>
      </w:r>
      <w:r w:rsidR="009773D1" w:rsidRPr="00B22CA9">
        <w:rPr>
          <w:rFonts w:ascii="Times New Roman" w:hAnsi="Times New Roman" w:cs="Times New Roman"/>
          <w:sz w:val="24"/>
          <w:szCs w:val="24"/>
          <w:lang w:val="es-ES"/>
        </w:rPr>
        <w:t xml:space="preserve"> a través de </w:t>
      </w:r>
      <w:r w:rsidR="00611AB7" w:rsidRPr="00B22CA9">
        <w:rPr>
          <w:rFonts w:ascii="Times New Roman" w:hAnsi="Times New Roman" w:cs="Times New Roman"/>
          <w:sz w:val="24"/>
          <w:szCs w:val="24"/>
          <w:lang w:val="es-ES"/>
        </w:rPr>
        <w:t>conexiones normativas</w:t>
      </w:r>
      <w:r w:rsidR="004417E5" w:rsidRPr="00B22CA9">
        <w:rPr>
          <w:rFonts w:ascii="Times New Roman" w:hAnsi="Times New Roman" w:cs="Times New Roman"/>
          <w:sz w:val="24"/>
          <w:szCs w:val="24"/>
          <w:lang w:val="es-ES"/>
        </w:rPr>
        <w:t xml:space="preserve">, </w:t>
      </w:r>
      <w:r w:rsidR="00611AB7" w:rsidRPr="00B22CA9">
        <w:rPr>
          <w:rFonts w:ascii="Times New Roman" w:hAnsi="Times New Roman" w:cs="Times New Roman"/>
          <w:sz w:val="24"/>
          <w:szCs w:val="24"/>
          <w:lang w:val="es-ES"/>
        </w:rPr>
        <w:t xml:space="preserve">al tiempo aspiran a conservar </w:t>
      </w:r>
      <w:r w:rsidR="002148C7" w:rsidRPr="00B22CA9">
        <w:rPr>
          <w:rFonts w:ascii="Times New Roman" w:hAnsi="Times New Roman" w:cs="Times New Roman"/>
          <w:sz w:val="24"/>
          <w:szCs w:val="24"/>
          <w:lang w:val="es-ES"/>
        </w:rPr>
        <w:t>su</w:t>
      </w:r>
      <w:r w:rsidR="00433988" w:rsidRPr="00B22CA9">
        <w:rPr>
          <w:rFonts w:ascii="Times New Roman" w:hAnsi="Times New Roman" w:cs="Times New Roman"/>
          <w:sz w:val="24"/>
          <w:szCs w:val="24"/>
          <w:lang w:val="es-ES"/>
        </w:rPr>
        <w:t xml:space="preserve"> carácter</w:t>
      </w:r>
      <w:r w:rsidR="00611AB7" w:rsidRPr="00B22CA9">
        <w:rPr>
          <w:rFonts w:ascii="Times New Roman" w:hAnsi="Times New Roman" w:cs="Times New Roman"/>
          <w:sz w:val="24"/>
          <w:szCs w:val="24"/>
          <w:lang w:val="es-ES"/>
        </w:rPr>
        <w:t xml:space="preserve"> autorreferen</w:t>
      </w:r>
      <w:r w:rsidR="00433988" w:rsidRPr="00B22CA9">
        <w:rPr>
          <w:rFonts w:ascii="Times New Roman" w:hAnsi="Times New Roman" w:cs="Times New Roman"/>
          <w:sz w:val="24"/>
          <w:szCs w:val="24"/>
          <w:lang w:val="es-ES"/>
        </w:rPr>
        <w:t>te</w:t>
      </w:r>
      <w:r w:rsidR="0060711B" w:rsidRPr="00B22CA9">
        <w:rPr>
          <w:rFonts w:ascii="Times New Roman" w:hAnsi="Times New Roman" w:cs="Times New Roman"/>
          <w:sz w:val="24"/>
          <w:szCs w:val="24"/>
          <w:lang w:val="es-ES"/>
        </w:rPr>
        <w:t>. Y</w:t>
      </w:r>
      <w:r w:rsidR="004040F6" w:rsidRPr="00B22CA9">
        <w:rPr>
          <w:rFonts w:ascii="Times New Roman" w:hAnsi="Times New Roman" w:cs="Times New Roman"/>
          <w:sz w:val="24"/>
          <w:szCs w:val="24"/>
          <w:lang w:val="es-ES"/>
        </w:rPr>
        <w:t xml:space="preserve"> </w:t>
      </w:r>
      <w:r w:rsidR="00354EFB" w:rsidRPr="00B22CA9">
        <w:rPr>
          <w:rFonts w:ascii="Times New Roman" w:hAnsi="Times New Roman" w:cs="Times New Roman"/>
          <w:sz w:val="24"/>
          <w:szCs w:val="24"/>
          <w:lang w:val="es-ES"/>
        </w:rPr>
        <w:t>establecen</w:t>
      </w:r>
      <w:r w:rsidR="004040F6" w:rsidRPr="00B22CA9">
        <w:rPr>
          <w:rFonts w:ascii="Times New Roman" w:hAnsi="Times New Roman" w:cs="Times New Roman"/>
          <w:sz w:val="24"/>
          <w:szCs w:val="24"/>
          <w:lang w:val="es-ES"/>
        </w:rPr>
        <w:t xml:space="preserve"> exigencias </w:t>
      </w:r>
      <w:r w:rsidR="002148C7" w:rsidRPr="00B22CA9">
        <w:rPr>
          <w:rFonts w:ascii="Times New Roman" w:hAnsi="Times New Roman" w:cs="Times New Roman"/>
          <w:sz w:val="24"/>
          <w:szCs w:val="24"/>
          <w:lang w:val="es-ES"/>
        </w:rPr>
        <w:t>mutuas</w:t>
      </w:r>
      <w:r w:rsidR="00354EFB" w:rsidRPr="00B22CA9">
        <w:rPr>
          <w:rFonts w:ascii="Times New Roman" w:hAnsi="Times New Roman" w:cs="Times New Roman"/>
          <w:sz w:val="24"/>
          <w:szCs w:val="24"/>
          <w:lang w:val="es-ES"/>
        </w:rPr>
        <w:t xml:space="preserve"> para el ejercicio del poder público en las </w:t>
      </w:r>
      <w:r w:rsidR="00AE76BB" w:rsidRPr="00B22CA9">
        <w:rPr>
          <w:rFonts w:ascii="Times New Roman" w:hAnsi="Times New Roman" w:cs="Times New Roman"/>
          <w:sz w:val="24"/>
          <w:szCs w:val="24"/>
          <w:lang w:val="es-ES"/>
        </w:rPr>
        <w:t>respectivas</w:t>
      </w:r>
      <w:r w:rsidR="00354EFB" w:rsidRPr="00B22CA9">
        <w:rPr>
          <w:rFonts w:ascii="Times New Roman" w:hAnsi="Times New Roman" w:cs="Times New Roman"/>
          <w:sz w:val="24"/>
          <w:szCs w:val="24"/>
          <w:lang w:val="es-ES"/>
        </w:rPr>
        <w:t xml:space="preserve"> esferas, estatal y supranacional,</w:t>
      </w:r>
      <w:r w:rsidR="007F7178" w:rsidRPr="00B22CA9">
        <w:rPr>
          <w:rFonts w:ascii="Times New Roman" w:hAnsi="Times New Roman" w:cs="Times New Roman"/>
          <w:sz w:val="24"/>
          <w:szCs w:val="24"/>
          <w:lang w:val="es-ES"/>
        </w:rPr>
        <w:t xml:space="preserve"> que son, </w:t>
      </w:r>
      <w:r w:rsidR="00A346CF" w:rsidRPr="00B22CA9">
        <w:rPr>
          <w:rFonts w:ascii="Times New Roman" w:hAnsi="Times New Roman" w:cs="Times New Roman"/>
          <w:sz w:val="24"/>
          <w:szCs w:val="24"/>
          <w:lang w:val="es-ES"/>
        </w:rPr>
        <w:t xml:space="preserve">con distinto </w:t>
      </w:r>
      <w:r w:rsidR="00354EFB" w:rsidRPr="00B22CA9">
        <w:rPr>
          <w:rFonts w:ascii="Times New Roman" w:hAnsi="Times New Roman" w:cs="Times New Roman"/>
          <w:sz w:val="24"/>
          <w:szCs w:val="24"/>
          <w:lang w:val="es-ES"/>
        </w:rPr>
        <w:t xml:space="preserve">origen y </w:t>
      </w:r>
      <w:r w:rsidR="007F7178" w:rsidRPr="00B22CA9">
        <w:rPr>
          <w:rFonts w:ascii="Times New Roman" w:hAnsi="Times New Roman" w:cs="Times New Roman"/>
          <w:sz w:val="24"/>
          <w:szCs w:val="24"/>
          <w:lang w:val="es-ES"/>
        </w:rPr>
        <w:t xml:space="preserve">naturaleza, de un mismo </w:t>
      </w:r>
      <w:r w:rsidR="004040F6" w:rsidRPr="00B22CA9">
        <w:rPr>
          <w:rFonts w:ascii="Times New Roman" w:hAnsi="Times New Roman" w:cs="Times New Roman"/>
          <w:sz w:val="24"/>
          <w:szCs w:val="24"/>
          <w:lang w:val="es-ES"/>
        </w:rPr>
        <w:t>sentido constitucional (Walker, 2002: 337)</w:t>
      </w:r>
      <w:r w:rsidR="007F7178" w:rsidRPr="00B22CA9">
        <w:rPr>
          <w:rFonts w:ascii="Times New Roman" w:hAnsi="Times New Roman" w:cs="Times New Roman"/>
          <w:sz w:val="24"/>
          <w:szCs w:val="24"/>
          <w:lang w:val="es-ES"/>
        </w:rPr>
        <w:t xml:space="preserve"> (</w:t>
      </w:r>
      <w:proofErr w:type="spellStart"/>
      <w:r w:rsidR="007F7178" w:rsidRPr="00B22CA9">
        <w:rPr>
          <w:rFonts w:ascii="Times New Roman" w:hAnsi="Times New Roman" w:cs="Times New Roman"/>
          <w:sz w:val="24"/>
          <w:szCs w:val="24"/>
          <w:lang w:val="es-ES"/>
        </w:rPr>
        <w:t>Häberle</w:t>
      </w:r>
      <w:proofErr w:type="spellEnd"/>
      <w:r w:rsidR="007F7178" w:rsidRPr="00B22CA9">
        <w:rPr>
          <w:rFonts w:ascii="Times New Roman" w:hAnsi="Times New Roman" w:cs="Times New Roman"/>
          <w:sz w:val="24"/>
          <w:szCs w:val="24"/>
          <w:lang w:val="es-ES"/>
        </w:rPr>
        <w:t>, 2002: 123 y ss.).</w:t>
      </w:r>
      <w:r w:rsidR="004040F6" w:rsidRPr="00B22CA9">
        <w:rPr>
          <w:rFonts w:ascii="Times New Roman" w:hAnsi="Times New Roman" w:cs="Times New Roman"/>
          <w:sz w:val="24"/>
          <w:szCs w:val="24"/>
          <w:lang w:val="es-ES"/>
        </w:rPr>
        <w:t xml:space="preserve">  </w:t>
      </w:r>
    </w:p>
    <w:p w:rsidR="00A16713" w:rsidRPr="00B22CA9" w:rsidRDefault="004040F6" w:rsidP="007F11DF">
      <w:pPr>
        <w:spacing w:line="240" w:lineRule="auto"/>
        <w:ind w:firstLine="720"/>
        <w:jc w:val="both"/>
        <w:rPr>
          <w:rFonts w:ascii="Times New Roman" w:hAnsi="Times New Roman" w:cs="Times New Roman"/>
          <w:sz w:val="24"/>
          <w:szCs w:val="24"/>
          <w:lang w:val="es-ES"/>
        </w:rPr>
      </w:pPr>
      <w:r w:rsidRPr="00B22CA9">
        <w:rPr>
          <w:rFonts w:ascii="Times New Roman" w:hAnsi="Times New Roman" w:cs="Times New Roman"/>
          <w:sz w:val="24"/>
          <w:szCs w:val="24"/>
          <w:lang w:val="es-ES"/>
        </w:rPr>
        <w:t>E</w:t>
      </w:r>
      <w:r w:rsidR="00611AB7" w:rsidRPr="00B22CA9">
        <w:rPr>
          <w:rFonts w:ascii="Times New Roman" w:hAnsi="Times New Roman" w:cs="Times New Roman"/>
          <w:sz w:val="24"/>
          <w:szCs w:val="24"/>
          <w:lang w:val="es-ES"/>
        </w:rPr>
        <w:t xml:space="preserve">l procedimiento por incumplimiento </w:t>
      </w:r>
      <w:r w:rsidR="00BB235F" w:rsidRPr="00B22CA9">
        <w:rPr>
          <w:rFonts w:ascii="Times New Roman" w:hAnsi="Times New Roman" w:cs="Times New Roman"/>
          <w:sz w:val="24"/>
          <w:szCs w:val="24"/>
          <w:lang w:val="es-ES"/>
        </w:rPr>
        <w:t xml:space="preserve">no es ajeno a esa dimensión constitucional, en general porque sirve </w:t>
      </w:r>
      <w:r w:rsidR="004417E5" w:rsidRPr="00B22CA9">
        <w:rPr>
          <w:rFonts w:ascii="Times New Roman" w:hAnsi="Times New Roman" w:cs="Times New Roman"/>
          <w:sz w:val="24"/>
          <w:szCs w:val="24"/>
          <w:lang w:val="es-ES"/>
        </w:rPr>
        <w:t xml:space="preserve">para afianzar la </w:t>
      </w:r>
      <w:r w:rsidR="00A748F8" w:rsidRPr="00B22CA9">
        <w:rPr>
          <w:rFonts w:ascii="Times New Roman" w:hAnsi="Times New Roman" w:cs="Times New Roman"/>
          <w:sz w:val="24"/>
          <w:szCs w:val="24"/>
          <w:lang w:val="es-ES"/>
        </w:rPr>
        <w:t>efectividad</w:t>
      </w:r>
      <w:r w:rsidR="00A16713" w:rsidRPr="00B22CA9">
        <w:rPr>
          <w:rFonts w:ascii="Times New Roman" w:hAnsi="Times New Roman" w:cs="Times New Roman"/>
          <w:sz w:val="24"/>
          <w:szCs w:val="24"/>
          <w:lang w:val="es-ES"/>
        </w:rPr>
        <w:t xml:space="preserve"> del </w:t>
      </w:r>
      <w:r w:rsidR="00427A50" w:rsidRPr="00B22CA9">
        <w:rPr>
          <w:rFonts w:ascii="Times New Roman" w:hAnsi="Times New Roman" w:cs="Times New Roman"/>
          <w:sz w:val="24"/>
          <w:szCs w:val="24"/>
          <w:lang w:val="es-ES"/>
        </w:rPr>
        <w:t>d</w:t>
      </w:r>
      <w:r w:rsidR="00A16713" w:rsidRPr="00B22CA9">
        <w:rPr>
          <w:rFonts w:ascii="Times New Roman" w:hAnsi="Times New Roman" w:cs="Times New Roman"/>
          <w:sz w:val="24"/>
          <w:szCs w:val="24"/>
          <w:lang w:val="es-ES"/>
        </w:rPr>
        <w:t>erecho de la Unión</w:t>
      </w:r>
      <w:r w:rsidR="00BB235F" w:rsidRPr="00B22CA9">
        <w:rPr>
          <w:rFonts w:ascii="Times New Roman" w:hAnsi="Times New Roman" w:cs="Times New Roman"/>
          <w:sz w:val="24"/>
          <w:szCs w:val="24"/>
          <w:lang w:val="es-ES"/>
        </w:rPr>
        <w:t xml:space="preserve"> en los Estados y en particular porque también logra la de </w:t>
      </w:r>
      <w:r w:rsidR="008E7226" w:rsidRPr="00B22CA9">
        <w:rPr>
          <w:rFonts w:ascii="Times New Roman" w:hAnsi="Times New Roman" w:cs="Times New Roman"/>
          <w:sz w:val="24"/>
          <w:szCs w:val="24"/>
          <w:lang w:val="es-ES"/>
        </w:rPr>
        <w:t>principio</w:t>
      </w:r>
      <w:r w:rsidR="00A748F8" w:rsidRPr="00B22CA9">
        <w:rPr>
          <w:rFonts w:ascii="Times New Roman" w:hAnsi="Times New Roman" w:cs="Times New Roman"/>
          <w:sz w:val="24"/>
          <w:szCs w:val="24"/>
          <w:lang w:val="es-ES"/>
        </w:rPr>
        <w:t>s</w:t>
      </w:r>
      <w:r w:rsidR="00BB235F" w:rsidRPr="00B22CA9">
        <w:rPr>
          <w:rFonts w:ascii="Times New Roman" w:hAnsi="Times New Roman" w:cs="Times New Roman"/>
          <w:sz w:val="24"/>
          <w:szCs w:val="24"/>
          <w:lang w:val="es-ES"/>
        </w:rPr>
        <w:t xml:space="preserve"> normativos que son</w:t>
      </w:r>
      <w:r w:rsidR="008E7226" w:rsidRPr="00B22CA9">
        <w:rPr>
          <w:rFonts w:ascii="Times New Roman" w:hAnsi="Times New Roman" w:cs="Times New Roman"/>
          <w:sz w:val="24"/>
          <w:szCs w:val="24"/>
          <w:lang w:val="es-ES"/>
        </w:rPr>
        <w:t xml:space="preserve"> constitucional</w:t>
      </w:r>
      <w:r w:rsidR="00A748F8" w:rsidRPr="00B22CA9">
        <w:rPr>
          <w:rFonts w:ascii="Times New Roman" w:hAnsi="Times New Roman" w:cs="Times New Roman"/>
          <w:sz w:val="24"/>
          <w:szCs w:val="24"/>
          <w:lang w:val="es-ES"/>
        </w:rPr>
        <w:t>es</w:t>
      </w:r>
      <w:r w:rsidR="00BB235F" w:rsidRPr="00B22CA9">
        <w:rPr>
          <w:rFonts w:ascii="Times New Roman" w:hAnsi="Times New Roman" w:cs="Times New Roman"/>
          <w:sz w:val="24"/>
          <w:szCs w:val="24"/>
          <w:lang w:val="es-ES"/>
        </w:rPr>
        <w:t xml:space="preserve">. </w:t>
      </w:r>
      <w:r w:rsidR="008E7226" w:rsidRPr="00B22CA9">
        <w:rPr>
          <w:rFonts w:ascii="Times New Roman" w:hAnsi="Times New Roman" w:cs="Times New Roman"/>
          <w:sz w:val="24"/>
          <w:szCs w:val="24"/>
          <w:lang w:val="es-ES"/>
        </w:rPr>
        <w:t>El recurso por incumplimiento</w:t>
      </w:r>
      <w:r w:rsidR="002148C7" w:rsidRPr="00B22CA9">
        <w:rPr>
          <w:rFonts w:ascii="Times New Roman" w:hAnsi="Times New Roman" w:cs="Times New Roman"/>
          <w:sz w:val="24"/>
          <w:szCs w:val="24"/>
          <w:lang w:val="es-ES"/>
        </w:rPr>
        <w:t xml:space="preserve"> </w:t>
      </w:r>
      <w:r w:rsidR="00AE2FBE" w:rsidRPr="00B22CA9">
        <w:rPr>
          <w:rFonts w:ascii="Times New Roman" w:hAnsi="Times New Roman" w:cs="Times New Roman"/>
          <w:sz w:val="24"/>
          <w:szCs w:val="24"/>
          <w:lang w:val="es-ES"/>
        </w:rPr>
        <w:t>incentiva la</w:t>
      </w:r>
      <w:r w:rsidR="004417E5" w:rsidRPr="00B22CA9">
        <w:rPr>
          <w:rFonts w:ascii="Times New Roman" w:hAnsi="Times New Roman" w:cs="Times New Roman"/>
          <w:sz w:val="24"/>
          <w:szCs w:val="24"/>
          <w:lang w:val="es-ES"/>
        </w:rPr>
        <w:t xml:space="preserve"> prioridad </w:t>
      </w:r>
      <w:r w:rsidR="00AE2FBE" w:rsidRPr="00B22CA9">
        <w:rPr>
          <w:rFonts w:ascii="Times New Roman" w:hAnsi="Times New Roman" w:cs="Times New Roman"/>
          <w:sz w:val="24"/>
          <w:szCs w:val="24"/>
          <w:lang w:val="es-ES"/>
        </w:rPr>
        <w:t>de</w:t>
      </w:r>
      <w:r w:rsidR="004417E5" w:rsidRPr="00B22CA9">
        <w:rPr>
          <w:rFonts w:ascii="Times New Roman" w:hAnsi="Times New Roman" w:cs="Times New Roman"/>
          <w:sz w:val="24"/>
          <w:szCs w:val="24"/>
          <w:lang w:val="es-ES"/>
        </w:rPr>
        <w:t xml:space="preserve"> los mandatos supranacionales</w:t>
      </w:r>
      <w:r w:rsidR="002148C7" w:rsidRPr="00B22CA9">
        <w:rPr>
          <w:rFonts w:ascii="Times New Roman" w:hAnsi="Times New Roman" w:cs="Times New Roman"/>
          <w:sz w:val="24"/>
          <w:szCs w:val="24"/>
          <w:lang w:val="es-ES"/>
        </w:rPr>
        <w:t xml:space="preserve"> y desincentiva </w:t>
      </w:r>
      <w:r w:rsidR="00AE2FBE" w:rsidRPr="00B22CA9">
        <w:rPr>
          <w:rFonts w:ascii="Times New Roman" w:hAnsi="Times New Roman" w:cs="Times New Roman"/>
          <w:sz w:val="24"/>
          <w:szCs w:val="24"/>
          <w:lang w:val="es-ES"/>
        </w:rPr>
        <w:t xml:space="preserve">su </w:t>
      </w:r>
      <w:r w:rsidR="00AE2FBE" w:rsidRPr="00B22CA9">
        <w:rPr>
          <w:rFonts w:ascii="Times New Roman" w:hAnsi="Times New Roman" w:cs="Times New Roman"/>
          <w:sz w:val="24"/>
          <w:szCs w:val="24"/>
          <w:lang w:val="es-ES"/>
        </w:rPr>
        <w:lastRenderedPageBreak/>
        <w:t>desatención</w:t>
      </w:r>
      <w:r w:rsidR="008C694C" w:rsidRPr="00B22CA9">
        <w:rPr>
          <w:rFonts w:ascii="Times New Roman" w:hAnsi="Times New Roman" w:cs="Times New Roman"/>
          <w:sz w:val="24"/>
          <w:szCs w:val="24"/>
          <w:lang w:val="es-ES"/>
        </w:rPr>
        <w:t xml:space="preserve">. </w:t>
      </w:r>
      <w:r w:rsidR="0060711B" w:rsidRPr="00B22CA9">
        <w:rPr>
          <w:rFonts w:ascii="Times New Roman" w:hAnsi="Times New Roman" w:cs="Times New Roman"/>
          <w:sz w:val="24"/>
          <w:szCs w:val="24"/>
          <w:lang w:val="es-ES"/>
        </w:rPr>
        <w:t>L</w:t>
      </w:r>
      <w:r w:rsidR="008C694C" w:rsidRPr="00B22CA9">
        <w:rPr>
          <w:rFonts w:ascii="Times New Roman" w:hAnsi="Times New Roman" w:cs="Times New Roman"/>
          <w:sz w:val="24"/>
          <w:szCs w:val="24"/>
          <w:lang w:val="es-ES"/>
        </w:rPr>
        <w:t>a prevalencia</w:t>
      </w:r>
      <w:r w:rsidR="000E060C" w:rsidRPr="00B22CA9">
        <w:rPr>
          <w:rFonts w:ascii="Times New Roman" w:hAnsi="Times New Roman" w:cs="Times New Roman"/>
          <w:sz w:val="24"/>
          <w:szCs w:val="24"/>
          <w:lang w:val="es-ES"/>
        </w:rPr>
        <w:t xml:space="preserve"> del </w:t>
      </w:r>
      <w:r w:rsidR="00427A50" w:rsidRPr="00B22CA9">
        <w:rPr>
          <w:rFonts w:ascii="Times New Roman" w:hAnsi="Times New Roman" w:cs="Times New Roman"/>
          <w:sz w:val="24"/>
          <w:szCs w:val="24"/>
          <w:lang w:val="es-ES"/>
        </w:rPr>
        <w:t>d</w:t>
      </w:r>
      <w:r w:rsidR="000E060C" w:rsidRPr="00B22CA9">
        <w:rPr>
          <w:rFonts w:ascii="Times New Roman" w:hAnsi="Times New Roman" w:cs="Times New Roman"/>
          <w:sz w:val="24"/>
          <w:szCs w:val="24"/>
          <w:lang w:val="es-ES"/>
        </w:rPr>
        <w:t xml:space="preserve">erecho de la Unión se articula en los recursos </w:t>
      </w:r>
      <w:r w:rsidR="00A16713" w:rsidRPr="00B22CA9">
        <w:rPr>
          <w:rFonts w:ascii="Times New Roman" w:hAnsi="Times New Roman" w:cs="Times New Roman"/>
          <w:sz w:val="24"/>
          <w:szCs w:val="24"/>
          <w:lang w:val="es-ES"/>
        </w:rPr>
        <w:t>por incumplimiento a través de las declaraciones de infracción</w:t>
      </w:r>
      <w:r w:rsidR="008C694C" w:rsidRPr="00B22CA9">
        <w:rPr>
          <w:rFonts w:ascii="Times New Roman" w:hAnsi="Times New Roman" w:cs="Times New Roman"/>
          <w:sz w:val="24"/>
          <w:szCs w:val="24"/>
          <w:lang w:val="es-ES"/>
        </w:rPr>
        <w:t xml:space="preserve"> de</w:t>
      </w:r>
      <w:r w:rsidR="000E060C" w:rsidRPr="00B22CA9">
        <w:rPr>
          <w:rFonts w:ascii="Times New Roman" w:hAnsi="Times New Roman" w:cs="Times New Roman"/>
          <w:sz w:val="24"/>
          <w:szCs w:val="24"/>
          <w:lang w:val="es-ES"/>
        </w:rPr>
        <w:t>l principio de cooperación leal o del de</w:t>
      </w:r>
      <w:r w:rsidR="008C694C" w:rsidRPr="00B22CA9">
        <w:rPr>
          <w:rFonts w:ascii="Times New Roman" w:hAnsi="Times New Roman" w:cs="Times New Roman"/>
          <w:sz w:val="24"/>
          <w:szCs w:val="24"/>
          <w:lang w:val="es-ES"/>
        </w:rPr>
        <w:t xml:space="preserve"> solidaridad</w:t>
      </w:r>
      <w:r w:rsidR="00A16713" w:rsidRPr="00B22CA9">
        <w:rPr>
          <w:rFonts w:ascii="Times New Roman" w:hAnsi="Times New Roman" w:cs="Times New Roman"/>
          <w:sz w:val="24"/>
          <w:szCs w:val="24"/>
          <w:lang w:val="es-ES"/>
        </w:rPr>
        <w:t xml:space="preserve">. </w:t>
      </w:r>
      <w:r w:rsidR="0060711B" w:rsidRPr="00B22CA9">
        <w:rPr>
          <w:rFonts w:ascii="Times New Roman" w:hAnsi="Times New Roman" w:cs="Times New Roman"/>
          <w:sz w:val="24"/>
          <w:szCs w:val="24"/>
          <w:lang w:val="es-ES"/>
        </w:rPr>
        <w:t>Estos s</w:t>
      </w:r>
      <w:r w:rsidR="005619D3" w:rsidRPr="00B22CA9">
        <w:rPr>
          <w:rFonts w:ascii="Times New Roman" w:hAnsi="Times New Roman" w:cs="Times New Roman"/>
          <w:sz w:val="24"/>
          <w:szCs w:val="24"/>
          <w:lang w:val="es-ES"/>
        </w:rPr>
        <w:t xml:space="preserve">on </w:t>
      </w:r>
      <w:r w:rsidR="008C694C" w:rsidRPr="00B22CA9">
        <w:rPr>
          <w:rFonts w:ascii="Times New Roman" w:hAnsi="Times New Roman" w:cs="Times New Roman"/>
          <w:sz w:val="24"/>
          <w:szCs w:val="24"/>
          <w:lang w:val="es-ES"/>
        </w:rPr>
        <w:t xml:space="preserve">principios generales del </w:t>
      </w:r>
      <w:r w:rsidR="00427A50" w:rsidRPr="00B22CA9">
        <w:rPr>
          <w:rFonts w:ascii="Times New Roman" w:hAnsi="Times New Roman" w:cs="Times New Roman"/>
          <w:sz w:val="24"/>
          <w:szCs w:val="24"/>
          <w:lang w:val="es-ES"/>
        </w:rPr>
        <w:t>d</w:t>
      </w:r>
      <w:r w:rsidR="008C694C" w:rsidRPr="00B22CA9">
        <w:rPr>
          <w:rFonts w:ascii="Times New Roman" w:hAnsi="Times New Roman" w:cs="Times New Roman"/>
          <w:sz w:val="24"/>
          <w:szCs w:val="24"/>
          <w:lang w:val="es-ES"/>
        </w:rPr>
        <w:t>erecho de la Unión</w:t>
      </w:r>
      <w:r w:rsidR="00A16713" w:rsidRPr="00B22CA9">
        <w:rPr>
          <w:rFonts w:ascii="Times New Roman" w:hAnsi="Times New Roman" w:cs="Times New Roman"/>
          <w:sz w:val="24"/>
          <w:szCs w:val="24"/>
          <w:lang w:val="es-ES"/>
        </w:rPr>
        <w:t xml:space="preserve"> </w:t>
      </w:r>
      <w:r w:rsidR="005619D3" w:rsidRPr="00B22CA9">
        <w:rPr>
          <w:rFonts w:ascii="Times New Roman" w:hAnsi="Times New Roman" w:cs="Times New Roman"/>
          <w:sz w:val="24"/>
          <w:szCs w:val="24"/>
          <w:lang w:val="es-ES"/>
        </w:rPr>
        <w:t>que</w:t>
      </w:r>
      <w:r w:rsidR="008C694C" w:rsidRPr="00B22CA9">
        <w:rPr>
          <w:rFonts w:ascii="Times New Roman" w:hAnsi="Times New Roman" w:cs="Times New Roman"/>
          <w:sz w:val="24"/>
          <w:szCs w:val="24"/>
          <w:lang w:val="es-ES"/>
        </w:rPr>
        <w:t xml:space="preserve"> comprometen a los Estados miembros a respetar ese orden de prioridades</w:t>
      </w:r>
      <w:r w:rsidR="005619D3" w:rsidRPr="00B22CA9">
        <w:rPr>
          <w:rFonts w:ascii="Times New Roman" w:hAnsi="Times New Roman" w:cs="Times New Roman"/>
          <w:sz w:val="24"/>
          <w:szCs w:val="24"/>
          <w:lang w:val="es-ES"/>
        </w:rPr>
        <w:t xml:space="preserve"> y se emplean para realizar</w:t>
      </w:r>
      <w:r w:rsidR="000E060C" w:rsidRPr="00B22CA9">
        <w:rPr>
          <w:rFonts w:ascii="Times New Roman" w:hAnsi="Times New Roman" w:cs="Times New Roman"/>
          <w:sz w:val="24"/>
          <w:szCs w:val="24"/>
          <w:lang w:val="es-ES"/>
        </w:rPr>
        <w:t xml:space="preserve"> los</w:t>
      </w:r>
      <w:r w:rsidR="005619D3" w:rsidRPr="00B22CA9">
        <w:rPr>
          <w:rFonts w:ascii="Times New Roman" w:hAnsi="Times New Roman" w:cs="Times New Roman"/>
          <w:sz w:val="24"/>
          <w:szCs w:val="24"/>
          <w:lang w:val="es-ES"/>
        </w:rPr>
        <w:t xml:space="preserve"> </w:t>
      </w:r>
      <w:r w:rsidR="00A16713" w:rsidRPr="00B22CA9">
        <w:rPr>
          <w:rFonts w:ascii="Times New Roman" w:hAnsi="Times New Roman" w:cs="Times New Roman"/>
          <w:sz w:val="24"/>
          <w:szCs w:val="24"/>
          <w:lang w:val="es-ES"/>
        </w:rPr>
        <w:t>juicios de a</w:t>
      </w:r>
      <w:r w:rsidR="000E060C" w:rsidRPr="00B22CA9">
        <w:rPr>
          <w:rFonts w:ascii="Times New Roman" w:hAnsi="Times New Roman" w:cs="Times New Roman"/>
          <w:sz w:val="24"/>
          <w:szCs w:val="24"/>
          <w:lang w:val="es-ES"/>
        </w:rPr>
        <w:t>decuación de carácter abstracto que</w:t>
      </w:r>
      <w:r w:rsidR="0060711B" w:rsidRPr="00B22CA9">
        <w:rPr>
          <w:rFonts w:ascii="Times New Roman" w:hAnsi="Times New Roman" w:cs="Times New Roman"/>
          <w:sz w:val="24"/>
          <w:szCs w:val="24"/>
          <w:lang w:val="es-ES"/>
        </w:rPr>
        <w:t xml:space="preserve"> se</w:t>
      </w:r>
      <w:r w:rsidR="000E060C" w:rsidRPr="00B22CA9">
        <w:rPr>
          <w:rFonts w:ascii="Times New Roman" w:hAnsi="Times New Roman" w:cs="Times New Roman"/>
          <w:sz w:val="24"/>
          <w:szCs w:val="24"/>
          <w:lang w:val="es-ES"/>
        </w:rPr>
        <w:t xml:space="preserve"> </w:t>
      </w:r>
      <w:r w:rsidR="002148C7" w:rsidRPr="00B22CA9">
        <w:rPr>
          <w:rFonts w:ascii="Times New Roman" w:hAnsi="Times New Roman" w:cs="Times New Roman"/>
          <w:sz w:val="24"/>
          <w:szCs w:val="24"/>
          <w:lang w:val="es-ES"/>
        </w:rPr>
        <w:t>incluyen</w:t>
      </w:r>
      <w:r w:rsidR="000E060C" w:rsidRPr="00B22CA9">
        <w:rPr>
          <w:rFonts w:ascii="Times New Roman" w:hAnsi="Times New Roman" w:cs="Times New Roman"/>
          <w:sz w:val="24"/>
          <w:szCs w:val="24"/>
          <w:lang w:val="es-ES"/>
        </w:rPr>
        <w:t>, cuando así lo exige la composición fáctica y normativa</w:t>
      </w:r>
      <w:r w:rsidR="002148C7" w:rsidRPr="00B22CA9">
        <w:rPr>
          <w:rFonts w:ascii="Times New Roman" w:hAnsi="Times New Roman" w:cs="Times New Roman"/>
          <w:sz w:val="24"/>
          <w:szCs w:val="24"/>
          <w:lang w:val="es-ES"/>
        </w:rPr>
        <w:t xml:space="preserve"> del asunto</w:t>
      </w:r>
      <w:r w:rsidR="000E060C" w:rsidRPr="00B22CA9">
        <w:rPr>
          <w:rFonts w:ascii="Times New Roman" w:hAnsi="Times New Roman" w:cs="Times New Roman"/>
          <w:sz w:val="24"/>
          <w:szCs w:val="24"/>
          <w:lang w:val="es-ES"/>
        </w:rPr>
        <w:t>,</w:t>
      </w:r>
      <w:r w:rsidR="00A16713" w:rsidRPr="00B22CA9">
        <w:rPr>
          <w:rFonts w:ascii="Times New Roman" w:hAnsi="Times New Roman" w:cs="Times New Roman"/>
          <w:sz w:val="24"/>
          <w:szCs w:val="24"/>
          <w:lang w:val="es-ES"/>
        </w:rPr>
        <w:t xml:space="preserve"> en </w:t>
      </w:r>
      <w:r w:rsidR="0060711B" w:rsidRPr="00B22CA9">
        <w:rPr>
          <w:rFonts w:ascii="Times New Roman" w:hAnsi="Times New Roman" w:cs="Times New Roman"/>
          <w:sz w:val="24"/>
          <w:szCs w:val="24"/>
          <w:lang w:val="es-ES"/>
        </w:rPr>
        <w:t xml:space="preserve">los </w:t>
      </w:r>
      <w:r w:rsidR="00A16713" w:rsidRPr="00B22CA9">
        <w:rPr>
          <w:rFonts w:ascii="Times New Roman" w:hAnsi="Times New Roman" w:cs="Times New Roman"/>
          <w:sz w:val="24"/>
          <w:szCs w:val="24"/>
          <w:lang w:val="es-ES"/>
        </w:rPr>
        <w:t xml:space="preserve">fallos </w:t>
      </w:r>
      <w:r w:rsidR="0060711B" w:rsidRPr="00B22CA9">
        <w:rPr>
          <w:rFonts w:ascii="Times New Roman" w:hAnsi="Times New Roman" w:cs="Times New Roman"/>
          <w:sz w:val="24"/>
          <w:szCs w:val="24"/>
          <w:lang w:val="es-ES"/>
        </w:rPr>
        <w:t xml:space="preserve">de </w:t>
      </w:r>
      <w:r w:rsidR="00A16713" w:rsidRPr="00B22CA9">
        <w:rPr>
          <w:rFonts w:ascii="Times New Roman" w:hAnsi="Times New Roman" w:cs="Times New Roman"/>
          <w:sz w:val="24"/>
          <w:szCs w:val="24"/>
          <w:lang w:val="es-ES"/>
        </w:rPr>
        <w:t>incumplimiento</w:t>
      </w:r>
      <w:r w:rsidR="008C694C" w:rsidRPr="00B22CA9">
        <w:rPr>
          <w:rFonts w:ascii="Times New Roman" w:hAnsi="Times New Roman" w:cs="Times New Roman"/>
          <w:sz w:val="24"/>
          <w:szCs w:val="24"/>
          <w:lang w:val="es-ES"/>
        </w:rPr>
        <w:t xml:space="preserve"> (Materne, 2012: 182 y 186). </w:t>
      </w:r>
      <w:r w:rsidR="000641C8" w:rsidRPr="00B22CA9">
        <w:rPr>
          <w:rFonts w:ascii="Times New Roman" w:hAnsi="Times New Roman" w:cs="Times New Roman"/>
          <w:sz w:val="24"/>
          <w:szCs w:val="24"/>
          <w:lang w:val="es-ES"/>
        </w:rPr>
        <w:t xml:space="preserve"> </w:t>
      </w:r>
    </w:p>
    <w:p w:rsidR="0072493A" w:rsidRPr="00B22CA9" w:rsidRDefault="0060711B" w:rsidP="007F11DF">
      <w:pPr>
        <w:spacing w:line="240" w:lineRule="auto"/>
        <w:ind w:firstLine="720"/>
        <w:jc w:val="both"/>
        <w:rPr>
          <w:rFonts w:ascii="Times New Roman" w:hAnsi="Times New Roman" w:cs="Times New Roman"/>
          <w:sz w:val="24"/>
          <w:szCs w:val="24"/>
          <w:lang w:val="es-ES"/>
        </w:rPr>
      </w:pPr>
      <w:r w:rsidRPr="00B22CA9">
        <w:rPr>
          <w:rFonts w:ascii="Times New Roman" w:hAnsi="Times New Roman" w:cs="Times New Roman"/>
          <w:sz w:val="24"/>
          <w:szCs w:val="24"/>
          <w:lang w:val="es-ES"/>
        </w:rPr>
        <w:t>L</w:t>
      </w:r>
      <w:r w:rsidR="00A16713" w:rsidRPr="00B22CA9">
        <w:rPr>
          <w:rFonts w:ascii="Times New Roman" w:hAnsi="Times New Roman" w:cs="Times New Roman"/>
          <w:sz w:val="24"/>
          <w:szCs w:val="24"/>
          <w:lang w:val="es-ES"/>
        </w:rPr>
        <w:t>a supervisión política de la Comisión s</w:t>
      </w:r>
      <w:r w:rsidR="000641C8" w:rsidRPr="00B22CA9">
        <w:rPr>
          <w:rFonts w:ascii="Times New Roman" w:hAnsi="Times New Roman" w:cs="Times New Roman"/>
          <w:sz w:val="24"/>
          <w:szCs w:val="24"/>
          <w:lang w:val="es-ES"/>
        </w:rPr>
        <w:t xml:space="preserve">irve </w:t>
      </w:r>
      <w:r w:rsidR="00AE2FBE" w:rsidRPr="00B22CA9">
        <w:rPr>
          <w:rFonts w:ascii="Times New Roman" w:hAnsi="Times New Roman" w:cs="Times New Roman"/>
          <w:sz w:val="24"/>
          <w:szCs w:val="24"/>
          <w:lang w:val="es-ES"/>
        </w:rPr>
        <w:t>para realizar una vigilancia</w:t>
      </w:r>
      <w:r w:rsidR="00A16713" w:rsidRPr="00B22CA9">
        <w:rPr>
          <w:rFonts w:ascii="Times New Roman" w:hAnsi="Times New Roman" w:cs="Times New Roman"/>
          <w:sz w:val="24"/>
          <w:szCs w:val="24"/>
          <w:lang w:val="es-ES"/>
        </w:rPr>
        <w:t xml:space="preserve"> y, en su caso, llevar a sede judicial el</w:t>
      </w:r>
      <w:r w:rsidR="00AE2FBE" w:rsidRPr="00B22CA9">
        <w:rPr>
          <w:rFonts w:ascii="Times New Roman" w:hAnsi="Times New Roman" w:cs="Times New Roman"/>
          <w:sz w:val="24"/>
          <w:szCs w:val="24"/>
          <w:lang w:val="es-ES"/>
        </w:rPr>
        <w:t xml:space="preserve"> </w:t>
      </w:r>
      <w:r w:rsidR="000641C8" w:rsidRPr="00B22CA9">
        <w:rPr>
          <w:rFonts w:ascii="Times New Roman" w:hAnsi="Times New Roman" w:cs="Times New Roman"/>
          <w:sz w:val="24"/>
          <w:szCs w:val="24"/>
          <w:lang w:val="es-ES"/>
        </w:rPr>
        <w:t xml:space="preserve">control de conformidad de las actuaciones nacionales con los parámetros y principios fundamentales del </w:t>
      </w:r>
      <w:r w:rsidR="00427A50" w:rsidRPr="00B22CA9">
        <w:rPr>
          <w:rFonts w:ascii="Times New Roman" w:hAnsi="Times New Roman" w:cs="Times New Roman"/>
          <w:sz w:val="24"/>
          <w:szCs w:val="24"/>
          <w:lang w:val="es-ES"/>
        </w:rPr>
        <w:t>d</w:t>
      </w:r>
      <w:r w:rsidR="000641C8" w:rsidRPr="00B22CA9">
        <w:rPr>
          <w:rFonts w:ascii="Times New Roman" w:hAnsi="Times New Roman" w:cs="Times New Roman"/>
          <w:sz w:val="24"/>
          <w:szCs w:val="24"/>
          <w:lang w:val="es-ES"/>
        </w:rPr>
        <w:t xml:space="preserve">erecho </w:t>
      </w:r>
      <w:r w:rsidR="002377A5" w:rsidRPr="00B22CA9">
        <w:rPr>
          <w:rFonts w:ascii="Times New Roman" w:hAnsi="Times New Roman" w:cs="Times New Roman"/>
          <w:sz w:val="24"/>
          <w:szCs w:val="24"/>
          <w:lang w:val="es-ES"/>
        </w:rPr>
        <w:t>de la Unión</w:t>
      </w:r>
      <w:r w:rsidR="000641C8" w:rsidRPr="00B22CA9">
        <w:rPr>
          <w:rFonts w:ascii="Times New Roman" w:hAnsi="Times New Roman" w:cs="Times New Roman"/>
          <w:sz w:val="24"/>
          <w:szCs w:val="24"/>
          <w:lang w:val="es-ES"/>
        </w:rPr>
        <w:t xml:space="preserve">. </w:t>
      </w:r>
      <w:r w:rsidR="002F2862" w:rsidRPr="00B22CA9">
        <w:rPr>
          <w:rFonts w:ascii="Times New Roman" w:hAnsi="Times New Roman" w:cs="Times New Roman"/>
          <w:sz w:val="24"/>
          <w:szCs w:val="24"/>
          <w:lang w:val="es-ES"/>
        </w:rPr>
        <w:t xml:space="preserve">Se trata, </w:t>
      </w:r>
      <w:r w:rsidR="00BB2D04" w:rsidRPr="00B22CA9">
        <w:rPr>
          <w:rFonts w:ascii="Times New Roman" w:hAnsi="Times New Roman" w:cs="Times New Roman"/>
          <w:sz w:val="24"/>
          <w:szCs w:val="24"/>
          <w:lang w:val="es-ES"/>
        </w:rPr>
        <w:t>en definitiva</w:t>
      </w:r>
      <w:r w:rsidR="002F2862" w:rsidRPr="00B22CA9">
        <w:rPr>
          <w:rFonts w:ascii="Times New Roman" w:hAnsi="Times New Roman" w:cs="Times New Roman"/>
          <w:sz w:val="24"/>
          <w:szCs w:val="24"/>
          <w:lang w:val="es-ES"/>
        </w:rPr>
        <w:t xml:space="preserve">, de un mecanismo </w:t>
      </w:r>
      <w:r w:rsidR="002D7D69" w:rsidRPr="00B22CA9">
        <w:rPr>
          <w:rFonts w:ascii="Times New Roman" w:hAnsi="Times New Roman" w:cs="Times New Roman"/>
          <w:sz w:val="24"/>
          <w:szCs w:val="24"/>
          <w:lang w:val="es-ES"/>
        </w:rPr>
        <w:t>útil</w:t>
      </w:r>
      <w:r w:rsidR="002F2862" w:rsidRPr="00B22CA9">
        <w:rPr>
          <w:rFonts w:ascii="Times New Roman" w:hAnsi="Times New Roman" w:cs="Times New Roman"/>
          <w:sz w:val="24"/>
          <w:szCs w:val="24"/>
          <w:lang w:val="es-ES"/>
        </w:rPr>
        <w:t xml:space="preserve"> para perfeccionar y afianzar la integración </w:t>
      </w:r>
      <w:r w:rsidR="00FF004D" w:rsidRPr="00B22CA9">
        <w:rPr>
          <w:rFonts w:ascii="Times New Roman" w:hAnsi="Times New Roman" w:cs="Times New Roman"/>
          <w:sz w:val="24"/>
          <w:szCs w:val="24"/>
          <w:lang w:val="es-ES"/>
        </w:rPr>
        <w:t xml:space="preserve">constitucional </w:t>
      </w:r>
      <w:r w:rsidR="002F2862" w:rsidRPr="00B22CA9">
        <w:rPr>
          <w:rFonts w:ascii="Times New Roman" w:hAnsi="Times New Roman" w:cs="Times New Roman"/>
          <w:sz w:val="24"/>
          <w:szCs w:val="24"/>
          <w:lang w:val="es-ES"/>
        </w:rPr>
        <w:t>dentro de los ámbitos de competencia y atribuciones de la Unión.</w:t>
      </w:r>
      <w:r w:rsidR="00FF004D" w:rsidRPr="00B22CA9">
        <w:rPr>
          <w:rFonts w:ascii="Times New Roman" w:hAnsi="Times New Roman" w:cs="Times New Roman"/>
          <w:sz w:val="24"/>
          <w:szCs w:val="24"/>
          <w:lang w:val="es-ES"/>
        </w:rPr>
        <w:t xml:space="preserve"> Sin embargo, </w:t>
      </w:r>
      <w:r w:rsidR="008F087C" w:rsidRPr="00B22CA9">
        <w:rPr>
          <w:rFonts w:ascii="Times New Roman" w:hAnsi="Times New Roman" w:cs="Times New Roman"/>
          <w:sz w:val="24"/>
          <w:szCs w:val="24"/>
          <w:lang w:val="es-ES"/>
        </w:rPr>
        <w:t>d</w:t>
      </w:r>
      <w:r w:rsidR="006E09DD" w:rsidRPr="00B22CA9">
        <w:rPr>
          <w:rFonts w:ascii="Times New Roman" w:hAnsi="Times New Roman" w:cs="Times New Roman"/>
          <w:sz w:val="24"/>
          <w:szCs w:val="24"/>
          <w:lang w:val="es-ES"/>
        </w:rPr>
        <w:t xml:space="preserve">esde el punto de vista normativo </w:t>
      </w:r>
      <w:r w:rsidR="008F087C" w:rsidRPr="00B22CA9">
        <w:rPr>
          <w:rFonts w:ascii="Times New Roman" w:hAnsi="Times New Roman" w:cs="Times New Roman"/>
          <w:sz w:val="24"/>
          <w:szCs w:val="24"/>
          <w:lang w:val="es-ES"/>
        </w:rPr>
        <w:t xml:space="preserve">no estaría justificado </w:t>
      </w:r>
      <w:r w:rsidR="006E09DD" w:rsidRPr="00B22CA9">
        <w:rPr>
          <w:rFonts w:ascii="Times New Roman" w:hAnsi="Times New Roman" w:cs="Times New Roman"/>
          <w:sz w:val="24"/>
          <w:szCs w:val="24"/>
          <w:lang w:val="es-ES"/>
        </w:rPr>
        <w:t xml:space="preserve">que </w:t>
      </w:r>
      <w:r w:rsidR="00FF004D" w:rsidRPr="00B22CA9">
        <w:rPr>
          <w:rFonts w:ascii="Times New Roman" w:hAnsi="Times New Roman" w:cs="Times New Roman"/>
          <w:sz w:val="24"/>
          <w:szCs w:val="24"/>
          <w:lang w:val="es-ES"/>
        </w:rPr>
        <w:t>en un procedimiento por</w:t>
      </w:r>
      <w:r w:rsidR="006E09DD" w:rsidRPr="00B22CA9">
        <w:rPr>
          <w:rFonts w:ascii="Times New Roman" w:hAnsi="Times New Roman" w:cs="Times New Roman"/>
          <w:sz w:val="24"/>
          <w:szCs w:val="24"/>
          <w:lang w:val="es-ES"/>
        </w:rPr>
        <w:t xml:space="preserve"> incumplimiento </w:t>
      </w:r>
      <w:r w:rsidR="00FF004D" w:rsidRPr="00B22CA9">
        <w:rPr>
          <w:rFonts w:ascii="Times New Roman" w:hAnsi="Times New Roman" w:cs="Times New Roman"/>
          <w:sz w:val="24"/>
          <w:szCs w:val="24"/>
          <w:lang w:val="es-ES"/>
        </w:rPr>
        <w:t xml:space="preserve">se </w:t>
      </w:r>
      <w:r w:rsidR="006E09DD" w:rsidRPr="00B22CA9">
        <w:rPr>
          <w:rFonts w:ascii="Times New Roman" w:hAnsi="Times New Roman" w:cs="Times New Roman"/>
          <w:sz w:val="24"/>
          <w:szCs w:val="24"/>
          <w:lang w:val="es-ES"/>
        </w:rPr>
        <w:t>proyectase</w:t>
      </w:r>
      <w:r w:rsidR="00FF004D" w:rsidRPr="00B22CA9">
        <w:rPr>
          <w:rFonts w:ascii="Times New Roman" w:hAnsi="Times New Roman" w:cs="Times New Roman"/>
          <w:sz w:val="24"/>
          <w:szCs w:val="24"/>
          <w:lang w:val="es-ES"/>
        </w:rPr>
        <w:t>n sobre los Estados</w:t>
      </w:r>
      <w:r w:rsidR="006E09DD" w:rsidRPr="00B22CA9">
        <w:rPr>
          <w:rFonts w:ascii="Times New Roman" w:hAnsi="Times New Roman" w:cs="Times New Roman"/>
          <w:sz w:val="24"/>
          <w:szCs w:val="24"/>
          <w:lang w:val="es-ES"/>
        </w:rPr>
        <w:t xml:space="preserve"> parámetros de control </w:t>
      </w:r>
      <w:r w:rsidR="005619D3" w:rsidRPr="00B22CA9">
        <w:rPr>
          <w:rFonts w:ascii="Times New Roman" w:hAnsi="Times New Roman" w:cs="Times New Roman"/>
          <w:sz w:val="24"/>
          <w:szCs w:val="24"/>
          <w:lang w:val="es-ES"/>
        </w:rPr>
        <w:t>o adecuación constitucional</w:t>
      </w:r>
      <w:r w:rsidR="008F087C" w:rsidRPr="00B22CA9">
        <w:rPr>
          <w:rFonts w:ascii="Times New Roman" w:hAnsi="Times New Roman" w:cs="Times New Roman"/>
          <w:sz w:val="24"/>
          <w:szCs w:val="24"/>
          <w:lang w:val="es-ES"/>
        </w:rPr>
        <w:t xml:space="preserve"> </w:t>
      </w:r>
      <w:r w:rsidR="00FF004D" w:rsidRPr="00B22CA9">
        <w:rPr>
          <w:rFonts w:ascii="Times New Roman" w:hAnsi="Times New Roman" w:cs="Times New Roman"/>
          <w:sz w:val="24"/>
          <w:szCs w:val="24"/>
          <w:lang w:val="es-ES"/>
        </w:rPr>
        <w:t>fuera de los que son</w:t>
      </w:r>
      <w:r w:rsidR="006E09DD" w:rsidRPr="00B22CA9">
        <w:rPr>
          <w:rFonts w:ascii="Times New Roman" w:hAnsi="Times New Roman" w:cs="Times New Roman"/>
          <w:sz w:val="24"/>
          <w:szCs w:val="24"/>
          <w:lang w:val="es-ES"/>
        </w:rPr>
        <w:t xml:space="preserve"> propios de las relaciones entre el </w:t>
      </w:r>
      <w:r w:rsidR="00427A50" w:rsidRPr="00B22CA9">
        <w:rPr>
          <w:rFonts w:ascii="Times New Roman" w:hAnsi="Times New Roman" w:cs="Times New Roman"/>
          <w:sz w:val="24"/>
          <w:szCs w:val="24"/>
          <w:lang w:val="es-ES"/>
        </w:rPr>
        <w:t>d</w:t>
      </w:r>
      <w:r w:rsidR="006E09DD" w:rsidRPr="00B22CA9">
        <w:rPr>
          <w:rFonts w:ascii="Times New Roman" w:hAnsi="Times New Roman" w:cs="Times New Roman"/>
          <w:sz w:val="24"/>
          <w:szCs w:val="24"/>
          <w:lang w:val="es-ES"/>
        </w:rPr>
        <w:t>erecho de la Unión y los Estados miembros</w:t>
      </w:r>
      <w:r w:rsidR="00FF004D" w:rsidRPr="00B22CA9">
        <w:rPr>
          <w:rFonts w:ascii="Times New Roman" w:hAnsi="Times New Roman" w:cs="Times New Roman"/>
          <w:sz w:val="24"/>
          <w:szCs w:val="24"/>
          <w:lang w:val="es-ES"/>
        </w:rPr>
        <w:t>. Cierto es que, en una situación de ruptura con valores constitucionales compartidos en un Estado miembro, los</w:t>
      </w:r>
      <w:r w:rsidR="0072493A" w:rsidRPr="00B22CA9">
        <w:rPr>
          <w:rFonts w:ascii="Times New Roman" w:hAnsi="Times New Roman" w:cs="Times New Roman"/>
          <w:sz w:val="24"/>
          <w:szCs w:val="24"/>
          <w:lang w:val="es-ES"/>
        </w:rPr>
        <w:t xml:space="preserve"> principio</w:t>
      </w:r>
      <w:r w:rsidR="00FF004D" w:rsidRPr="00B22CA9">
        <w:rPr>
          <w:rFonts w:ascii="Times New Roman" w:hAnsi="Times New Roman" w:cs="Times New Roman"/>
          <w:sz w:val="24"/>
          <w:szCs w:val="24"/>
          <w:lang w:val="es-ES"/>
        </w:rPr>
        <w:t>s</w:t>
      </w:r>
      <w:r w:rsidR="0072493A" w:rsidRPr="00B22CA9">
        <w:rPr>
          <w:rFonts w:ascii="Times New Roman" w:hAnsi="Times New Roman" w:cs="Times New Roman"/>
          <w:sz w:val="24"/>
          <w:szCs w:val="24"/>
          <w:lang w:val="es-ES"/>
        </w:rPr>
        <w:t xml:space="preserve"> de cooperación leal</w:t>
      </w:r>
      <w:r w:rsidR="000E060C" w:rsidRPr="00B22CA9">
        <w:rPr>
          <w:rFonts w:ascii="Times New Roman" w:hAnsi="Times New Roman" w:cs="Times New Roman"/>
          <w:sz w:val="24"/>
          <w:szCs w:val="24"/>
          <w:lang w:val="es-ES"/>
        </w:rPr>
        <w:t xml:space="preserve"> y </w:t>
      </w:r>
      <w:r w:rsidR="005903CC" w:rsidRPr="00B22CA9">
        <w:rPr>
          <w:rFonts w:ascii="Times New Roman" w:hAnsi="Times New Roman" w:cs="Times New Roman"/>
          <w:sz w:val="24"/>
          <w:szCs w:val="24"/>
          <w:lang w:val="es-ES"/>
        </w:rPr>
        <w:t>confianza mutua</w:t>
      </w:r>
      <w:r w:rsidR="00832623" w:rsidRPr="00B22CA9">
        <w:rPr>
          <w:rFonts w:ascii="Times New Roman" w:hAnsi="Times New Roman" w:cs="Times New Roman"/>
          <w:sz w:val="24"/>
          <w:szCs w:val="24"/>
          <w:lang w:val="es-ES"/>
        </w:rPr>
        <w:t xml:space="preserve"> se v</w:t>
      </w:r>
      <w:r w:rsidR="00FF004D" w:rsidRPr="00B22CA9">
        <w:rPr>
          <w:rFonts w:ascii="Times New Roman" w:hAnsi="Times New Roman" w:cs="Times New Roman"/>
          <w:sz w:val="24"/>
          <w:szCs w:val="24"/>
          <w:lang w:val="es-ES"/>
        </w:rPr>
        <w:t>erían</w:t>
      </w:r>
      <w:r w:rsidR="00832623" w:rsidRPr="00B22CA9">
        <w:rPr>
          <w:rFonts w:ascii="Times New Roman" w:hAnsi="Times New Roman" w:cs="Times New Roman"/>
          <w:sz w:val="24"/>
          <w:szCs w:val="24"/>
          <w:lang w:val="es-ES"/>
        </w:rPr>
        <w:t xml:space="preserve"> afectad</w:t>
      </w:r>
      <w:r w:rsidR="00427A50" w:rsidRPr="00B22CA9">
        <w:rPr>
          <w:rFonts w:ascii="Times New Roman" w:hAnsi="Times New Roman" w:cs="Times New Roman"/>
          <w:sz w:val="24"/>
          <w:szCs w:val="24"/>
          <w:lang w:val="es-ES"/>
        </w:rPr>
        <w:t>o</w:t>
      </w:r>
      <w:r w:rsidR="000E060C" w:rsidRPr="00B22CA9">
        <w:rPr>
          <w:rFonts w:ascii="Times New Roman" w:hAnsi="Times New Roman" w:cs="Times New Roman"/>
          <w:sz w:val="24"/>
          <w:szCs w:val="24"/>
          <w:lang w:val="es-ES"/>
        </w:rPr>
        <w:t>s</w:t>
      </w:r>
      <w:r w:rsidR="009E5459" w:rsidRPr="00B22CA9">
        <w:rPr>
          <w:rFonts w:ascii="Times New Roman" w:hAnsi="Times New Roman" w:cs="Times New Roman"/>
          <w:sz w:val="24"/>
          <w:szCs w:val="24"/>
          <w:lang w:val="es-ES"/>
        </w:rPr>
        <w:t xml:space="preserve"> (</w:t>
      </w:r>
      <w:proofErr w:type="spellStart"/>
      <w:r w:rsidR="009E5459" w:rsidRPr="00B22CA9">
        <w:rPr>
          <w:rFonts w:ascii="Times New Roman" w:hAnsi="Times New Roman" w:cs="Times New Roman"/>
          <w:sz w:val="24"/>
          <w:szCs w:val="24"/>
          <w:lang w:val="es-ES"/>
        </w:rPr>
        <w:t>Closa</w:t>
      </w:r>
      <w:proofErr w:type="spellEnd"/>
      <w:r w:rsidR="009E5459" w:rsidRPr="00B22CA9">
        <w:rPr>
          <w:rFonts w:ascii="Times New Roman" w:hAnsi="Times New Roman" w:cs="Times New Roman"/>
          <w:sz w:val="24"/>
          <w:szCs w:val="24"/>
          <w:lang w:val="es-ES"/>
        </w:rPr>
        <w:t xml:space="preserve"> </w:t>
      </w:r>
      <w:r w:rsidR="009E5459" w:rsidRPr="00B22CA9">
        <w:rPr>
          <w:rFonts w:ascii="Times New Roman" w:hAnsi="Times New Roman" w:cs="Times New Roman"/>
          <w:i/>
          <w:iCs/>
          <w:sz w:val="24"/>
          <w:szCs w:val="24"/>
          <w:lang w:val="es-ES"/>
        </w:rPr>
        <w:t>et al.</w:t>
      </w:r>
      <w:r w:rsidR="009E5459" w:rsidRPr="00B22CA9">
        <w:rPr>
          <w:rFonts w:ascii="Times New Roman" w:hAnsi="Times New Roman" w:cs="Times New Roman"/>
          <w:sz w:val="24"/>
          <w:szCs w:val="24"/>
          <w:lang w:val="es-ES"/>
        </w:rPr>
        <w:t>, 2016: 2)</w:t>
      </w:r>
      <w:r w:rsidR="00124381" w:rsidRPr="00B22CA9">
        <w:rPr>
          <w:rFonts w:ascii="Times New Roman" w:hAnsi="Times New Roman" w:cs="Times New Roman"/>
          <w:sz w:val="24"/>
          <w:szCs w:val="24"/>
          <w:lang w:val="es-ES"/>
        </w:rPr>
        <w:t>. Pero</w:t>
      </w:r>
      <w:r w:rsidR="000E060C" w:rsidRPr="00B22CA9">
        <w:rPr>
          <w:rFonts w:ascii="Times New Roman" w:hAnsi="Times New Roman" w:cs="Times New Roman"/>
          <w:sz w:val="24"/>
          <w:szCs w:val="24"/>
          <w:lang w:val="es-ES"/>
        </w:rPr>
        <w:t xml:space="preserve"> </w:t>
      </w:r>
      <w:r w:rsidR="0072493A" w:rsidRPr="00B22CA9">
        <w:rPr>
          <w:rFonts w:ascii="Times New Roman" w:hAnsi="Times New Roman" w:cs="Times New Roman"/>
          <w:sz w:val="24"/>
          <w:szCs w:val="24"/>
          <w:lang w:val="es-ES"/>
        </w:rPr>
        <w:t xml:space="preserve">la denuncia de incumplimiento </w:t>
      </w:r>
      <w:r w:rsidR="00124381" w:rsidRPr="00B22CA9">
        <w:rPr>
          <w:rFonts w:ascii="Times New Roman" w:hAnsi="Times New Roman" w:cs="Times New Roman"/>
          <w:sz w:val="24"/>
          <w:szCs w:val="24"/>
          <w:lang w:val="es-ES"/>
        </w:rPr>
        <w:t xml:space="preserve">ha de anudarse </w:t>
      </w:r>
      <w:r w:rsidR="0072493A" w:rsidRPr="00B22CA9">
        <w:rPr>
          <w:rFonts w:ascii="Times New Roman" w:hAnsi="Times New Roman" w:cs="Times New Roman"/>
          <w:sz w:val="24"/>
          <w:szCs w:val="24"/>
          <w:lang w:val="es-ES"/>
        </w:rPr>
        <w:t xml:space="preserve">a una obligación de </w:t>
      </w:r>
      <w:r w:rsidR="00427A50" w:rsidRPr="00B22CA9">
        <w:rPr>
          <w:rFonts w:ascii="Times New Roman" w:hAnsi="Times New Roman" w:cs="Times New Roman"/>
          <w:sz w:val="24"/>
          <w:szCs w:val="24"/>
          <w:lang w:val="es-ES"/>
        </w:rPr>
        <w:t>d</w:t>
      </w:r>
      <w:r w:rsidR="0072493A" w:rsidRPr="00B22CA9">
        <w:rPr>
          <w:rFonts w:ascii="Times New Roman" w:hAnsi="Times New Roman" w:cs="Times New Roman"/>
          <w:sz w:val="24"/>
          <w:szCs w:val="24"/>
          <w:lang w:val="es-ES"/>
        </w:rPr>
        <w:t xml:space="preserve">erecho </w:t>
      </w:r>
      <w:r w:rsidR="002377A5" w:rsidRPr="00B22CA9">
        <w:rPr>
          <w:rFonts w:ascii="Times New Roman" w:hAnsi="Times New Roman" w:cs="Times New Roman"/>
          <w:sz w:val="24"/>
          <w:szCs w:val="24"/>
          <w:lang w:val="es-ES"/>
        </w:rPr>
        <w:t>de la Unión</w:t>
      </w:r>
      <w:r w:rsidR="000E060C" w:rsidRPr="00B22CA9">
        <w:rPr>
          <w:rFonts w:ascii="Times New Roman" w:hAnsi="Times New Roman" w:cs="Times New Roman"/>
          <w:sz w:val="24"/>
          <w:szCs w:val="24"/>
          <w:lang w:val="es-ES"/>
        </w:rPr>
        <w:t xml:space="preserve"> </w:t>
      </w:r>
      <w:proofErr w:type="spellStart"/>
      <w:r w:rsidR="00124381" w:rsidRPr="00B22CA9">
        <w:rPr>
          <w:rFonts w:ascii="Times New Roman" w:hAnsi="Times New Roman" w:cs="Times New Roman"/>
          <w:sz w:val="24"/>
          <w:szCs w:val="24"/>
          <w:lang w:val="es-ES"/>
        </w:rPr>
        <w:t>concretable</w:t>
      </w:r>
      <w:proofErr w:type="spellEnd"/>
      <w:r w:rsidR="00124381" w:rsidRPr="00B22CA9">
        <w:rPr>
          <w:rFonts w:ascii="Times New Roman" w:hAnsi="Times New Roman" w:cs="Times New Roman"/>
          <w:sz w:val="24"/>
          <w:szCs w:val="24"/>
          <w:lang w:val="es-ES"/>
        </w:rPr>
        <w:t xml:space="preserve"> </w:t>
      </w:r>
      <w:r w:rsidR="000E060C" w:rsidRPr="00B22CA9">
        <w:rPr>
          <w:rFonts w:ascii="Times New Roman" w:hAnsi="Times New Roman" w:cs="Times New Roman"/>
          <w:sz w:val="24"/>
          <w:szCs w:val="24"/>
          <w:lang w:val="es-ES"/>
        </w:rPr>
        <w:t xml:space="preserve">y </w:t>
      </w:r>
      <w:r w:rsidR="00124381" w:rsidRPr="00B22CA9">
        <w:rPr>
          <w:rFonts w:ascii="Times New Roman" w:hAnsi="Times New Roman" w:cs="Times New Roman"/>
          <w:sz w:val="24"/>
          <w:szCs w:val="24"/>
          <w:lang w:val="es-ES"/>
        </w:rPr>
        <w:t>conectarse con</w:t>
      </w:r>
      <w:r w:rsidR="0072493A" w:rsidRPr="00B22CA9">
        <w:rPr>
          <w:rFonts w:ascii="Times New Roman" w:hAnsi="Times New Roman" w:cs="Times New Roman"/>
          <w:sz w:val="24"/>
          <w:szCs w:val="24"/>
          <w:lang w:val="es-ES"/>
        </w:rPr>
        <w:t xml:space="preserve"> ámbitos de </w:t>
      </w:r>
      <w:r w:rsidR="008F087C" w:rsidRPr="00B22CA9">
        <w:rPr>
          <w:rFonts w:ascii="Times New Roman" w:hAnsi="Times New Roman" w:cs="Times New Roman"/>
          <w:sz w:val="24"/>
          <w:szCs w:val="24"/>
          <w:lang w:val="es-ES"/>
        </w:rPr>
        <w:t xml:space="preserve">competencia </w:t>
      </w:r>
      <w:r w:rsidR="00124381" w:rsidRPr="00B22CA9">
        <w:rPr>
          <w:rFonts w:ascii="Times New Roman" w:hAnsi="Times New Roman" w:cs="Times New Roman"/>
          <w:sz w:val="24"/>
          <w:szCs w:val="24"/>
          <w:lang w:val="es-ES"/>
        </w:rPr>
        <w:t>y acción propios del orden supranacional.</w:t>
      </w:r>
      <w:r w:rsidR="008F087C" w:rsidRPr="00B22CA9">
        <w:rPr>
          <w:rFonts w:ascii="Times New Roman" w:hAnsi="Times New Roman" w:cs="Times New Roman"/>
          <w:sz w:val="24"/>
          <w:szCs w:val="24"/>
          <w:lang w:val="es-ES"/>
        </w:rPr>
        <w:t xml:space="preserve"> </w:t>
      </w:r>
      <w:r w:rsidR="00124381" w:rsidRPr="00B22CA9">
        <w:rPr>
          <w:rFonts w:ascii="Times New Roman" w:hAnsi="Times New Roman" w:cs="Times New Roman"/>
          <w:sz w:val="24"/>
          <w:szCs w:val="24"/>
          <w:lang w:val="es-ES"/>
        </w:rPr>
        <w:t>Haciendo un paralelismo instrumental con procedimientos de control de constitucionalidad en estados descentralizados, podría decirse que a</w:t>
      </w:r>
      <w:r w:rsidR="008F087C" w:rsidRPr="00B22CA9">
        <w:rPr>
          <w:rFonts w:ascii="Times New Roman" w:hAnsi="Times New Roman" w:cs="Times New Roman"/>
          <w:sz w:val="24"/>
          <w:szCs w:val="24"/>
          <w:lang w:val="es-ES"/>
        </w:rPr>
        <w:t xml:space="preserve"> través del recurso por incumplimiento</w:t>
      </w:r>
      <w:r w:rsidR="00F07049" w:rsidRPr="00B22CA9">
        <w:rPr>
          <w:rFonts w:ascii="Times New Roman" w:hAnsi="Times New Roman" w:cs="Times New Roman"/>
          <w:sz w:val="24"/>
          <w:szCs w:val="24"/>
          <w:lang w:val="es-ES"/>
        </w:rPr>
        <w:t xml:space="preserve"> siempre se estaría exigiendo la conformidad constitucional desde una comprensión competencial y conflictual (Rubio Llorente, 1992: 20)</w:t>
      </w:r>
      <w:r w:rsidR="008F087C" w:rsidRPr="00B22CA9">
        <w:rPr>
          <w:rFonts w:ascii="Times New Roman" w:hAnsi="Times New Roman" w:cs="Times New Roman"/>
          <w:sz w:val="24"/>
          <w:szCs w:val="24"/>
          <w:lang w:val="es-ES"/>
        </w:rPr>
        <w:t xml:space="preserve">, </w:t>
      </w:r>
      <w:r w:rsidR="00832623" w:rsidRPr="00B22CA9">
        <w:rPr>
          <w:rFonts w:ascii="Times New Roman" w:hAnsi="Times New Roman" w:cs="Times New Roman"/>
          <w:sz w:val="24"/>
          <w:szCs w:val="24"/>
          <w:lang w:val="es-ES"/>
        </w:rPr>
        <w:t xml:space="preserve">poniendo a la </w:t>
      </w:r>
      <w:r w:rsidR="008F087C" w:rsidRPr="00B22CA9">
        <w:rPr>
          <w:rFonts w:ascii="Times New Roman" w:hAnsi="Times New Roman" w:cs="Times New Roman"/>
          <w:sz w:val="24"/>
          <w:szCs w:val="24"/>
          <w:lang w:val="es-ES"/>
        </w:rPr>
        <w:t xml:space="preserve">Unión frente a </w:t>
      </w:r>
      <w:r w:rsidR="00832623" w:rsidRPr="00B22CA9">
        <w:rPr>
          <w:rFonts w:ascii="Times New Roman" w:hAnsi="Times New Roman" w:cs="Times New Roman"/>
          <w:sz w:val="24"/>
          <w:szCs w:val="24"/>
          <w:lang w:val="es-ES"/>
        </w:rPr>
        <w:t xml:space="preserve">los </w:t>
      </w:r>
      <w:r w:rsidR="008F087C" w:rsidRPr="00B22CA9">
        <w:rPr>
          <w:rFonts w:ascii="Times New Roman" w:hAnsi="Times New Roman" w:cs="Times New Roman"/>
          <w:sz w:val="24"/>
          <w:szCs w:val="24"/>
          <w:lang w:val="es-ES"/>
        </w:rPr>
        <w:t>Estados miembros</w:t>
      </w:r>
      <w:r w:rsidR="00124381" w:rsidRPr="00B22CA9">
        <w:rPr>
          <w:rFonts w:ascii="Times New Roman" w:hAnsi="Times New Roman" w:cs="Times New Roman"/>
          <w:sz w:val="24"/>
          <w:szCs w:val="24"/>
          <w:lang w:val="es-ES"/>
        </w:rPr>
        <w:t xml:space="preserve">. Si a través del incumplimiento se va a escrutar el respeto </w:t>
      </w:r>
      <w:r w:rsidR="0072493A" w:rsidRPr="00B22CA9">
        <w:rPr>
          <w:rFonts w:ascii="Times New Roman" w:hAnsi="Times New Roman" w:cs="Times New Roman"/>
          <w:sz w:val="24"/>
          <w:szCs w:val="24"/>
          <w:lang w:val="es-ES"/>
        </w:rPr>
        <w:t>a los valores constitucionales, la realización democrática del Estado, el imperio de la ley y los derechos fundamentales</w:t>
      </w:r>
      <w:r w:rsidR="008F087C" w:rsidRPr="00B22CA9">
        <w:rPr>
          <w:rFonts w:ascii="Times New Roman" w:hAnsi="Times New Roman" w:cs="Times New Roman"/>
          <w:sz w:val="24"/>
          <w:szCs w:val="24"/>
          <w:lang w:val="es-ES"/>
        </w:rPr>
        <w:t xml:space="preserve">, </w:t>
      </w:r>
      <w:r w:rsidR="00124381" w:rsidRPr="00B22CA9">
        <w:rPr>
          <w:rFonts w:ascii="Times New Roman" w:hAnsi="Times New Roman" w:cs="Times New Roman"/>
          <w:sz w:val="24"/>
          <w:szCs w:val="24"/>
          <w:lang w:val="es-ES"/>
        </w:rPr>
        <w:t xml:space="preserve">la controversia debe </w:t>
      </w:r>
      <w:r w:rsidR="008F087C" w:rsidRPr="00B22CA9">
        <w:rPr>
          <w:rFonts w:ascii="Times New Roman" w:hAnsi="Times New Roman" w:cs="Times New Roman"/>
          <w:sz w:val="24"/>
          <w:szCs w:val="24"/>
          <w:lang w:val="es-ES"/>
        </w:rPr>
        <w:t>ubica</w:t>
      </w:r>
      <w:r w:rsidR="00124381" w:rsidRPr="00B22CA9">
        <w:rPr>
          <w:rFonts w:ascii="Times New Roman" w:hAnsi="Times New Roman" w:cs="Times New Roman"/>
          <w:sz w:val="24"/>
          <w:szCs w:val="24"/>
          <w:lang w:val="es-ES"/>
        </w:rPr>
        <w:t>rse dentro</w:t>
      </w:r>
      <w:r w:rsidR="0072493A" w:rsidRPr="00B22CA9">
        <w:rPr>
          <w:rFonts w:ascii="Times New Roman" w:hAnsi="Times New Roman" w:cs="Times New Roman"/>
          <w:sz w:val="24"/>
          <w:szCs w:val="24"/>
          <w:lang w:val="es-ES"/>
        </w:rPr>
        <w:t xml:space="preserve"> de los ámbitos de competencia</w:t>
      </w:r>
      <w:r w:rsidR="008F087C" w:rsidRPr="00B22CA9">
        <w:rPr>
          <w:rFonts w:ascii="Times New Roman" w:hAnsi="Times New Roman" w:cs="Times New Roman"/>
          <w:sz w:val="24"/>
          <w:szCs w:val="24"/>
          <w:lang w:val="es-ES"/>
        </w:rPr>
        <w:t xml:space="preserve"> </w:t>
      </w:r>
      <w:r w:rsidR="00124381" w:rsidRPr="00B22CA9">
        <w:rPr>
          <w:rFonts w:ascii="Times New Roman" w:hAnsi="Times New Roman" w:cs="Times New Roman"/>
          <w:sz w:val="24"/>
          <w:szCs w:val="24"/>
          <w:lang w:val="es-ES"/>
        </w:rPr>
        <w:t>y anudarse a la</w:t>
      </w:r>
      <w:r w:rsidR="008F087C" w:rsidRPr="00B22CA9">
        <w:rPr>
          <w:rFonts w:ascii="Times New Roman" w:hAnsi="Times New Roman" w:cs="Times New Roman"/>
          <w:sz w:val="24"/>
          <w:szCs w:val="24"/>
          <w:lang w:val="es-ES"/>
        </w:rPr>
        <w:t xml:space="preserve"> efectividad del </w:t>
      </w:r>
      <w:r w:rsidR="00427A50" w:rsidRPr="00B22CA9">
        <w:rPr>
          <w:rFonts w:ascii="Times New Roman" w:hAnsi="Times New Roman" w:cs="Times New Roman"/>
          <w:sz w:val="24"/>
          <w:szCs w:val="24"/>
          <w:lang w:val="es-ES"/>
        </w:rPr>
        <w:t>d</w:t>
      </w:r>
      <w:r w:rsidR="008F087C" w:rsidRPr="00B22CA9">
        <w:rPr>
          <w:rFonts w:ascii="Times New Roman" w:hAnsi="Times New Roman" w:cs="Times New Roman"/>
          <w:sz w:val="24"/>
          <w:szCs w:val="24"/>
          <w:lang w:val="es-ES"/>
        </w:rPr>
        <w:t>erecho de la Unión</w:t>
      </w:r>
      <w:r w:rsidR="00124381" w:rsidRPr="00B22CA9">
        <w:rPr>
          <w:rFonts w:ascii="Times New Roman" w:hAnsi="Times New Roman" w:cs="Times New Roman"/>
          <w:sz w:val="24"/>
          <w:szCs w:val="24"/>
          <w:lang w:val="es-ES"/>
        </w:rPr>
        <w:t xml:space="preserve">. Fuera de ahí, los derechos </w:t>
      </w:r>
      <w:r w:rsidRPr="00B22CA9">
        <w:rPr>
          <w:rFonts w:ascii="Times New Roman" w:hAnsi="Times New Roman" w:cs="Times New Roman"/>
          <w:sz w:val="24"/>
          <w:szCs w:val="24"/>
          <w:lang w:val="es-ES"/>
        </w:rPr>
        <w:t>y lo</w:t>
      </w:r>
      <w:r w:rsidR="00124381" w:rsidRPr="00B22CA9">
        <w:rPr>
          <w:rFonts w:ascii="Times New Roman" w:hAnsi="Times New Roman" w:cs="Times New Roman"/>
          <w:sz w:val="24"/>
          <w:szCs w:val="24"/>
          <w:lang w:val="es-ES"/>
        </w:rPr>
        <w:t xml:space="preserve">s valores democráticos </w:t>
      </w:r>
      <w:r w:rsidRPr="00B22CA9">
        <w:rPr>
          <w:rFonts w:ascii="Times New Roman" w:hAnsi="Times New Roman" w:cs="Times New Roman"/>
          <w:sz w:val="24"/>
          <w:szCs w:val="24"/>
          <w:lang w:val="es-ES"/>
        </w:rPr>
        <w:t>son</w:t>
      </w:r>
      <w:r w:rsidR="0072493A" w:rsidRPr="00B22CA9">
        <w:rPr>
          <w:rFonts w:ascii="Times New Roman" w:hAnsi="Times New Roman" w:cs="Times New Roman"/>
          <w:sz w:val="24"/>
          <w:szCs w:val="24"/>
          <w:lang w:val="es-ES"/>
        </w:rPr>
        <w:t xml:space="preserve"> exigencias constitucionales internas</w:t>
      </w:r>
      <w:r w:rsidRPr="00B22CA9">
        <w:rPr>
          <w:rFonts w:ascii="Times New Roman" w:hAnsi="Times New Roman" w:cs="Times New Roman"/>
          <w:sz w:val="24"/>
          <w:szCs w:val="24"/>
          <w:lang w:val="es-ES"/>
        </w:rPr>
        <w:t>, de los Estados,</w:t>
      </w:r>
      <w:r w:rsidR="008F087C" w:rsidRPr="00B22CA9">
        <w:rPr>
          <w:rFonts w:ascii="Times New Roman" w:hAnsi="Times New Roman" w:cs="Times New Roman"/>
          <w:sz w:val="24"/>
          <w:szCs w:val="24"/>
          <w:lang w:val="es-ES"/>
        </w:rPr>
        <w:t xml:space="preserve"> reflejadas</w:t>
      </w:r>
      <w:r w:rsidR="00124381" w:rsidRPr="00B22CA9">
        <w:rPr>
          <w:rFonts w:ascii="Times New Roman" w:hAnsi="Times New Roman" w:cs="Times New Roman"/>
          <w:sz w:val="24"/>
          <w:szCs w:val="24"/>
          <w:lang w:val="es-ES"/>
        </w:rPr>
        <w:t xml:space="preserve"> </w:t>
      </w:r>
      <w:r w:rsidR="008F087C" w:rsidRPr="00B22CA9">
        <w:rPr>
          <w:rFonts w:ascii="Times New Roman" w:hAnsi="Times New Roman" w:cs="Times New Roman"/>
          <w:sz w:val="24"/>
          <w:szCs w:val="24"/>
          <w:lang w:val="es-ES"/>
        </w:rPr>
        <w:t xml:space="preserve">en los Tratados </w:t>
      </w:r>
      <w:r w:rsidR="00427A50" w:rsidRPr="00B22CA9">
        <w:rPr>
          <w:rFonts w:ascii="Times New Roman" w:hAnsi="Times New Roman" w:cs="Times New Roman"/>
          <w:sz w:val="24"/>
          <w:szCs w:val="24"/>
          <w:lang w:val="es-ES"/>
        </w:rPr>
        <w:t>constitutivos</w:t>
      </w:r>
      <w:r w:rsidR="0072493A" w:rsidRPr="00B22CA9">
        <w:rPr>
          <w:rFonts w:ascii="Times New Roman" w:hAnsi="Times New Roman" w:cs="Times New Roman"/>
          <w:sz w:val="24"/>
          <w:szCs w:val="24"/>
          <w:lang w:val="es-ES"/>
        </w:rPr>
        <w:t>.</w:t>
      </w:r>
    </w:p>
    <w:p w:rsidR="00C473EB" w:rsidRPr="00B22CA9" w:rsidRDefault="009175D9" w:rsidP="009175D9">
      <w:pPr>
        <w:spacing w:line="240" w:lineRule="auto"/>
        <w:ind w:firstLine="720"/>
        <w:jc w:val="both"/>
        <w:rPr>
          <w:rFonts w:ascii="Times New Roman" w:hAnsi="Times New Roman" w:cs="Times New Roman"/>
          <w:sz w:val="24"/>
          <w:szCs w:val="24"/>
          <w:lang w:val="es-ES"/>
        </w:rPr>
      </w:pPr>
      <w:r w:rsidRPr="00B22CA9">
        <w:rPr>
          <w:rFonts w:ascii="Times New Roman" w:hAnsi="Times New Roman" w:cs="Times New Roman"/>
          <w:sz w:val="24"/>
          <w:szCs w:val="24"/>
          <w:lang w:val="es-ES"/>
        </w:rPr>
        <w:t xml:space="preserve">La dimensión constitucional del incumplimiento está </w:t>
      </w:r>
      <w:r w:rsidR="00625A2F" w:rsidRPr="00B22CA9">
        <w:rPr>
          <w:rFonts w:ascii="Times New Roman" w:hAnsi="Times New Roman" w:cs="Times New Roman"/>
          <w:sz w:val="24"/>
          <w:szCs w:val="24"/>
          <w:lang w:val="es-ES"/>
        </w:rPr>
        <w:t xml:space="preserve">sujeta a esa pluralidad, </w:t>
      </w:r>
      <w:r w:rsidR="0060711B" w:rsidRPr="00B22CA9">
        <w:rPr>
          <w:rFonts w:ascii="Times New Roman" w:hAnsi="Times New Roman" w:cs="Times New Roman"/>
          <w:sz w:val="24"/>
          <w:szCs w:val="24"/>
          <w:lang w:val="es-ES"/>
        </w:rPr>
        <w:t>que constituye el</w:t>
      </w:r>
      <w:r w:rsidR="00625A2F" w:rsidRPr="00B22CA9">
        <w:rPr>
          <w:rFonts w:ascii="Times New Roman" w:hAnsi="Times New Roman" w:cs="Times New Roman"/>
          <w:sz w:val="24"/>
          <w:szCs w:val="24"/>
          <w:lang w:val="es-ES"/>
        </w:rPr>
        <w:t xml:space="preserve"> orden jurídico de la comunidad (Hesse, 2001: 6)</w:t>
      </w:r>
      <w:r w:rsidR="00592B22" w:rsidRPr="00B22CA9">
        <w:rPr>
          <w:rFonts w:ascii="Times New Roman" w:hAnsi="Times New Roman" w:cs="Times New Roman"/>
          <w:sz w:val="24"/>
          <w:szCs w:val="24"/>
          <w:lang w:val="es-ES"/>
        </w:rPr>
        <w:t>. A</w:t>
      </w:r>
      <w:r w:rsidR="00625A2F" w:rsidRPr="00B22CA9">
        <w:rPr>
          <w:rFonts w:ascii="Times New Roman" w:hAnsi="Times New Roman" w:cs="Times New Roman"/>
          <w:sz w:val="24"/>
          <w:szCs w:val="24"/>
          <w:lang w:val="es-ES"/>
        </w:rPr>
        <w:t>l</w:t>
      </w:r>
      <w:r w:rsidR="00592B22" w:rsidRPr="00B22CA9">
        <w:rPr>
          <w:rFonts w:ascii="Times New Roman" w:hAnsi="Times New Roman" w:cs="Times New Roman"/>
          <w:sz w:val="24"/>
          <w:szCs w:val="24"/>
          <w:lang w:val="es-ES"/>
        </w:rPr>
        <w:t xml:space="preserve"> mismo</w:t>
      </w:r>
      <w:r w:rsidR="00625A2F" w:rsidRPr="00B22CA9">
        <w:rPr>
          <w:rFonts w:ascii="Times New Roman" w:hAnsi="Times New Roman" w:cs="Times New Roman"/>
          <w:sz w:val="24"/>
          <w:szCs w:val="24"/>
          <w:lang w:val="es-ES"/>
        </w:rPr>
        <w:t xml:space="preserve"> tiempo </w:t>
      </w:r>
      <w:r w:rsidR="00592B22" w:rsidRPr="00B22CA9">
        <w:rPr>
          <w:rFonts w:ascii="Times New Roman" w:hAnsi="Times New Roman" w:cs="Times New Roman"/>
          <w:sz w:val="24"/>
          <w:szCs w:val="24"/>
          <w:lang w:val="es-ES"/>
        </w:rPr>
        <w:t>está</w:t>
      </w:r>
      <w:r w:rsidR="00625A2F" w:rsidRPr="00B22CA9">
        <w:rPr>
          <w:rFonts w:ascii="Times New Roman" w:hAnsi="Times New Roman" w:cs="Times New Roman"/>
          <w:sz w:val="24"/>
          <w:szCs w:val="24"/>
          <w:lang w:val="es-ES"/>
        </w:rPr>
        <w:t xml:space="preserve"> condicionada por </w:t>
      </w:r>
      <w:r w:rsidRPr="00B22CA9">
        <w:rPr>
          <w:rFonts w:ascii="Times New Roman" w:hAnsi="Times New Roman" w:cs="Times New Roman"/>
          <w:sz w:val="24"/>
          <w:szCs w:val="24"/>
          <w:lang w:val="es-ES"/>
        </w:rPr>
        <w:t xml:space="preserve">la ausencia </w:t>
      </w:r>
      <w:r w:rsidR="002D278C" w:rsidRPr="00B22CA9">
        <w:rPr>
          <w:rFonts w:ascii="Times New Roman" w:hAnsi="Times New Roman" w:cs="Times New Roman"/>
          <w:sz w:val="24"/>
          <w:szCs w:val="24"/>
          <w:lang w:val="es-ES"/>
        </w:rPr>
        <w:t>de</w:t>
      </w:r>
      <w:r w:rsidR="000478B3" w:rsidRPr="00B22CA9">
        <w:rPr>
          <w:rFonts w:ascii="Times New Roman" w:hAnsi="Times New Roman" w:cs="Times New Roman"/>
          <w:sz w:val="24"/>
          <w:szCs w:val="24"/>
          <w:lang w:val="es-ES"/>
        </w:rPr>
        <w:t xml:space="preserve"> un pacto constitucional </w:t>
      </w:r>
      <w:r w:rsidR="00592F9C" w:rsidRPr="00B22CA9">
        <w:rPr>
          <w:rFonts w:ascii="Times New Roman" w:hAnsi="Times New Roman" w:cs="Times New Roman"/>
          <w:sz w:val="24"/>
          <w:szCs w:val="24"/>
          <w:lang w:val="es-ES"/>
        </w:rPr>
        <w:t>único</w:t>
      </w:r>
      <w:r w:rsidR="00625A2F" w:rsidRPr="00B22CA9">
        <w:rPr>
          <w:rFonts w:ascii="Times New Roman" w:hAnsi="Times New Roman" w:cs="Times New Roman"/>
          <w:sz w:val="24"/>
          <w:szCs w:val="24"/>
          <w:lang w:val="es-ES"/>
        </w:rPr>
        <w:t xml:space="preserve"> </w:t>
      </w:r>
      <w:r w:rsidR="002D278C" w:rsidRPr="00B22CA9">
        <w:rPr>
          <w:rFonts w:ascii="Times New Roman" w:hAnsi="Times New Roman" w:cs="Times New Roman"/>
          <w:sz w:val="24"/>
          <w:szCs w:val="24"/>
          <w:lang w:val="es-ES"/>
        </w:rPr>
        <w:t>(</w:t>
      </w:r>
      <w:proofErr w:type="spellStart"/>
      <w:r w:rsidR="00007D20" w:rsidRPr="00B22CA9">
        <w:rPr>
          <w:rFonts w:ascii="Times New Roman" w:hAnsi="Times New Roman" w:cs="Times New Roman"/>
          <w:sz w:val="24"/>
          <w:szCs w:val="24"/>
          <w:lang w:val="es-ES"/>
        </w:rPr>
        <w:t>Groppi</w:t>
      </w:r>
      <w:proofErr w:type="spellEnd"/>
      <w:r w:rsidR="00007D20" w:rsidRPr="00B22CA9">
        <w:rPr>
          <w:rFonts w:ascii="Times New Roman" w:hAnsi="Times New Roman" w:cs="Times New Roman"/>
          <w:sz w:val="24"/>
          <w:szCs w:val="24"/>
          <w:lang w:val="es-ES"/>
        </w:rPr>
        <w:t>, 2005: 35</w:t>
      </w:r>
      <w:r w:rsidR="002D278C" w:rsidRPr="00B22CA9">
        <w:rPr>
          <w:rFonts w:ascii="Times New Roman" w:hAnsi="Times New Roman" w:cs="Times New Roman"/>
          <w:sz w:val="24"/>
          <w:szCs w:val="24"/>
          <w:lang w:val="es-ES"/>
        </w:rPr>
        <w:t>)</w:t>
      </w:r>
      <w:r w:rsidR="00462FD4" w:rsidRPr="00B22CA9">
        <w:rPr>
          <w:rStyle w:val="Refdenotaalpie"/>
          <w:rFonts w:ascii="Times New Roman" w:hAnsi="Times New Roman" w:cs="Times New Roman"/>
          <w:sz w:val="24"/>
          <w:szCs w:val="24"/>
          <w:lang w:val="es-ES"/>
        </w:rPr>
        <w:footnoteReference w:id="32"/>
      </w:r>
      <w:r w:rsidR="00462FD4" w:rsidRPr="00B22CA9">
        <w:rPr>
          <w:rFonts w:ascii="Times New Roman" w:hAnsi="Times New Roman" w:cs="Times New Roman"/>
          <w:sz w:val="24"/>
          <w:szCs w:val="24"/>
          <w:lang w:val="es-ES"/>
        </w:rPr>
        <w:t>. De tal pluralidad</w:t>
      </w:r>
      <w:r w:rsidR="00592F9C" w:rsidRPr="00B22CA9">
        <w:rPr>
          <w:rFonts w:ascii="Times New Roman" w:hAnsi="Times New Roman" w:cs="Times New Roman"/>
          <w:sz w:val="24"/>
          <w:szCs w:val="24"/>
          <w:lang w:val="es-ES"/>
        </w:rPr>
        <w:t xml:space="preserve"> no puede prescindirse</w:t>
      </w:r>
      <w:r w:rsidR="00592B22" w:rsidRPr="00B22CA9">
        <w:rPr>
          <w:rFonts w:ascii="Times New Roman" w:hAnsi="Times New Roman" w:cs="Times New Roman"/>
          <w:sz w:val="24"/>
          <w:szCs w:val="24"/>
          <w:lang w:val="es-ES"/>
        </w:rPr>
        <w:t xml:space="preserve">, para hacer un juicio abstracto en un conflicto de derechos fundamentales, </w:t>
      </w:r>
      <w:r w:rsidRPr="00B22CA9">
        <w:rPr>
          <w:rFonts w:ascii="Times New Roman" w:hAnsi="Times New Roman" w:cs="Times New Roman"/>
          <w:sz w:val="24"/>
          <w:szCs w:val="24"/>
          <w:lang w:val="es-ES"/>
        </w:rPr>
        <w:t xml:space="preserve">sin vulnerar </w:t>
      </w:r>
      <w:r w:rsidR="00625A2F" w:rsidRPr="00B22CA9">
        <w:rPr>
          <w:rFonts w:ascii="Times New Roman" w:hAnsi="Times New Roman" w:cs="Times New Roman"/>
          <w:sz w:val="24"/>
          <w:szCs w:val="24"/>
          <w:lang w:val="es-ES"/>
        </w:rPr>
        <w:t>sus</w:t>
      </w:r>
      <w:r w:rsidRPr="00B22CA9">
        <w:rPr>
          <w:rFonts w:ascii="Times New Roman" w:hAnsi="Times New Roman" w:cs="Times New Roman"/>
          <w:sz w:val="24"/>
          <w:szCs w:val="24"/>
          <w:lang w:val="es-ES"/>
        </w:rPr>
        <w:t xml:space="preserve"> fundamentos</w:t>
      </w:r>
      <w:r w:rsidR="00592B22" w:rsidRPr="00B22CA9">
        <w:rPr>
          <w:rFonts w:ascii="Times New Roman" w:hAnsi="Times New Roman" w:cs="Times New Roman"/>
          <w:sz w:val="24"/>
          <w:szCs w:val="24"/>
          <w:lang w:val="es-ES"/>
        </w:rPr>
        <w:t xml:space="preserve">. Las condiciones </w:t>
      </w:r>
      <w:r w:rsidRPr="00B22CA9">
        <w:rPr>
          <w:rFonts w:ascii="Times New Roman" w:hAnsi="Times New Roman" w:cs="Times New Roman"/>
          <w:sz w:val="24"/>
          <w:szCs w:val="24"/>
          <w:lang w:val="es-ES"/>
        </w:rPr>
        <w:t>de conformidad con princi</w:t>
      </w:r>
      <w:r w:rsidR="00CB7AA6" w:rsidRPr="00B22CA9">
        <w:rPr>
          <w:rFonts w:ascii="Times New Roman" w:hAnsi="Times New Roman" w:cs="Times New Roman"/>
          <w:sz w:val="24"/>
          <w:szCs w:val="24"/>
          <w:lang w:val="es-ES"/>
        </w:rPr>
        <w:t>pi</w:t>
      </w:r>
      <w:r w:rsidRPr="00B22CA9">
        <w:rPr>
          <w:rFonts w:ascii="Times New Roman" w:hAnsi="Times New Roman" w:cs="Times New Roman"/>
          <w:sz w:val="24"/>
          <w:szCs w:val="24"/>
          <w:lang w:val="es-ES"/>
        </w:rPr>
        <w:t>os democráticos y derechos fundamentales</w:t>
      </w:r>
      <w:r w:rsidR="005F5F59" w:rsidRPr="00B22CA9">
        <w:rPr>
          <w:rFonts w:ascii="Times New Roman" w:hAnsi="Times New Roman" w:cs="Times New Roman"/>
          <w:sz w:val="24"/>
          <w:szCs w:val="24"/>
          <w:lang w:val="es-ES"/>
        </w:rPr>
        <w:t xml:space="preserve"> no son exclusiv</w:t>
      </w:r>
      <w:r w:rsidR="00592B22" w:rsidRPr="00B22CA9">
        <w:rPr>
          <w:rFonts w:ascii="Times New Roman" w:hAnsi="Times New Roman" w:cs="Times New Roman"/>
          <w:sz w:val="24"/>
          <w:szCs w:val="24"/>
          <w:lang w:val="es-ES"/>
        </w:rPr>
        <w:t>a</w:t>
      </w:r>
      <w:r w:rsidR="005F5F59" w:rsidRPr="00B22CA9">
        <w:rPr>
          <w:rFonts w:ascii="Times New Roman" w:hAnsi="Times New Roman" w:cs="Times New Roman"/>
          <w:sz w:val="24"/>
          <w:szCs w:val="24"/>
          <w:lang w:val="es-ES"/>
        </w:rPr>
        <w:t>s del orden sup</w:t>
      </w:r>
      <w:r w:rsidRPr="00B22CA9">
        <w:rPr>
          <w:rFonts w:ascii="Times New Roman" w:hAnsi="Times New Roman" w:cs="Times New Roman"/>
          <w:sz w:val="24"/>
          <w:szCs w:val="24"/>
          <w:lang w:val="es-ES"/>
        </w:rPr>
        <w:t>ranacional</w:t>
      </w:r>
      <w:r w:rsidR="00625A2F" w:rsidRPr="00B22CA9">
        <w:rPr>
          <w:rFonts w:ascii="Times New Roman" w:hAnsi="Times New Roman" w:cs="Times New Roman"/>
          <w:sz w:val="24"/>
          <w:szCs w:val="24"/>
          <w:lang w:val="es-ES"/>
        </w:rPr>
        <w:t xml:space="preserve"> y no deberían proyectarse desde la Unión sobre los Estados sin más</w:t>
      </w:r>
      <w:r w:rsidR="00317538" w:rsidRPr="00B22CA9">
        <w:rPr>
          <w:rFonts w:ascii="Times New Roman" w:hAnsi="Times New Roman" w:cs="Times New Roman"/>
          <w:sz w:val="24"/>
          <w:szCs w:val="24"/>
          <w:lang w:val="es-ES"/>
        </w:rPr>
        <w:t>.</w:t>
      </w:r>
      <w:r w:rsidR="00C473EB" w:rsidRPr="00B22CA9">
        <w:rPr>
          <w:rFonts w:ascii="Times New Roman" w:hAnsi="Times New Roman" w:cs="Times New Roman"/>
          <w:sz w:val="24"/>
          <w:szCs w:val="24"/>
          <w:lang w:val="es-ES"/>
        </w:rPr>
        <w:t xml:space="preserve"> </w:t>
      </w:r>
      <w:r w:rsidR="006C66C4" w:rsidRPr="00B22CA9">
        <w:rPr>
          <w:rFonts w:ascii="Times New Roman" w:hAnsi="Times New Roman" w:cs="Times New Roman"/>
          <w:sz w:val="24"/>
          <w:szCs w:val="24"/>
          <w:lang w:val="es-ES"/>
        </w:rPr>
        <w:t xml:space="preserve">El </w:t>
      </w:r>
      <w:r w:rsidR="00427A50" w:rsidRPr="00B22CA9">
        <w:rPr>
          <w:rFonts w:ascii="Times New Roman" w:hAnsi="Times New Roman" w:cs="Times New Roman"/>
          <w:sz w:val="24"/>
          <w:szCs w:val="24"/>
          <w:lang w:val="es-ES"/>
        </w:rPr>
        <w:t>d</w:t>
      </w:r>
      <w:r w:rsidR="006C66C4" w:rsidRPr="00B22CA9">
        <w:rPr>
          <w:rFonts w:ascii="Times New Roman" w:hAnsi="Times New Roman" w:cs="Times New Roman"/>
          <w:sz w:val="24"/>
          <w:szCs w:val="24"/>
          <w:lang w:val="es-ES"/>
        </w:rPr>
        <w:t xml:space="preserve">erecho de la Unión indica </w:t>
      </w:r>
      <w:r w:rsidR="00C473EB" w:rsidRPr="00B22CA9">
        <w:rPr>
          <w:rFonts w:ascii="Times New Roman" w:hAnsi="Times New Roman" w:cs="Times New Roman"/>
          <w:sz w:val="24"/>
          <w:szCs w:val="24"/>
          <w:lang w:val="es-ES"/>
        </w:rPr>
        <w:t xml:space="preserve">las formas y límites de la acción de sus </w:t>
      </w:r>
      <w:r w:rsidR="00E32202" w:rsidRPr="00B22CA9">
        <w:rPr>
          <w:rFonts w:ascii="Times New Roman" w:hAnsi="Times New Roman" w:cs="Times New Roman"/>
          <w:sz w:val="24"/>
          <w:szCs w:val="24"/>
          <w:lang w:val="es-ES"/>
        </w:rPr>
        <w:t>i</w:t>
      </w:r>
      <w:r w:rsidR="00C473EB" w:rsidRPr="00B22CA9">
        <w:rPr>
          <w:rFonts w:ascii="Times New Roman" w:hAnsi="Times New Roman" w:cs="Times New Roman"/>
          <w:sz w:val="24"/>
          <w:szCs w:val="24"/>
          <w:lang w:val="es-ES"/>
        </w:rPr>
        <w:t>nstituciones y</w:t>
      </w:r>
      <w:r w:rsidR="00317538" w:rsidRPr="00B22CA9">
        <w:rPr>
          <w:rFonts w:ascii="Times New Roman" w:hAnsi="Times New Roman" w:cs="Times New Roman"/>
          <w:sz w:val="24"/>
          <w:szCs w:val="24"/>
          <w:lang w:val="es-ES"/>
        </w:rPr>
        <w:t xml:space="preserve"> </w:t>
      </w:r>
      <w:r w:rsidR="00625A2F" w:rsidRPr="00B22CA9">
        <w:rPr>
          <w:rFonts w:ascii="Times New Roman" w:hAnsi="Times New Roman" w:cs="Times New Roman"/>
          <w:sz w:val="24"/>
          <w:szCs w:val="24"/>
          <w:lang w:val="es-ES"/>
        </w:rPr>
        <w:t>también los</w:t>
      </w:r>
      <w:r w:rsidR="006C66C4" w:rsidRPr="00B22CA9">
        <w:rPr>
          <w:rFonts w:ascii="Times New Roman" w:hAnsi="Times New Roman" w:cs="Times New Roman"/>
          <w:sz w:val="24"/>
          <w:szCs w:val="24"/>
          <w:lang w:val="es-ES"/>
        </w:rPr>
        <w:t xml:space="preserve"> de </w:t>
      </w:r>
      <w:r w:rsidR="00C473EB" w:rsidRPr="00B22CA9">
        <w:rPr>
          <w:rFonts w:ascii="Times New Roman" w:hAnsi="Times New Roman" w:cs="Times New Roman"/>
          <w:sz w:val="24"/>
          <w:szCs w:val="24"/>
          <w:lang w:val="es-ES"/>
        </w:rPr>
        <w:t>los Estados</w:t>
      </w:r>
      <w:r w:rsidR="00625A2F" w:rsidRPr="00B22CA9">
        <w:rPr>
          <w:rFonts w:ascii="Times New Roman" w:hAnsi="Times New Roman" w:cs="Times New Roman"/>
          <w:sz w:val="24"/>
          <w:szCs w:val="24"/>
          <w:lang w:val="es-ES"/>
        </w:rPr>
        <w:t xml:space="preserve"> </w:t>
      </w:r>
      <w:r w:rsidR="006C66C4" w:rsidRPr="00B22CA9">
        <w:rPr>
          <w:rFonts w:ascii="Times New Roman" w:hAnsi="Times New Roman" w:cs="Times New Roman"/>
          <w:sz w:val="24"/>
          <w:szCs w:val="24"/>
          <w:lang w:val="es-ES"/>
        </w:rPr>
        <w:t>cuando actúan dentro de</w:t>
      </w:r>
      <w:r w:rsidR="00625A2F" w:rsidRPr="00B22CA9">
        <w:rPr>
          <w:rFonts w:ascii="Times New Roman" w:hAnsi="Times New Roman" w:cs="Times New Roman"/>
          <w:sz w:val="24"/>
          <w:szCs w:val="24"/>
          <w:lang w:val="es-ES"/>
        </w:rPr>
        <w:t>l</w:t>
      </w:r>
      <w:r w:rsidR="006C66C4" w:rsidRPr="00B22CA9">
        <w:rPr>
          <w:rFonts w:ascii="Times New Roman" w:hAnsi="Times New Roman" w:cs="Times New Roman"/>
          <w:sz w:val="24"/>
          <w:szCs w:val="24"/>
          <w:lang w:val="es-ES"/>
        </w:rPr>
        <w:t xml:space="preserve"> ámbito de eficacia</w:t>
      </w:r>
      <w:r w:rsidR="00625A2F" w:rsidRPr="00B22CA9">
        <w:rPr>
          <w:rFonts w:ascii="Times New Roman" w:hAnsi="Times New Roman" w:cs="Times New Roman"/>
          <w:sz w:val="24"/>
          <w:szCs w:val="24"/>
          <w:lang w:val="es-ES"/>
        </w:rPr>
        <w:t xml:space="preserve"> del mismo</w:t>
      </w:r>
      <w:r w:rsidR="00592B22" w:rsidRPr="00B22CA9">
        <w:rPr>
          <w:rFonts w:ascii="Times New Roman" w:hAnsi="Times New Roman" w:cs="Times New Roman"/>
          <w:sz w:val="24"/>
          <w:szCs w:val="24"/>
          <w:lang w:val="es-ES"/>
        </w:rPr>
        <w:t xml:space="preserve">, pero </w:t>
      </w:r>
      <w:r w:rsidR="00317538" w:rsidRPr="00B22CA9">
        <w:rPr>
          <w:rFonts w:ascii="Times New Roman" w:hAnsi="Times New Roman" w:cs="Times New Roman"/>
          <w:sz w:val="24"/>
          <w:szCs w:val="24"/>
          <w:lang w:val="es-ES"/>
        </w:rPr>
        <w:t>incluso entonces habrá</w:t>
      </w:r>
      <w:r w:rsidR="00054860" w:rsidRPr="00B22CA9">
        <w:rPr>
          <w:rFonts w:ascii="Times New Roman" w:hAnsi="Times New Roman" w:cs="Times New Roman"/>
          <w:sz w:val="24"/>
          <w:szCs w:val="24"/>
          <w:lang w:val="es-ES"/>
        </w:rPr>
        <w:t xml:space="preserve"> casos en los que </w:t>
      </w:r>
      <w:r w:rsidR="006C66C4" w:rsidRPr="00B22CA9">
        <w:rPr>
          <w:rFonts w:ascii="Times New Roman" w:hAnsi="Times New Roman" w:cs="Times New Roman"/>
          <w:sz w:val="24"/>
          <w:szCs w:val="24"/>
          <w:lang w:val="es-ES"/>
        </w:rPr>
        <w:t>los</w:t>
      </w:r>
      <w:r w:rsidR="00317538" w:rsidRPr="00B22CA9">
        <w:rPr>
          <w:rFonts w:ascii="Times New Roman" w:hAnsi="Times New Roman" w:cs="Times New Roman"/>
          <w:sz w:val="24"/>
          <w:szCs w:val="24"/>
          <w:lang w:val="es-ES"/>
        </w:rPr>
        <w:t xml:space="preserve"> referentes </w:t>
      </w:r>
      <w:r w:rsidR="00C473EB" w:rsidRPr="00B22CA9">
        <w:rPr>
          <w:rFonts w:ascii="Times New Roman" w:hAnsi="Times New Roman" w:cs="Times New Roman"/>
          <w:sz w:val="24"/>
          <w:szCs w:val="24"/>
          <w:lang w:val="es-ES"/>
        </w:rPr>
        <w:t>de c</w:t>
      </w:r>
      <w:r w:rsidR="006C66C4" w:rsidRPr="00B22CA9">
        <w:rPr>
          <w:rFonts w:ascii="Times New Roman" w:hAnsi="Times New Roman" w:cs="Times New Roman"/>
          <w:sz w:val="24"/>
          <w:szCs w:val="24"/>
          <w:lang w:val="es-ES"/>
        </w:rPr>
        <w:t xml:space="preserve">onstitucionalidad </w:t>
      </w:r>
      <w:r w:rsidR="00054860" w:rsidRPr="00B22CA9">
        <w:rPr>
          <w:rFonts w:ascii="Times New Roman" w:hAnsi="Times New Roman" w:cs="Times New Roman"/>
          <w:sz w:val="24"/>
          <w:szCs w:val="24"/>
          <w:lang w:val="es-ES"/>
        </w:rPr>
        <w:t xml:space="preserve">no puedan establecerse prescindiendo de </w:t>
      </w:r>
      <w:r w:rsidR="006C66C4" w:rsidRPr="00B22CA9">
        <w:rPr>
          <w:rFonts w:ascii="Times New Roman" w:hAnsi="Times New Roman" w:cs="Times New Roman"/>
          <w:sz w:val="24"/>
          <w:szCs w:val="24"/>
          <w:lang w:val="es-ES"/>
        </w:rPr>
        <w:t xml:space="preserve">la </w:t>
      </w:r>
      <w:r w:rsidR="00427A50" w:rsidRPr="00B22CA9">
        <w:rPr>
          <w:rFonts w:ascii="Times New Roman" w:hAnsi="Times New Roman" w:cs="Times New Roman"/>
          <w:sz w:val="24"/>
          <w:szCs w:val="24"/>
          <w:lang w:val="es-ES"/>
        </w:rPr>
        <w:t>c</w:t>
      </w:r>
      <w:r w:rsidR="006C66C4" w:rsidRPr="00B22CA9">
        <w:rPr>
          <w:rFonts w:ascii="Times New Roman" w:hAnsi="Times New Roman" w:cs="Times New Roman"/>
          <w:sz w:val="24"/>
          <w:szCs w:val="24"/>
          <w:lang w:val="es-ES"/>
        </w:rPr>
        <w:t>onstitución</w:t>
      </w:r>
      <w:r w:rsidR="0061267F" w:rsidRPr="00B22CA9">
        <w:rPr>
          <w:rFonts w:ascii="Times New Roman" w:hAnsi="Times New Roman" w:cs="Times New Roman"/>
          <w:sz w:val="24"/>
          <w:szCs w:val="24"/>
          <w:lang w:val="es-ES"/>
        </w:rPr>
        <w:t xml:space="preserve"> del Estado miembro</w:t>
      </w:r>
      <w:r w:rsidR="00AA4F41" w:rsidRPr="00B22CA9">
        <w:rPr>
          <w:rFonts w:ascii="Times New Roman" w:hAnsi="Times New Roman" w:cs="Times New Roman"/>
          <w:sz w:val="24"/>
          <w:szCs w:val="24"/>
          <w:lang w:val="es-ES"/>
        </w:rPr>
        <w:t xml:space="preserve">. </w:t>
      </w:r>
      <w:r w:rsidR="00617B41" w:rsidRPr="00B22CA9">
        <w:rPr>
          <w:rFonts w:ascii="Times New Roman" w:hAnsi="Times New Roman" w:cs="Times New Roman"/>
          <w:sz w:val="24"/>
          <w:szCs w:val="24"/>
          <w:lang w:val="es-ES"/>
        </w:rPr>
        <w:t>E</w:t>
      </w:r>
      <w:r w:rsidR="00AA4F41" w:rsidRPr="00B22CA9">
        <w:rPr>
          <w:rFonts w:ascii="Times New Roman" w:hAnsi="Times New Roman" w:cs="Times New Roman"/>
          <w:sz w:val="24"/>
          <w:szCs w:val="24"/>
          <w:lang w:val="es-ES"/>
        </w:rPr>
        <w:t xml:space="preserve">sa </w:t>
      </w:r>
      <w:r w:rsidR="00427A50" w:rsidRPr="00B22CA9">
        <w:rPr>
          <w:rFonts w:ascii="Times New Roman" w:hAnsi="Times New Roman" w:cs="Times New Roman"/>
          <w:sz w:val="24"/>
          <w:szCs w:val="24"/>
          <w:lang w:val="es-ES"/>
        </w:rPr>
        <w:t>c</w:t>
      </w:r>
      <w:r w:rsidR="00AA4F41" w:rsidRPr="00B22CA9">
        <w:rPr>
          <w:rFonts w:ascii="Times New Roman" w:hAnsi="Times New Roman" w:cs="Times New Roman"/>
          <w:sz w:val="24"/>
          <w:szCs w:val="24"/>
          <w:lang w:val="es-ES"/>
        </w:rPr>
        <w:t xml:space="preserve">onstitución, </w:t>
      </w:r>
      <w:r w:rsidR="00592F9C" w:rsidRPr="00B22CA9">
        <w:rPr>
          <w:rFonts w:ascii="Times New Roman" w:hAnsi="Times New Roman" w:cs="Times New Roman"/>
          <w:sz w:val="24"/>
          <w:szCs w:val="24"/>
          <w:lang w:val="es-ES"/>
        </w:rPr>
        <w:t>por estar reflejada en los Tratados</w:t>
      </w:r>
      <w:r w:rsidR="00054860" w:rsidRPr="00B22CA9">
        <w:rPr>
          <w:rFonts w:ascii="Times New Roman" w:hAnsi="Times New Roman" w:cs="Times New Roman"/>
          <w:sz w:val="24"/>
          <w:szCs w:val="24"/>
          <w:lang w:val="es-ES"/>
        </w:rPr>
        <w:t xml:space="preserve">, </w:t>
      </w:r>
      <w:r w:rsidR="00AA4F41" w:rsidRPr="00B22CA9">
        <w:rPr>
          <w:rFonts w:ascii="Times New Roman" w:hAnsi="Times New Roman" w:cs="Times New Roman"/>
          <w:sz w:val="24"/>
          <w:szCs w:val="24"/>
          <w:lang w:val="es-ES"/>
        </w:rPr>
        <w:t xml:space="preserve">se entiende </w:t>
      </w:r>
      <w:r w:rsidR="00054860" w:rsidRPr="00B22CA9">
        <w:rPr>
          <w:rFonts w:ascii="Times New Roman" w:hAnsi="Times New Roman" w:cs="Times New Roman"/>
          <w:sz w:val="24"/>
          <w:szCs w:val="24"/>
          <w:lang w:val="es-ES"/>
        </w:rPr>
        <w:t>adscrita a</w:t>
      </w:r>
      <w:r w:rsidR="00AA4F41" w:rsidRPr="00B22CA9">
        <w:rPr>
          <w:rFonts w:ascii="Times New Roman" w:hAnsi="Times New Roman" w:cs="Times New Roman"/>
          <w:sz w:val="24"/>
          <w:szCs w:val="24"/>
          <w:lang w:val="es-ES"/>
        </w:rPr>
        <w:t>l</w:t>
      </w:r>
      <w:r w:rsidR="00054860" w:rsidRPr="00B22CA9">
        <w:rPr>
          <w:rFonts w:ascii="Times New Roman" w:hAnsi="Times New Roman" w:cs="Times New Roman"/>
          <w:sz w:val="24"/>
          <w:szCs w:val="24"/>
          <w:lang w:val="es-ES"/>
        </w:rPr>
        <w:t xml:space="preserve"> orden plural</w:t>
      </w:r>
      <w:r w:rsidR="00AA4F41" w:rsidRPr="00B22CA9">
        <w:rPr>
          <w:rFonts w:ascii="Times New Roman" w:hAnsi="Times New Roman" w:cs="Times New Roman"/>
          <w:sz w:val="24"/>
          <w:szCs w:val="24"/>
          <w:lang w:val="es-ES"/>
        </w:rPr>
        <w:t xml:space="preserve"> y </w:t>
      </w:r>
      <w:r w:rsidR="0061267F" w:rsidRPr="00B22CA9">
        <w:rPr>
          <w:rFonts w:ascii="Times New Roman" w:hAnsi="Times New Roman" w:cs="Times New Roman"/>
          <w:sz w:val="24"/>
          <w:szCs w:val="24"/>
          <w:lang w:val="es-ES"/>
        </w:rPr>
        <w:t>habrá de respon</w:t>
      </w:r>
      <w:r w:rsidR="00054860" w:rsidRPr="00B22CA9">
        <w:rPr>
          <w:rFonts w:ascii="Times New Roman" w:hAnsi="Times New Roman" w:cs="Times New Roman"/>
          <w:sz w:val="24"/>
          <w:szCs w:val="24"/>
          <w:lang w:val="es-ES"/>
        </w:rPr>
        <w:t xml:space="preserve">der a las condiciones que </w:t>
      </w:r>
      <w:r w:rsidR="0061267F" w:rsidRPr="00B22CA9">
        <w:rPr>
          <w:rFonts w:ascii="Times New Roman" w:hAnsi="Times New Roman" w:cs="Times New Roman"/>
          <w:sz w:val="24"/>
          <w:szCs w:val="24"/>
          <w:lang w:val="es-ES"/>
        </w:rPr>
        <w:t>pueda</w:t>
      </w:r>
      <w:r w:rsidR="00592F9C" w:rsidRPr="00B22CA9">
        <w:rPr>
          <w:rFonts w:ascii="Times New Roman" w:hAnsi="Times New Roman" w:cs="Times New Roman"/>
          <w:sz w:val="24"/>
          <w:szCs w:val="24"/>
          <w:lang w:val="es-ES"/>
        </w:rPr>
        <w:t>n</w:t>
      </w:r>
      <w:r w:rsidR="0061267F" w:rsidRPr="00B22CA9">
        <w:rPr>
          <w:rFonts w:ascii="Times New Roman" w:hAnsi="Times New Roman" w:cs="Times New Roman"/>
          <w:sz w:val="24"/>
          <w:szCs w:val="24"/>
          <w:lang w:val="es-ES"/>
        </w:rPr>
        <w:t xml:space="preserve"> exigírsele desde el </w:t>
      </w:r>
      <w:r w:rsidR="00427A50" w:rsidRPr="00B22CA9">
        <w:rPr>
          <w:rFonts w:ascii="Times New Roman" w:hAnsi="Times New Roman" w:cs="Times New Roman"/>
          <w:sz w:val="24"/>
          <w:szCs w:val="24"/>
          <w:lang w:val="es-ES"/>
        </w:rPr>
        <w:t>d</w:t>
      </w:r>
      <w:r w:rsidR="0061267F" w:rsidRPr="00B22CA9">
        <w:rPr>
          <w:rFonts w:ascii="Times New Roman" w:hAnsi="Times New Roman" w:cs="Times New Roman"/>
          <w:sz w:val="24"/>
          <w:szCs w:val="24"/>
          <w:lang w:val="es-ES"/>
        </w:rPr>
        <w:t xml:space="preserve">erecho de la Unión (Cruz </w:t>
      </w:r>
      <w:r w:rsidR="0061267F" w:rsidRPr="00B22CA9">
        <w:rPr>
          <w:rFonts w:ascii="Times New Roman" w:hAnsi="Times New Roman" w:cs="Times New Roman"/>
          <w:sz w:val="24"/>
          <w:szCs w:val="24"/>
          <w:lang w:val="es-ES"/>
        </w:rPr>
        <w:lastRenderedPageBreak/>
        <w:t>Villalón, 2016</w:t>
      </w:r>
      <w:r w:rsidR="00A63DAA" w:rsidRPr="00B22CA9">
        <w:rPr>
          <w:rFonts w:ascii="Times New Roman" w:hAnsi="Times New Roman" w:cs="Times New Roman"/>
          <w:sz w:val="24"/>
          <w:szCs w:val="24"/>
          <w:lang w:val="es-ES"/>
        </w:rPr>
        <w:t>b</w:t>
      </w:r>
      <w:r w:rsidR="0061267F" w:rsidRPr="00B22CA9">
        <w:rPr>
          <w:rFonts w:ascii="Times New Roman" w:hAnsi="Times New Roman" w:cs="Times New Roman"/>
          <w:sz w:val="24"/>
          <w:szCs w:val="24"/>
          <w:lang w:val="es-ES"/>
        </w:rPr>
        <w:t>: 26)</w:t>
      </w:r>
      <w:r w:rsidR="00054860" w:rsidRPr="00B22CA9">
        <w:rPr>
          <w:rFonts w:ascii="Times New Roman" w:hAnsi="Times New Roman" w:cs="Times New Roman"/>
          <w:sz w:val="24"/>
          <w:szCs w:val="24"/>
          <w:lang w:val="es-ES"/>
        </w:rPr>
        <w:t>, pero también habrá de ser respetada por este</w:t>
      </w:r>
      <w:r w:rsidR="00317538" w:rsidRPr="00B22CA9">
        <w:rPr>
          <w:rStyle w:val="Refdenotaalpie"/>
          <w:rFonts w:ascii="Times New Roman" w:hAnsi="Times New Roman" w:cs="Times New Roman"/>
          <w:sz w:val="24"/>
          <w:szCs w:val="24"/>
          <w:lang w:val="es-ES"/>
        </w:rPr>
        <w:footnoteReference w:id="33"/>
      </w:r>
      <w:r w:rsidR="006C66C4" w:rsidRPr="00B22CA9">
        <w:rPr>
          <w:rFonts w:ascii="Times New Roman" w:hAnsi="Times New Roman" w:cs="Times New Roman"/>
          <w:sz w:val="24"/>
          <w:szCs w:val="24"/>
          <w:lang w:val="es-ES"/>
        </w:rPr>
        <w:t xml:space="preserve">. </w:t>
      </w:r>
      <w:r w:rsidR="00054860" w:rsidRPr="00B22CA9">
        <w:rPr>
          <w:rFonts w:ascii="Times New Roman" w:hAnsi="Times New Roman" w:cs="Times New Roman"/>
          <w:sz w:val="24"/>
          <w:szCs w:val="24"/>
          <w:lang w:val="es-ES"/>
        </w:rPr>
        <w:t>L</w:t>
      </w:r>
      <w:r w:rsidR="006C66C4" w:rsidRPr="00B22CA9">
        <w:rPr>
          <w:rFonts w:ascii="Times New Roman" w:hAnsi="Times New Roman" w:cs="Times New Roman"/>
          <w:sz w:val="24"/>
          <w:szCs w:val="24"/>
          <w:lang w:val="es-ES"/>
        </w:rPr>
        <w:t>levar el control jurídico</w:t>
      </w:r>
      <w:r w:rsidR="00592B22" w:rsidRPr="00B22CA9">
        <w:rPr>
          <w:rFonts w:ascii="Times New Roman" w:hAnsi="Times New Roman" w:cs="Times New Roman"/>
          <w:sz w:val="24"/>
          <w:szCs w:val="24"/>
          <w:lang w:val="es-ES"/>
        </w:rPr>
        <w:t xml:space="preserve"> de conformidad </w:t>
      </w:r>
      <w:r w:rsidR="006C66C4" w:rsidRPr="00B22CA9">
        <w:rPr>
          <w:rFonts w:ascii="Times New Roman" w:hAnsi="Times New Roman" w:cs="Times New Roman"/>
          <w:sz w:val="24"/>
          <w:szCs w:val="24"/>
          <w:lang w:val="es-ES"/>
        </w:rPr>
        <w:t xml:space="preserve">que </w:t>
      </w:r>
      <w:r w:rsidR="00592B22" w:rsidRPr="00B22CA9">
        <w:rPr>
          <w:rFonts w:ascii="Times New Roman" w:hAnsi="Times New Roman" w:cs="Times New Roman"/>
          <w:sz w:val="24"/>
          <w:szCs w:val="24"/>
          <w:lang w:val="es-ES"/>
        </w:rPr>
        <w:t>propicia</w:t>
      </w:r>
      <w:r w:rsidR="006C66C4" w:rsidRPr="00B22CA9">
        <w:rPr>
          <w:rFonts w:ascii="Times New Roman" w:hAnsi="Times New Roman" w:cs="Times New Roman"/>
          <w:sz w:val="24"/>
          <w:szCs w:val="24"/>
          <w:lang w:val="es-ES"/>
        </w:rPr>
        <w:t xml:space="preserve"> el recurso por incumplimiento a</w:t>
      </w:r>
      <w:r w:rsidR="00317538" w:rsidRPr="00B22CA9">
        <w:rPr>
          <w:rFonts w:ascii="Times New Roman" w:hAnsi="Times New Roman" w:cs="Times New Roman"/>
          <w:sz w:val="24"/>
          <w:szCs w:val="24"/>
          <w:lang w:val="es-ES"/>
        </w:rPr>
        <w:t>l terreno de los principios democráticos y los derechos fundamentales es una operación delicada</w:t>
      </w:r>
      <w:r w:rsidR="00643C4C" w:rsidRPr="00B22CA9">
        <w:rPr>
          <w:rFonts w:ascii="Times New Roman" w:hAnsi="Times New Roman" w:cs="Times New Roman"/>
          <w:sz w:val="24"/>
          <w:szCs w:val="24"/>
          <w:lang w:val="es-ES"/>
        </w:rPr>
        <w:t xml:space="preserve">. </w:t>
      </w:r>
      <w:r w:rsidR="00592B22" w:rsidRPr="00B22CA9">
        <w:rPr>
          <w:rFonts w:ascii="Times New Roman" w:hAnsi="Times New Roman" w:cs="Times New Roman"/>
          <w:sz w:val="24"/>
          <w:szCs w:val="24"/>
          <w:lang w:val="es-ES"/>
        </w:rPr>
        <w:t>P</w:t>
      </w:r>
      <w:r w:rsidR="00317538" w:rsidRPr="00B22CA9">
        <w:rPr>
          <w:rFonts w:ascii="Times New Roman" w:hAnsi="Times New Roman" w:cs="Times New Roman"/>
          <w:sz w:val="24"/>
          <w:szCs w:val="24"/>
          <w:lang w:val="es-ES"/>
        </w:rPr>
        <w:t xml:space="preserve">rueba </w:t>
      </w:r>
      <w:r w:rsidR="00592B22" w:rsidRPr="00B22CA9">
        <w:rPr>
          <w:rFonts w:ascii="Times New Roman" w:hAnsi="Times New Roman" w:cs="Times New Roman"/>
          <w:sz w:val="24"/>
          <w:szCs w:val="24"/>
          <w:lang w:val="es-ES"/>
        </w:rPr>
        <w:t xml:space="preserve">de ello </w:t>
      </w:r>
      <w:r w:rsidR="00317538" w:rsidRPr="00B22CA9">
        <w:rPr>
          <w:rFonts w:ascii="Times New Roman" w:hAnsi="Times New Roman" w:cs="Times New Roman"/>
          <w:sz w:val="24"/>
          <w:szCs w:val="24"/>
          <w:lang w:val="es-ES"/>
        </w:rPr>
        <w:t>es que</w:t>
      </w:r>
      <w:r w:rsidR="00592F9C" w:rsidRPr="00B22CA9">
        <w:rPr>
          <w:rFonts w:ascii="Times New Roman" w:hAnsi="Times New Roman" w:cs="Times New Roman"/>
          <w:sz w:val="24"/>
          <w:szCs w:val="24"/>
          <w:lang w:val="es-ES"/>
        </w:rPr>
        <w:t xml:space="preserve"> cuando </w:t>
      </w:r>
      <w:r w:rsidR="00592B22" w:rsidRPr="00B22CA9">
        <w:rPr>
          <w:rFonts w:ascii="Times New Roman" w:hAnsi="Times New Roman" w:cs="Times New Roman"/>
          <w:sz w:val="24"/>
          <w:szCs w:val="24"/>
          <w:lang w:val="es-ES"/>
        </w:rPr>
        <w:t xml:space="preserve">esto </w:t>
      </w:r>
      <w:r w:rsidR="00592F9C" w:rsidRPr="00B22CA9">
        <w:rPr>
          <w:rFonts w:ascii="Times New Roman" w:hAnsi="Times New Roman" w:cs="Times New Roman"/>
          <w:sz w:val="24"/>
          <w:szCs w:val="24"/>
          <w:lang w:val="es-ES"/>
        </w:rPr>
        <w:t xml:space="preserve">se analiza </w:t>
      </w:r>
      <w:r w:rsidR="00592B22" w:rsidRPr="00B22CA9">
        <w:rPr>
          <w:rFonts w:ascii="Times New Roman" w:hAnsi="Times New Roman" w:cs="Times New Roman"/>
          <w:sz w:val="24"/>
          <w:szCs w:val="24"/>
          <w:lang w:val="es-ES"/>
        </w:rPr>
        <w:t>en relación con el</w:t>
      </w:r>
      <w:r w:rsidR="00592F9C" w:rsidRPr="00B22CA9">
        <w:rPr>
          <w:rFonts w:ascii="Times New Roman" w:hAnsi="Times New Roman" w:cs="Times New Roman"/>
          <w:sz w:val="24"/>
          <w:szCs w:val="24"/>
          <w:lang w:val="es-ES"/>
        </w:rPr>
        <w:t xml:space="preserve"> retroceso de garantías democráticas en algunos Estados miembros,</w:t>
      </w:r>
      <w:r w:rsidR="00643C4C" w:rsidRPr="00B22CA9">
        <w:rPr>
          <w:rFonts w:ascii="Times New Roman" w:hAnsi="Times New Roman" w:cs="Times New Roman"/>
          <w:sz w:val="24"/>
          <w:szCs w:val="24"/>
          <w:lang w:val="es-ES"/>
        </w:rPr>
        <w:t xml:space="preserve"> </w:t>
      </w:r>
      <w:r w:rsidR="00436AFF" w:rsidRPr="00B22CA9">
        <w:rPr>
          <w:rFonts w:ascii="Times New Roman" w:hAnsi="Times New Roman" w:cs="Times New Roman"/>
          <w:sz w:val="24"/>
          <w:szCs w:val="24"/>
          <w:lang w:val="es-ES"/>
        </w:rPr>
        <w:t>salen a la luz otras cuestiones reflejas:</w:t>
      </w:r>
      <w:r w:rsidR="006C66C4" w:rsidRPr="00B22CA9">
        <w:rPr>
          <w:rFonts w:ascii="Times New Roman" w:hAnsi="Times New Roman" w:cs="Times New Roman"/>
          <w:sz w:val="24"/>
          <w:szCs w:val="24"/>
          <w:lang w:val="es-ES"/>
        </w:rPr>
        <w:t xml:space="preserve"> las formas y límites de la acción de la Unión</w:t>
      </w:r>
      <w:r w:rsidR="005C363C" w:rsidRPr="00B22CA9">
        <w:rPr>
          <w:rFonts w:ascii="Times New Roman" w:hAnsi="Times New Roman" w:cs="Times New Roman"/>
          <w:sz w:val="24"/>
          <w:szCs w:val="24"/>
          <w:lang w:val="es-ES"/>
        </w:rPr>
        <w:t xml:space="preserve"> en el orden plural</w:t>
      </w:r>
      <w:r w:rsidR="00592B22" w:rsidRPr="00B22CA9">
        <w:rPr>
          <w:rFonts w:ascii="Times New Roman" w:hAnsi="Times New Roman" w:cs="Times New Roman"/>
          <w:sz w:val="24"/>
          <w:szCs w:val="24"/>
          <w:lang w:val="es-ES"/>
        </w:rPr>
        <w:t>, su sujeción al principio de legalidad, su deficiente legitimación democrática</w:t>
      </w:r>
      <w:r w:rsidR="00592F9C" w:rsidRPr="00B22CA9">
        <w:rPr>
          <w:rFonts w:ascii="Times New Roman" w:hAnsi="Times New Roman" w:cs="Times New Roman"/>
          <w:sz w:val="24"/>
          <w:szCs w:val="24"/>
          <w:lang w:val="es-ES"/>
        </w:rPr>
        <w:t xml:space="preserve"> y las exigencias </w:t>
      </w:r>
      <w:r w:rsidR="0061267F" w:rsidRPr="00B22CA9">
        <w:rPr>
          <w:rFonts w:ascii="Times New Roman" w:hAnsi="Times New Roman" w:cs="Times New Roman"/>
          <w:sz w:val="24"/>
          <w:szCs w:val="24"/>
          <w:lang w:val="es-ES"/>
        </w:rPr>
        <w:t xml:space="preserve">de reciprocidad existentes entre los distintos complejos normativos de naturaleza constitucional </w:t>
      </w:r>
      <w:r w:rsidR="006C66C4" w:rsidRPr="00B22CA9">
        <w:rPr>
          <w:rFonts w:ascii="Times New Roman" w:hAnsi="Times New Roman" w:cs="Times New Roman"/>
          <w:sz w:val="24"/>
          <w:szCs w:val="24"/>
          <w:lang w:val="es-ES"/>
        </w:rPr>
        <w:t>(</w:t>
      </w:r>
      <w:proofErr w:type="spellStart"/>
      <w:r w:rsidR="006C66C4" w:rsidRPr="00B22CA9">
        <w:rPr>
          <w:rFonts w:ascii="Times New Roman" w:hAnsi="Times New Roman" w:cs="Times New Roman"/>
          <w:sz w:val="24"/>
          <w:szCs w:val="24"/>
          <w:lang w:val="es-ES"/>
        </w:rPr>
        <w:t>Weiler</w:t>
      </w:r>
      <w:proofErr w:type="spellEnd"/>
      <w:r w:rsidR="006C66C4" w:rsidRPr="00B22CA9">
        <w:rPr>
          <w:rFonts w:ascii="Times New Roman" w:hAnsi="Times New Roman" w:cs="Times New Roman"/>
          <w:sz w:val="24"/>
          <w:szCs w:val="24"/>
          <w:lang w:val="es-ES"/>
        </w:rPr>
        <w:t>, 2016: 314).</w:t>
      </w:r>
    </w:p>
    <w:p w:rsidR="00E36D6F" w:rsidRPr="00B22CA9" w:rsidRDefault="00C473EB" w:rsidP="007F11DF">
      <w:pPr>
        <w:spacing w:line="240" w:lineRule="auto"/>
        <w:jc w:val="both"/>
        <w:rPr>
          <w:rFonts w:ascii="Times New Roman" w:hAnsi="Times New Roman" w:cs="Times New Roman"/>
          <w:sz w:val="24"/>
          <w:szCs w:val="24"/>
          <w:lang w:val="es-ES"/>
        </w:rPr>
      </w:pPr>
      <w:r w:rsidRPr="00B22CA9">
        <w:rPr>
          <w:rFonts w:ascii="Times New Roman" w:hAnsi="Times New Roman" w:cs="Times New Roman"/>
          <w:sz w:val="24"/>
          <w:szCs w:val="24"/>
          <w:lang w:val="es-ES"/>
        </w:rPr>
        <w:tab/>
      </w:r>
    </w:p>
    <w:p w:rsidR="00C873BC" w:rsidRPr="00B22CA9" w:rsidRDefault="00CD4967" w:rsidP="003D57DC">
      <w:pPr>
        <w:spacing w:line="240" w:lineRule="auto"/>
        <w:ind w:left="720" w:hanging="720"/>
        <w:jc w:val="both"/>
        <w:rPr>
          <w:rFonts w:ascii="Times New Roman" w:hAnsi="Times New Roman" w:cs="Times New Roman"/>
          <w:b/>
          <w:bCs/>
          <w:sz w:val="24"/>
          <w:szCs w:val="24"/>
          <w:lang w:val="es-ES"/>
        </w:rPr>
      </w:pPr>
      <w:r w:rsidRPr="00B22CA9">
        <w:rPr>
          <w:rFonts w:ascii="Times New Roman" w:hAnsi="Times New Roman" w:cs="Times New Roman"/>
          <w:b/>
          <w:bCs/>
          <w:sz w:val="24"/>
          <w:szCs w:val="24"/>
          <w:lang w:val="es-ES"/>
        </w:rPr>
        <w:t>III</w:t>
      </w:r>
      <w:r w:rsidR="00C873BC" w:rsidRPr="00B22CA9">
        <w:rPr>
          <w:rFonts w:ascii="Times New Roman" w:hAnsi="Times New Roman" w:cs="Times New Roman"/>
          <w:b/>
          <w:bCs/>
          <w:sz w:val="24"/>
          <w:szCs w:val="24"/>
          <w:lang w:val="es-ES"/>
        </w:rPr>
        <w:t>.</w:t>
      </w:r>
      <w:r w:rsidR="00FD5650" w:rsidRPr="00B22CA9">
        <w:rPr>
          <w:rFonts w:ascii="Times New Roman" w:hAnsi="Times New Roman" w:cs="Times New Roman"/>
          <w:b/>
          <w:bCs/>
          <w:sz w:val="24"/>
          <w:szCs w:val="24"/>
          <w:lang w:val="es-ES"/>
        </w:rPr>
        <w:tab/>
        <w:t xml:space="preserve">SOBRE EL RECURSO POR INCUMPLIMIENTO Y LOS DERECHOS FUNDAMENTALES EN UN ANÁLISIS ABSTRACTO </w:t>
      </w:r>
    </w:p>
    <w:p w:rsidR="00B22F88" w:rsidRPr="00B22CA9" w:rsidRDefault="00436AFF" w:rsidP="007F11DF">
      <w:pPr>
        <w:spacing w:line="240" w:lineRule="auto"/>
        <w:ind w:firstLine="720"/>
        <w:jc w:val="both"/>
        <w:rPr>
          <w:rFonts w:ascii="Times New Roman" w:hAnsi="Times New Roman" w:cs="Times New Roman"/>
          <w:sz w:val="24"/>
          <w:szCs w:val="24"/>
          <w:lang w:val="es-ES"/>
        </w:rPr>
      </w:pPr>
      <w:r w:rsidRPr="00B22CA9">
        <w:rPr>
          <w:rFonts w:ascii="Times New Roman" w:hAnsi="Times New Roman" w:cs="Times New Roman"/>
          <w:sz w:val="24"/>
          <w:szCs w:val="24"/>
          <w:lang w:val="es-ES"/>
        </w:rPr>
        <w:t>L</w:t>
      </w:r>
      <w:r w:rsidR="00B22F88" w:rsidRPr="00B22CA9">
        <w:rPr>
          <w:rFonts w:ascii="Times New Roman" w:hAnsi="Times New Roman" w:cs="Times New Roman"/>
          <w:sz w:val="24"/>
          <w:szCs w:val="24"/>
          <w:lang w:val="es-ES"/>
        </w:rPr>
        <w:t xml:space="preserve">os derechos fundamentales son </w:t>
      </w:r>
      <w:r w:rsidR="000C2E58" w:rsidRPr="00B22CA9">
        <w:rPr>
          <w:rFonts w:ascii="Times New Roman" w:hAnsi="Times New Roman" w:cs="Times New Roman"/>
          <w:sz w:val="24"/>
          <w:szCs w:val="24"/>
          <w:lang w:val="es-ES"/>
        </w:rPr>
        <w:t xml:space="preserve">una de las </w:t>
      </w:r>
      <w:r w:rsidR="00B22F88" w:rsidRPr="00B22CA9">
        <w:rPr>
          <w:rFonts w:ascii="Times New Roman" w:hAnsi="Times New Roman" w:cs="Times New Roman"/>
          <w:sz w:val="24"/>
          <w:szCs w:val="24"/>
          <w:lang w:val="es-ES"/>
        </w:rPr>
        <w:t>parte</w:t>
      </w:r>
      <w:r w:rsidR="000C2E58" w:rsidRPr="00B22CA9">
        <w:rPr>
          <w:rFonts w:ascii="Times New Roman" w:hAnsi="Times New Roman" w:cs="Times New Roman"/>
          <w:sz w:val="24"/>
          <w:szCs w:val="24"/>
          <w:lang w:val="es-ES"/>
        </w:rPr>
        <w:t>s</w:t>
      </w:r>
      <w:r w:rsidR="00B22F88" w:rsidRPr="00B22CA9">
        <w:rPr>
          <w:rFonts w:ascii="Times New Roman" w:hAnsi="Times New Roman" w:cs="Times New Roman"/>
          <w:sz w:val="24"/>
          <w:szCs w:val="24"/>
          <w:lang w:val="es-ES"/>
        </w:rPr>
        <w:t xml:space="preserve"> de </w:t>
      </w:r>
      <w:r w:rsidR="00A92771" w:rsidRPr="00B22CA9">
        <w:rPr>
          <w:rFonts w:ascii="Times New Roman" w:hAnsi="Times New Roman" w:cs="Times New Roman"/>
          <w:sz w:val="24"/>
          <w:szCs w:val="24"/>
          <w:lang w:val="es-ES"/>
        </w:rPr>
        <w:t>esa</w:t>
      </w:r>
      <w:r w:rsidR="00B22F88" w:rsidRPr="00B22CA9">
        <w:rPr>
          <w:rFonts w:ascii="Times New Roman" w:hAnsi="Times New Roman" w:cs="Times New Roman"/>
          <w:sz w:val="24"/>
          <w:szCs w:val="24"/>
          <w:lang w:val="es-ES"/>
        </w:rPr>
        <w:t xml:space="preserve"> pluralidad constitucional del espacio europeo en la</w:t>
      </w:r>
      <w:r w:rsidR="000C2E58" w:rsidRPr="00B22CA9">
        <w:rPr>
          <w:rFonts w:ascii="Times New Roman" w:hAnsi="Times New Roman" w:cs="Times New Roman"/>
          <w:sz w:val="24"/>
          <w:szCs w:val="24"/>
          <w:lang w:val="es-ES"/>
        </w:rPr>
        <w:t>s</w:t>
      </w:r>
      <w:r w:rsidR="00B22F88" w:rsidRPr="00B22CA9">
        <w:rPr>
          <w:rFonts w:ascii="Times New Roman" w:hAnsi="Times New Roman" w:cs="Times New Roman"/>
          <w:sz w:val="24"/>
          <w:szCs w:val="24"/>
          <w:lang w:val="es-ES"/>
        </w:rPr>
        <w:t xml:space="preserve"> que la </w:t>
      </w:r>
      <w:r w:rsidR="00CB7AA6" w:rsidRPr="00B22CA9">
        <w:rPr>
          <w:rFonts w:ascii="Times New Roman" w:hAnsi="Times New Roman" w:cs="Times New Roman"/>
          <w:sz w:val="24"/>
          <w:szCs w:val="24"/>
          <w:lang w:val="es-ES"/>
        </w:rPr>
        <w:t>bi</w:t>
      </w:r>
      <w:r w:rsidR="00B22F88" w:rsidRPr="00B22CA9">
        <w:rPr>
          <w:rFonts w:ascii="Times New Roman" w:hAnsi="Times New Roman" w:cs="Times New Roman"/>
          <w:sz w:val="24"/>
          <w:szCs w:val="24"/>
          <w:lang w:val="es-ES"/>
        </w:rPr>
        <w:t>direccionalidad y las sinergias normativas son máximas</w:t>
      </w:r>
      <w:r w:rsidRPr="00B22CA9">
        <w:rPr>
          <w:rFonts w:ascii="Times New Roman" w:hAnsi="Times New Roman" w:cs="Times New Roman"/>
          <w:sz w:val="24"/>
          <w:szCs w:val="24"/>
          <w:lang w:val="es-ES"/>
        </w:rPr>
        <w:t>. L</w:t>
      </w:r>
      <w:r w:rsidR="00B22F88" w:rsidRPr="00B22CA9">
        <w:rPr>
          <w:rFonts w:ascii="Times New Roman" w:hAnsi="Times New Roman" w:cs="Times New Roman"/>
          <w:sz w:val="24"/>
          <w:szCs w:val="24"/>
          <w:lang w:val="es-ES"/>
        </w:rPr>
        <w:t>a adhesión de los Estados a la Unión exige el respeto a los derechos fundamentales</w:t>
      </w:r>
      <w:r w:rsidR="00A92771" w:rsidRPr="00B22CA9">
        <w:rPr>
          <w:rFonts w:ascii="Times New Roman" w:hAnsi="Times New Roman" w:cs="Times New Roman"/>
          <w:sz w:val="24"/>
          <w:szCs w:val="24"/>
          <w:lang w:val="es-ES"/>
        </w:rPr>
        <w:t xml:space="preserve"> en un pacto de reciprocidad. </w:t>
      </w:r>
      <w:r w:rsidR="000C2E58" w:rsidRPr="00B22CA9">
        <w:rPr>
          <w:rFonts w:ascii="Times New Roman" w:hAnsi="Times New Roman" w:cs="Times New Roman"/>
          <w:sz w:val="24"/>
          <w:szCs w:val="24"/>
          <w:lang w:val="es-ES"/>
        </w:rPr>
        <w:t>El control del efectivo respeto a los derechos en los</w:t>
      </w:r>
      <w:r w:rsidR="00B22F88" w:rsidRPr="00B22CA9">
        <w:rPr>
          <w:rFonts w:ascii="Times New Roman" w:hAnsi="Times New Roman" w:cs="Times New Roman"/>
          <w:sz w:val="24"/>
          <w:szCs w:val="24"/>
          <w:lang w:val="es-ES"/>
        </w:rPr>
        <w:t xml:space="preserve"> Estados miembros a través del recurso por incumplimiento</w:t>
      </w:r>
      <w:r w:rsidR="00A92771" w:rsidRPr="00B22CA9">
        <w:rPr>
          <w:rFonts w:ascii="Times New Roman" w:hAnsi="Times New Roman" w:cs="Times New Roman"/>
          <w:sz w:val="24"/>
          <w:szCs w:val="24"/>
          <w:lang w:val="es-ES"/>
        </w:rPr>
        <w:t xml:space="preserve"> s</w:t>
      </w:r>
      <w:r w:rsidR="000C2E58" w:rsidRPr="00B22CA9">
        <w:rPr>
          <w:rFonts w:ascii="Times New Roman" w:hAnsi="Times New Roman" w:cs="Times New Roman"/>
          <w:sz w:val="24"/>
          <w:szCs w:val="24"/>
          <w:lang w:val="es-ES"/>
        </w:rPr>
        <w:t>urge como necesidad por una</w:t>
      </w:r>
      <w:r w:rsidR="00A92771" w:rsidRPr="00B22CA9">
        <w:rPr>
          <w:rFonts w:ascii="Times New Roman" w:hAnsi="Times New Roman" w:cs="Times New Roman"/>
          <w:sz w:val="24"/>
          <w:szCs w:val="24"/>
          <w:lang w:val="es-ES"/>
        </w:rPr>
        <w:t xml:space="preserve"> crisis de ese pacto</w:t>
      </w:r>
      <w:r w:rsidRPr="00B22CA9">
        <w:rPr>
          <w:rFonts w:ascii="Times New Roman" w:hAnsi="Times New Roman" w:cs="Times New Roman"/>
          <w:sz w:val="24"/>
          <w:szCs w:val="24"/>
          <w:lang w:val="es-ES"/>
        </w:rPr>
        <w:t xml:space="preserve">. A continuación se analizarán </w:t>
      </w:r>
      <w:r w:rsidR="00B22F88" w:rsidRPr="00B22CA9">
        <w:rPr>
          <w:rFonts w:ascii="Times New Roman" w:hAnsi="Times New Roman" w:cs="Times New Roman"/>
          <w:sz w:val="24"/>
          <w:szCs w:val="24"/>
          <w:lang w:val="es-ES"/>
        </w:rPr>
        <w:t xml:space="preserve">las formas y límites del escrutinio </w:t>
      </w:r>
      <w:r w:rsidR="00C01286" w:rsidRPr="00B22CA9">
        <w:rPr>
          <w:rFonts w:ascii="Times New Roman" w:hAnsi="Times New Roman" w:cs="Times New Roman"/>
          <w:sz w:val="24"/>
          <w:szCs w:val="24"/>
          <w:lang w:val="es-ES"/>
        </w:rPr>
        <w:t>que</w:t>
      </w:r>
      <w:r w:rsidR="00A16F4B" w:rsidRPr="00B22CA9">
        <w:rPr>
          <w:rFonts w:ascii="Times New Roman" w:hAnsi="Times New Roman" w:cs="Times New Roman"/>
          <w:sz w:val="24"/>
          <w:szCs w:val="24"/>
          <w:lang w:val="es-ES"/>
        </w:rPr>
        <w:t xml:space="preserve">, con el fin de superar tal crisis, propiciaría </w:t>
      </w:r>
      <w:r w:rsidR="00B22F88" w:rsidRPr="00B22CA9">
        <w:rPr>
          <w:rFonts w:ascii="Times New Roman" w:hAnsi="Times New Roman" w:cs="Times New Roman"/>
          <w:sz w:val="24"/>
          <w:szCs w:val="24"/>
          <w:lang w:val="es-ES"/>
        </w:rPr>
        <w:t>e</w:t>
      </w:r>
      <w:r w:rsidRPr="00B22CA9">
        <w:rPr>
          <w:rFonts w:ascii="Times New Roman" w:hAnsi="Times New Roman" w:cs="Times New Roman"/>
          <w:sz w:val="24"/>
          <w:szCs w:val="24"/>
          <w:lang w:val="es-ES"/>
        </w:rPr>
        <w:t>se</w:t>
      </w:r>
      <w:r w:rsidR="00C01286" w:rsidRPr="00B22CA9">
        <w:rPr>
          <w:rFonts w:ascii="Times New Roman" w:hAnsi="Times New Roman" w:cs="Times New Roman"/>
          <w:sz w:val="24"/>
          <w:szCs w:val="24"/>
          <w:lang w:val="es-ES"/>
        </w:rPr>
        <w:t xml:space="preserve"> marco procedimental</w:t>
      </w:r>
      <w:r w:rsidR="00B22F88" w:rsidRPr="00B22CA9">
        <w:rPr>
          <w:rFonts w:ascii="Times New Roman" w:hAnsi="Times New Roman" w:cs="Times New Roman"/>
          <w:sz w:val="24"/>
          <w:szCs w:val="24"/>
          <w:lang w:val="es-ES"/>
        </w:rPr>
        <w:t xml:space="preserve">.  </w:t>
      </w:r>
    </w:p>
    <w:p w:rsidR="00AA2C71" w:rsidRPr="00B22CA9" w:rsidRDefault="0084489E" w:rsidP="00065B96">
      <w:pPr>
        <w:pStyle w:val="Prrafodelista"/>
        <w:numPr>
          <w:ilvl w:val="0"/>
          <w:numId w:val="5"/>
        </w:numPr>
        <w:spacing w:line="240" w:lineRule="auto"/>
        <w:jc w:val="both"/>
        <w:rPr>
          <w:rFonts w:ascii="Times New Roman" w:hAnsi="Times New Roman" w:cs="Times New Roman"/>
          <w:b/>
          <w:sz w:val="24"/>
          <w:szCs w:val="24"/>
          <w:lang w:val="es-ES"/>
        </w:rPr>
      </w:pPr>
      <w:r w:rsidRPr="00B22CA9">
        <w:rPr>
          <w:rFonts w:ascii="Times New Roman" w:hAnsi="Times New Roman" w:cs="Times New Roman"/>
          <w:b/>
          <w:sz w:val="24"/>
          <w:szCs w:val="24"/>
          <w:lang w:val="es-ES"/>
        </w:rPr>
        <w:t>Aspectos sustantivos: l</w:t>
      </w:r>
      <w:r w:rsidR="00AA2C71" w:rsidRPr="00B22CA9">
        <w:rPr>
          <w:rFonts w:ascii="Times New Roman" w:hAnsi="Times New Roman" w:cs="Times New Roman"/>
          <w:b/>
          <w:sz w:val="24"/>
          <w:szCs w:val="24"/>
          <w:lang w:val="es-ES"/>
        </w:rPr>
        <w:t>os derechos fundamentales como causa de incumplimiento</w:t>
      </w:r>
    </w:p>
    <w:p w:rsidR="00E0769A" w:rsidRPr="00B22CA9" w:rsidRDefault="000C2E58" w:rsidP="007F11DF">
      <w:pPr>
        <w:spacing w:line="240" w:lineRule="auto"/>
        <w:ind w:firstLine="720"/>
        <w:jc w:val="both"/>
        <w:rPr>
          <w:rFonts w:ascii="Times New Roman" w:hAnsi="Times New Roman" w:cs="Times New Roman"/>
          <w:sz w:val="24"/>
          <w:szCs w:val="24"/>
          <w:lang w:val="es-ES"/>
        </w:rPr>
      </w:pPr>
      <w:r w:rsidRPr="00B22CA9">
        <w:rPr>
          <w:rFonts w:ascii="Times New Roman" w:hAnsi="Times New Roman" w:cs="Times New Roman"/>
          <w:sz w:val="24"/>
          <w:szCs w:val="24"/>
          <w:lang w:val="es-ES"/>
        </w:rPr>
        <w:t>De entrada n</w:t>
      </w:r>
      <w:r w:rsidR="00565857" w:rsidRPr="00B22CA9">
        <w:rPr>
          <w:rFonts w:ascii="Times New Roman" w:hAnsi="Times New Roman" w:cs="Times New Roman"/>
          <w:sz w:val="24"/>
          <w:szCs w:val="24"/>
          <w:lang w:val="es-ES"/>
        </w:rPr>
        <w:t>o existe objeción</w:t>
      </w:r>
      <w:r w:rsidRPr="00B22CA9">
        <w:rPr>
          <w:rFonts w:ascii="Times New Roman" w:hAnsi="Times New Roman" w:cs="Times New Roman"/>
          <w:sz w:val="24"/>
          <w:szCs w:val="24"/>
          <w:lang w:val="es-ES"/>
        </w:rPr>
        <w:t xml:space="preserve">: </w:t>
      </w:r>
      <w:r w:rsidR="008661B7" w:rsidRPr="00B22CA9">
        <w:rPr>
          <w:rFonts w:ascii="Times New Roman" w:hAnsi="Times New Roman" w:cs="Times New Roman"/>
          <w:sz w:val="24"/>
          <w:szCs w:val="24"/>
          <w:lang w:val="es-ES"/>
        </w:rPr>
        <w:t>los derechos fundamentales</w:t>
      </w:r>
      <w:r w:rsidR="00565857" w:rsidRPr="00B22CA9">
        <w:rPr>
          <w:rFonts w:ascii="Times New Roman" w:hAnsi="Times New Roman" w:cs="Times New Roman"/>
          <w:sz w:val="24"/>
          <w:szCs w:val="24"/>
          <w:lang w:val="es-ES"/>
        </w:rPr>
        <w:t xml:space="preserve"> de la Unión</w:t>
      </w:r>
      <w:r w:rsidR="008661B7" w:rsidRPr="00B22CA9">
        <w:rPr>
          <w:rFonts w:ascii="Times New Roman" w:hAnsi="Times New Roman" w:cs="Times New Roman"/>
          <w:sz w:val="24"/>
          <w:szCs w:val="24"/>
          <w:lang w:val="es-ES"/>
        </w:rPr>
        <w:t xml:space="preserve"> </w:t>
      </w:r>
      <w:r w:rsidRPr="00B22CA9">
        <w:rPr>
          <w:rFonts w:ascii="Times New Roman" w:hAnsi="Times New Roman" w:cs="Times New Roman"/>
          <w:sz w:val="24"/>
          <w:szCs w:val="24"/>
          <w:lang w:val="es-ES"/>
        </w:rPr>
        <w:t>son</w:t>
      </w:r>
      <w:r w:rsidR="008661B7" w:rsidRPr="00B22CA9">
        <w:rPr>
          <w:rFonts w:ascii="Times New Roman" w:hAnsi="Times New Roman" w:cs="Times New Roman"/>
          <w:sz w:val="24"/>
          <w:szCs w:val="24"/>
          <w:lang w:val="es-ES"/>
        </w:rPr>
        <w:t xml:space="preserve"> normas </w:t>
      </w:r>
      <w:r w:rsidRPr="00B22CA9">
        <w:rPr>
          <w:rFonts w:ascii="Times New Roman" w:hAnsi="Times New Roman" w:cs="Times New Roman"/>
          <w:sz w:val="24"/>
          <w:szCs w:val="24"/>
          <w:lang w:val="es-ES"/>
        </w:rPr>
        <w:t>que pueden alegarse como causa de incumplimiento</w:t>
      </w:r>
      <w:r w:rsidR="008661B7" w:rsidRPr="00B22CA9">
        <w:rPr>
          <w:rFonts w:ascii="Times New Roman" w:hAnsi="Times New Roman" w:cs="Times New Roman"/>
          <w:sz w:val="24"/>
          <w:szCs w:val="24"/>
          <w:lang w:val="es-ES"/>
        </w:rPr>
        <w:t xml:space="preserve"> </w:t>
      </w:r>
      <w:r w:rsidR="00AA4F41" w:rsidRPr="00B22CA9">
        <w:rPr>
          <w:rFonts w:ascii="Times New Roman" w:hAnsi="Times New Roman" w:cs="Times New Roman"/>
          <w:sz w:val="24"/>
          <w:szCs w:val="24"/>
          <w:lang w:val="es-ES"/>
        </w:rPr>
        <w:t>frente</w:t>
      </w:r>
      <w:r w:rsidR="008661B7" w:rsidRPr="00B22CA9">
        <w:rPr>
          <w:rFonts w:ascii="Times New Roman" w:hAnsi="Times New Roman" w:cs="Times New Roman"/>
          <w:sz w:val="24"/>
          <w:szCs w:val="24"/>
          <w:lang w:val="es-ES"/>
        </w:rPr>
        <w:t xml:space="preserve"> un Estado miembro.</w:t>
      </w:r>
      <w:r w:rsidR="00565857" w:rsidRPr="00B22CA9">
        <w:rPr>
          <w:rFonts w:ascii="Times New Roman" w:hAnsi="Times New Roman" w:cs="Times New Roman"/>
          <w:sz w:val="24"/>
          <w:szCs w:val="24"/>
          <w:lang w:val="es-ES"/>
        </w:rPr>
        <w:t xml:space="preserve"> Existen matices</w:t>
      </w:r>
      <w:r w:rsidRPr="00B22CA9">
        <w:rPr>
          <w:rFonts w:ascii="Times New Roman" w:hAnsi="Times New Roman" w:cs="Times New Roman"/>
          <w:sz w:val="24"/>
          <w:szCs w:val="24"/>
          <w:lang w:val="es-ES"/>
        </w:rPr>
        <w:t xml:space="preserve">, pero, en primer lugar, si </w:t>
      </w:r>
      <w:r w:rsidR="00436AFF" w:rsidRPr="00B22CA9">
        <w:rPr>
          <w:rFonts w:ascii="Times New Roman" w:hAnsi="Times New Roman" w:cs="Times New Roman"/>
          <w:sz w:val="24"/>
          <w:szCs w:val="24"/>
          <w:lang w:val="es-ES"/>
        </w:rPr>
        <w:t>la</w:t>
      </w:r>
      <w:r w:rsidR="008661B7" w:rsidRPr="00B22CA9">
        <w:rPr>
          <w:rFonts w:ascii="Times New Roman" w:hAnsi="Times New Roman" w:cs="Times New Roman"/>
          <w:sz w:val="24"/>
          <w:szCs w:val="24"/>
          <w:lang w:val="es-ES"/>
        </w:rPr>
        <w:t>s disposiciones de los Tratados se invoca</w:t>
      </w:r>
      <w:r w:rsidRPr="00B22CA9">
        <w:rPr>
          <w:rFonts w:ascii="Times New Roman" w:hAnsi="Times New Roman" w:cs="Times New Roman"/>
          <w:sz w:val="24"/>
          <w:szCs w:val="24"/>
          <w:lang w:val="es-ES"/>
        </w:rPr>
        <w:t>n</w:t>
      </w:r>
      <w:r w:rsidR="008661B7" w:rsidRPr="00B22CA9">
        <w:rPr>
          <w:rFonts w:ascii="Times New Roman" w:hAnsi="Times New Roman" w:cs="Times New Roman"/>
          <w:sz w:val="24"/>
          <w:szCs w:val="24"/>
          <w:lang w:val="es-ES"/>
        </w:rPr>
        <w:t xml:space="preserve"> como causas de incumplimiento</w:t>
      </w:r>
      <w:r w:rsidRPr="00B22CA9">
        <w:rPr>
          <w:rFonts w:ascii="Times New Roman" w:hAnsi="Times New Roman" w:cs="Times New Roman"/>
          <w:sz w:val="24"/>
          <w:szCs w:val="24"/>
          <w:lang w:val="es-ES"/>
        </w:rPr>
        <w:t>, nada impide</w:t>
      </w:r>
      <w:r w:rsidR="008661B7" w:rsidRPr="00B22CA9">
        <w:rPr>
          <w:rFonts w:ascii="Times New Roman" w:hAnsi="Times New Roman" w:cs="Times New Roman"/>
          <w:sz w:val="24"/>
          <w:szCs w:val="24"/>
          <w:lang w:val="es-ES"/>
        </w:rPr>
        <w:t xml:space="preserve"> hacerlo con los derechos de la Carta</w:t>
      </w:r>
      <w:r w:rsidRPr="00B22CA9">
        <w:rPr>
          <w:rFonts w:ascii="Times New Roman" w:hAnsi="Times New Roman" w:cs="Times New Roman"/>
          <w:sz w:val="24"/>
          <w:szCs w:val="24"/>
          <w:lang w:val="es-ES"/>
        </w:rPr>
        <w:t>. Son</w:t>
      </w:r>
      <w:r w:rsidR="008661B7" w:rsidRPr="00B22CA9">
        <w:rPr>
          <w:rFonts w:ascii="Times New Roman" w:hAnsi="Times New Roman" w:cs="Times New Roman"/>
          <w:sz w:val="24"/>
          <w:szCs w:val="24"/>
          <w:lang w:val="es-ES"/>
        </w:rPr>
        <w:t xml:space="preserve"> normas de </w:t>
      </w:r>
      <w:r w:rsidR="00FD5650" w:rsidRPr="00B22CA9">
        <w:rPr>
          <w:rFonts w:ascii="Times New Roman" w:hAnsi="Times New Roman" w:cs="Times New Roman"/>
          <w:sz w:val="24"/>
          <w:szCs w:val="24"/>
          <w:lang w:val="es-ES"/>
        </w:rPr>
        <w:t>d</w:t>
      </w:r>
      <w:r w:rsidR="008661B7" w:rsidRPr="00B22CA9">
        <w:rPr>
          <w:rFonts w:ascii="Times New Roman" w:hAnsi="Times New Roman" w:cs="Times New Roman"/>
          <w:sz w:val="24"/>
          <w:szCs w:val="24"/>
          <w:lang w:val="es-ES"/>
        </w:rPr>
        <w:t>erecho primario (Materne, 2012: 180 y 182).</w:t>
      </w:r>
      <w:r w:rsidR="000A3203" w:rsidRPr="00B22CA9">
        <w:rPr>
          <w:rFonts w:ascii="Times New Roman" w:hAnsi="Times New Roman" w:cs="Times New Roman"/>
          <w:sz w:val="24"/>
          <w:szCs w:val="24"/>
          <w:lang w:val="es-ES"/>
        </w:rPr>
        <w:t xml:space="preserve"> En segundo lugar, </w:t>
      </w:r>
      <w:r w:rsidR="00506398" w:rsidRPr="00B22CA9">
        <w:rPr>
          <w:rFonts w:ascii="Times New Roman" w:hAnsi="Times New Roman" w:cs="Times New Roman"/>
          <w:sz w:val="24"/>
          <w:szCs w:val="24"/>
          <w:lang w:val="es-ES"/>
        </w:rPr>
        <w:t>puede</w:t>
      </w:r>
      <w:r w:rsidR="00436AFF" w:rsidRPr="00B22CA9">
        <w:rPr>
          <w:rFonts w:ascii="Times New Roman" w:hAnsi="Times New Roman" w:cs="Times New Roman"/>
          <w:sz w:val="24"/>
          <w:szCs w:val="24"/>
          <w:lang w:val="es-ES"/>
        </w:rPr>
        <w:t xml:space="preserve"> haber</w:t>
      </w:r>
      <w:r w:rsidR="00506398" w:rsidRPr="00B22CA9">
        <w:rPr>
          <w:rFonts w:ascii="Times New Roman" w:hAnsi="Times New Roman" w:cs="Times New Roman"/>
          <w:sz w:val="24"/>
          <w:szCs w:val="24"/>
          <w:lang w:val="es-ES"/>
        </w:rPr>
        <w:t xml:space="preserve"> normas de </w:t>
      </w:r>
      <w:r w:rsidR="00FD5650" w:rsidRPr="00B22CA9">
        <w:rPr>
          <w:rFonts w:ascii="Times New Roman" w:hAnsi="Times New Roman" w:cs="Times New Roman"/>
          <w:sz w:val="24"/>
          <w:szCs w:val="24"/>
          <w:lang w:val="es-ES"/>
        </w:rPr>
        <w:t>d</w:t>
      </w:r>
      <w:r w:rsidR="00506398" w:rsidRPr="00B22CA9">
        <w:rPr>
          <w:rFonts w:ascii="Times New Roman" w:hAnsi="Times New Roman" w:cs="Times New Roman"/>
          <w:sz w:val="24"/>
          <w:szCs w:val="24"/>
          <w:lang w:val="es-ES"/>
        </w:rPr>
        <w:t xml:space="preserve">erecho derivado que obliguen a los Estados miembros a implementar garantías </w:t>
      </w:r>
      <w:r w:rsidRPr="00B22CA9">
        <w:rPr>
          <w:rFonts w:ascii="Times New Roman" w:hAnsi="Times New Roman" w:cs="Times New Roman"/>
          <w:sz w:val="24"/>
          <w:szCs w:val="24"/>
          <w:lang w:val="es-ES"/>
        </w:rPr>
        <w:t>para ciertos</w:t>
      </w:r>
      <w:r w:rsidR="00506398" w:rsidRPr="00B22CA9">
        <w:rPr>
          <w:rFonts w:ascii="Times New Roman" w:hAnsi="Times New Roman" w:cs="Times New Roman"/>
          <w:sz w:val="24"/>
          <w:szCs w:val="24"/>
          <w:lang w:val="es-ES"/>
        </w:rPr>
        <w:t xml:space="preserve"> derechos fundamentales, como </w:t>
      </w:r>
      <w:r w:rsidRPr="00B22CA9">
        <w:rPr>
          <w:rFonts w:ascii="Times New Roman" w:hAnsi="Times New Roman" w:cs="Times New Roman"/>
          <w:sz w:val="24"/>
          <w:szCs w:val="24"/>
          <w:lang w:val="es-ES"/>
        </w:rPr>
        <w:t xml:space="preserve">ocurre con la </w:t>
      </w:r>
      <w:r w:rsidR="00506398" w:rsidRPr="00B22CA9">
        <w:rPr>
          <w:rFonts w:ascii="Times New Roman" w:hAnsi="Times New Roman" w:cs="Times New Roman"/>
          <w:sz w:val="24"/>
          <w:szCs w:val="24"/>
          <w:lang w:val="es-ES"/>
        </w:rPr>
        <w:t>intimidad y la protección de datos</w:t>
      </w:r>
      <w:r w:rsidR="007927EE" w:rsidRPr="00B22CA9">
        <w:rPr>
          <w:rFonts w:ascii="Times New Roman" w:hAnsi="Times New Roman" w:cs="Times New Roman"/>
          <w:sz w:val="24"/>
          <w:szCs w:val="24"/>
          <w:lang w:val="es-ES"/>
        </w:rPr>
        <w:t xml:space="preserve"> o </w:t>
      </w:r>
      <w:r w:rsidRPr="00B22CA9">
        <w:rPr>
          <w:rFonts w:ascii="Times New Roman" w:hAnsi="Times New Roman" w:cs="Times New Roman"/>
          <w:sz w:val="24"/>
          <w:szCs w:val="24"/>
          <w:lang w:val="es-ES"/>
        </w:rPr>
        <w:t>con</w:t>
      </w:r>
      <w:r w:rsidR="007927EE" w:rsidRPr="00B22CA9">
        <w:rPr>
          <w:rFonts w:ascii="Times New Roman" w:hAnsi="Times New Roman" w:cs="Times New Roman"/>
          <w:sz w:val="24"/>
          <w:szCs w:val="24"/>
          <w:lang w:val="es-ES"/>
        </w:rPr>
        <w:t xml:space="preserve"> </w:t>
      </w:r>
      <w:r w:rsidR="00436AFF" w:rsidRPr="00B22CA9">
        <w:rPr>
          <w:rFonts w:ascii="Times New Roman" w:hAnsi="Times New Roman" w:cs="Times New Roman"/>
          <w:sz w:val="24"/>
          <w:szCs w:val="24"/>
          <w:lang w:val="es-ES"/>
        </w:rPr>
        <w:t>garantías</w:t>
      </w:r>
      <w:r w:rsidR="007927EE" w:rsidRPr="00B22CA9">
        <w:rPr>
          <w:rFonts w:ascii="Times New Roman" w:hAnsi="Times New Roman" w:cs="Times New Roman"/>
          <w:sz w:val="24"/>
          <w:szCs w:val="24"/>
          <w:lang w:val="es-ES"/>
        </w:rPr>
        <w:t xml:space="preserve"> procesales aparejadas a la cooperación judicial</w:t>
      </w:r>
      <w:r w:rsidR="007927EE" w:rsidRPr="00B22CA9">
        <w:rPr>
          <w:rStyle w:val="Refdenotaalpie"/>
          <w:rFonts w:ascii="Times New Roman" w:hAnsi="Times New Roman" w:cs="Times New Roman"/>
          <w:sz w:val="24"/>
          <w:szCs w:val="24"/>
          <w:lang w:val="es-ES"/>
        </w:rPr>
        <w:footnoteReference w:id="34"/>
      </w:r>
      <w:r w:rsidR="00506398" w:rsidRPr="00B22CA9">
        <w:rPr>
          <w:rFonts w:ascii="Times New Roman" w:hAnsi="Times New Roman" w:cs="Times New Roman"/>
          <w:sz w:val="24"/>
          <w:szCs w:val="24"/>
          <w:lang w:val="es-ES"/>
        </w:rPr>
        <w:t xml:space="preserve">. Un desarrollo incorrecto de este tipo de mandatos, al transponer una </w:t>
      </w:r>
      <w:r w:rsidRPr="00B22CA9">
        <w:rPr>
          <w:rFonts w:ascii="Times New Roman" w:hAnsi="Times New Roman" w:cs="Times New Roman"/>
          <w:sz w:val="24"/>
          <w:szCs w:val="24"/>
          <w:lang w:val="es-ES"/>
        </w:rPr>
        <w:t>d</w:t>
      </w:r>
      <w:r w:rsidR="00506398" w:rsidRPr="00B22CA9">
        <w:rPr>
          <w:rFonts w:ascii="Times New Roman" w:hAnsi="Times New Roman" w:cs="Times New Roman"/>
          <w:sz w:val="24"/>
          <w:szCs w:val="24"/>
          <w:lang w:val="es-ES"/>
        </w:rPr>
        <w:t>irectiva</w:t>
      </w:r>
      <w:r w:rsidR="00436AFF" w:rsidRPr="00B22CA9">
        <w:rPr>
          <w:rFonts w:ascii="Times New Roman" w:hAnsi="Times New Roman" w:cs="Times New Roman"/>
          <w:sz w:val="24"/>
          <w:szCs w:val="24"/>
          <w:lang w:val="es-ES"/>
        </w:rPr>
        <w:t xml:space="preserve">, </w:t>
      </w:r>
      <w:r w:rsidR="00E0769A" w:rsidRPr="00B22CA9">
        <w:rPr>
          <w:rFonts w:ascii="Times New Roman" w:hAnsi="Times New Roman" w:cs="Times New Roman"/>
          <w:sz w:val="24"/>
          <w:szCs w:val="24"/>
          <w:lang w:val="es-ES"/>
        </w:rPr>
        <w:t>ejecutar la norm</w:t>
      </w:r>
      <w:r w:rsidR="00565857" w:rsidRPr="00B22CA9">
        <w:rPr>
          <w:rFonts w:ascii="Times New Roman" w:hAnsi="Times New Roman" w:cs="Times New Roman"/>
          <w:sz w:val="24"/>
          <w:szCs w:val="24"/>
          <w:lang w:val="es-ES"/>
        </w:rPr>
        <w:t xml:space="preserve">a de transposición, </w:t>
      </w:r>
      <w:r w:rsidR="00436AFF" w:rsidRPr="00B22CA9">
        <w:rPr>
          <w:rFonts w:ascii="Times New Roman" w:hAnsi="Times New Roman" w:cs="Times New Roman"/>
          <w:sz w:val="24"/>
          <w:szCs w:val="24"/>
          <w:lang w:val="es-ES"/>
        </w:rPr>
        <w:t xml:space="preserve">aplicar </w:t>
      </w:r>
      <w:r w:rsidR="00E0769A" w:rsidRPr="00B22CA9">
        <w:rPr>
          <w:rFonts w:ascii="Times New Roman" w:hAnsi="Times New Roman" w:cs="Times New Roman"/>
          <w:sz w:val="24"/>
          <w:szCs w:val="24"/>
          <w:lang w:val="es-ES"/>
        </w:rPr>
        <w:t xml:space="preserve">un </w:t>
      </w:r>
      <w:r w:rsidR="00FD5650" w:rsidRPr="00B22CA9">
        <w:rPr>
          <w:rFonts w:ascii="Times New Roman" w:hAnsi="Times New Roman" w:cs="Times New Roman"/>
          <w:sz w:val="24"/>
          <w:szCs w:val="24"/>
          <w:lang w:val="es-ES"/>
        </w:rPr>
        <w:t>r</w:t>
      </w:r>
      <w:r w:rsidR="00E0769A" w:rsidRPr="00B22CA9">
        <w:rPr>
          <w:rFonts w:ascii="Times New Roman" w:hAnsi="Times New Roman" w:cs="Times New Roman"/>
          <w:sz w:val="24"/>
          <w:szCs w:val="24"/>
          <w:lang w:val="es-ES"/>
        </w:rPr>
        <w:t xml:space="preserve">eglamento o una </w:t>
      </w:r>
      <w:r w:rsidR="00FD5650" w:rsidRPr="00B22CA9">
        <w:rPr>
          <w:rFonts w:ascii="Times New Roman" w:hAnsi="Times New Roman" w:cs="Times New Roman"/>
          <w:sz w:val="24"/>
          <w:szCs w:val="24"/>
          <w:lang w:val="es-ES"/>
        </w:rPr>
        <w:t>d</w:t>
      </w:r>
      <w:r w:rsidR="00E0769A" w:rsidRPr="00B22CA9">
        <w:rPr>
          <w:rFonts w:ascii="Times New Roman" w:hAnsi="Times New Roman" w:cs="Times New Roman"/>
          <w:sz w:val="24"/>
          <w:szCs w:val="24"/>
          <w:lang w:val="es-ES"/>
        </w:rPr>
        <w:t xml:space="preserve">ecisión, </w:t>
      </w:r>
      <w:r w:rsidR="00E076FE" w:rsidRPr="00B22CA9">
        <w:rPr>
          <w:rFonts w:ascii="Times New Roman" w:hAnsi="Times New Roman" w:cs="Times New Roman"/>
          <w:sz w:val="24"/>
          <w:szCs w:val="24"/>
          <w:lang w:val="es-ES"/>
        </w:rPr>
        <w:t>entra</w:t>
      </w:r>
      <w:r w:rsidRPr="00B22CA9">
        <w:rPr>
          <w:rFonts w:ascii="Times New Roman" w:hAnsi="Times New Roman" w:cs="Times New Roman"/>
          <w:sz w:val="24"/>
          <w:szCs w:val="24"/>
          <w:lang w:val="es-ES"/>
        </w:rPr>
        <w:t>rá</w:t>
      </w:r>
      <w:r w:rsidR="00E076FE" w:rsidRPr="00B22CA9">
        <w:rPr>
          <w:rFonts w:ascii="Times New Roman" w:hAnsi="Times New Roman" w:cs="Times New Roman"/>
          <w:sz w:val="24"/>
          <w:szCs w:val="24"/>
          <w:lang w:val="es-ES"/>
        </w:rPr>
        <w:t xml:space="preserve"> en contradicción con la Carta y </w:t>
      </w:r>
      <w:r w:rsidRPr="00B22CA9">
        <w:rPr>
          <w:rFonts w:ascii="Times New Roman" w:hAnsi="Times New Roman" w:cs="Times New Roman"/>
          <w:sz w:val="24"/>
          <w:szCs w:val="24"/>
          <w:lang w:val="es-ES"/>
        </w:rPr>
        <w:t>el</w:t>
      </w:r>
      <w:r w:rsidR="00E076FE" w:rsidRPr="00B22CA9">
        <w:rPr>
          <w:rFonts w:ascii="Times New Roman" w:hAnsi="Times New Roman" w:cs="Times New Roman"/>
          <w:sz w:val="24"/>
          <w:szCs w:val="24"/>
          <w:lang w:val="es-ES"/>
        </w:rPr>
        <w:t xml:space="preserve"> 51</w:t>
      </w:r>
      <w:r w:rsidRPr="00B22CA9">
        <w:rPr>
          <w:rFonts w:ascii="Times New Roman" w:hAnsi="Times New Roman" w:cs="Times New Roman"/>
          <w:sz w:val="24"/>
          <w:szCs w:val="24"/>
          <w:lang w:val="es-ES"/>
        </w:rPr>
        <w:t xml:space="preserve"> avalará la denuncia</w:t>
      </w:r>
      <w:r w:rsidR="00F95024" w:rsidRPr="00B22CA9">
        <w:rPr>
          <w:rFonts w:ascii="Times New Roman" w:hAnsi="Times New Roman" w:cs="Times New Roman"/>
          <w:sz w:val="24"/>
          <w:szCs w:val="24"/>
          <w:lang w:val="es-ES"/>
        </w:rPr>
        <w:t>. Un ejemplo es la sentencia de 8 de abril de 2010,</w:t>
      </w:r>
      <w:r w:rsidR="00436AFF" w:rsidRPr="00B22CA9">
        <w:rPr>
          <w:rFonts w:ascii="Times New Roman" w:hAnsi="Times New Roman" w:cs="Times New Roman"/>
          <w:sz w:val="24"/>
          <w:szCs w:val="24"/>
          <w:lang w:val="es-ES"/>
        </w:rPr>
        <w:t xml:space="preserve"> </w:t>
      </w:r>
      <w:r w:rsidR="00C31BEE" w:rsidRPr="00B22CA9">
        <w:rPr>
          <w:rFonts w:ascii="Times New Roman" w:hAnsi="Times New Roman" w:cs="Times New Roman"/>
          <w:sz w:val="24"/>
          <w:szCs w:val="24"/>
          <w:lang w:val="es-ES"/>
        </w:rPr>
        <w:t>Comisión/Hungría</w:t>
      </w:r>
      <w:r w:rsidR="00F95024" w:rsidRPr="00B22CA9">
        <w:rPr>
          <w:rFonts w:ascii="Times New Roman" w:hAnsi="Times New Roman" w:cs="Times New Roman"/>
          <w:sz w:val="24"/>
          <w:szCs w:val="24"/>
          <w:lang w:val="es-ES"/>
        </w:rPr>
        <w:t xml:space="preserve">, en la que la remoción anticipada de la autoridad de protección de datos se ponía en relación con </w:t>
      </w:r>
      <w:r w:rsidRPr="00B22CA9">
        <w:rPr>
          <w:rFonts w:ascii="Times New Roman" w:hAnsi="Times New Roman" w:cs="Times New Roman"/>
          <w:sz w:val="24"/>
          <w:szCs w:val="24"/>
          <w:lang w:val="es-ES"/>
        </w:rPr>
        <w:t>una regla clara, d</w:t>
      </w:r>
      <w:r w:rsidR="00F95024" w:rsidRPr="00B22CA9">
        <w:rPr>
          <w:rFonts w:ascii="Times New Roman" w:hAnsi="Times New Roman" w:cs="Times New Roman"/>
          <w:sz w:val="24"/>
          <w:szCs w:val="24"/>
          <w:lang w:val="es-ES"/>
        </w:rPr>
        <w:t>el artículo 8 de la Carta</w:t>
      </w:r>
      <w:r w:rsidRPr="00B22CA9">
        <w:rPr>
          <w:rFonts w:ascii="Times New Roman" w:hAnsi="Times New Roman" w:cs="Times New Roman"/>
          <w:sz w:val="24"/>
          <w:szCs w:val="24"/>
          <w:lang w:val="es-ES"/>
        </w:rPr>
        <w:t xml:space="preserve">, </w:t>
      </w:r>
      <w:r w:rsidR="00F95024" w:rsidRPr="00B22CA9">
        <w:rPr>
          <w:rFonts w:ascii="Times New Roman" w:hAnsi="Times New Roman" w:cs="Times New Roman"/>
          <w:sz w:val="24"/>
          <w:szCs w:val="24"/>
          <w:lang w:val="es-ES"/>
        </w:rPr>
        <w:t>sobre la garantía institucional de ese derecho</w:t>
      </w:r>
      <w:r w:rsidR="002A7FFB" w:rsidRPr="00B22CA9">
        <w:rPr>
          <w:rStyle w:val="Refdenotaalpie"/>
          <w:rFonts w:ascii="Times New Roman" w:hAnsi="Times New Roman" w:cs="Times New Roman"/>
          <w:sz w:val="24"/>
          <w:szCs w:val="24"/>
          <w:lang w:val="es-ES"/>
        </w:rPr>
        <w:footnoteReference w:id="35"/>
      </w:r>
      <w:r w:rsidR="00F95024" w:rsidRPr="00B22CA9">
        <w:rPr>
          <w:rFonts w:ascii="Times New Roman" w:hAnsi="Times New Roman" w:cs="Times New Roman"/>
          <w:sz w:val="24"/>
          <w:szCs w:val="24"/>
          <w:lang w:val="es-ES"/>
        </w:rPr>
        <w:t>.</w:t>
      </w:r>
      <w:r w:rsidR="00E0769A" w:rsidRPr="00B22CA9">
        <w:rPr>
          <w:rFonts w:ascii="Times New Roman" w:hAnsi="Times New Roman" w:cs="Times New Roman"/>
          <w:sz w:val="24"/>
          <w:szCs w:val="24"/>
          <w:lang w:val="es-ES"/>
        </w:rPr>
        <w:t xml:space="preserve"> En tercer lugar, </w:t>
      </w:r>
      <w:r w:rsidR="00565857" w:rsidRPr="00B22CA9">
        <w:rPr>
          <w:rFonts w:ascii="Times New Roman" w:hAnsi="Times New Roman" w:cs="Times New Roman"/>
          <w:sz w:val="24"/>
          <w:szCs w:val="24"/>
          <w:lang w:val="es-ES"/>
        </w:rPr>
        <w:t xml:space="preserve">si se echa la vista atrás, </w:t>
      </w:r>
      <w:r w:rsidR="00E0769A" w:rsidRPr="00B22CA9">
        <w:rPr>
          <w:rFonts w:ascii="Times New Roman" w:hAnsi="Times New Roman" w:cs="Times New Roman"/>
          <w:sz w:val="24"/>
          <w:szCs w:val="24"/>
          <w:lang w:val="es-ES"/>
        </w:rPr>
        <w:t xml:space="preserve">la Carta tampoco ha supuesto la </w:t>
      </w:r>
      <w:r w:rsidR="00E0769A" w:rsidRPr="00B22CA9">
        <w:rPr>
          <w:rFonts w:ascii="Times New Roman" w:hAnsi="Times New Roman" w:cs="Times New Roman"/>
          <w:sz w:val="24"/>
          <w:szCs w:val="24"/>
          <w:lang w:val="es-ES"/>
        </w:rPr>
        <w:lastRenderedPageBreak/>
        <w:t>incorporación desde cero de los derechos fundamentales en el sistema de la Unión</w:t>
      </w:r>
      <w:r w:rsidR="00E076FE" w:rsidRPr="00B22CA9">
        <w:rPr>
          <w:rFonts w:ascii="Times New Roman" w:hAnsi="Times New Roman" w:cs="Times New Roman"/>
          <w:sz w:val="24"/>
          <w:szCs w:val="24"/>
          <w:lang w:val="es-ES"/>
        </w:rPr>
        <w:t xml:space="preserve">. </w:t>
      </w:r>
      <w:r w:rsidRPr="00B22CA9">
        <w:rPr>
          <w:rFonts w:ascii="Times New Roman" w:hAnsi="Times New Roman" w:cs="Times New Roman"/>
          <w:sz w:val="24"/>
          <w:szCs w:val="24"/>
          <w:lang w:val="es-ES"/>
        </w:rPr>
        <w:t>E</w:t>
      </w:r>
      <w:r w:rsidR="00436AFF" w:rsidRPr="00B22CA9">
        <w:rPr>
          <w:rFonts w:ascii="Times New Roman" w:hAnsi="Times New Roman" w:cs="Times New Roman"/>
          <w:sz w:val="24"/>
          <w:szCs w:val="24"/>
          <w:lang w:val="es-ES"/>
        </w:rPr>
        <w:t>n tanto p</w:t>
      </w:r>
      <w:r w:rsidR="000A3203" w:rsidRPr="00B22CA9">
        <w:rPr>
          <w:rFonts w:ascii="Times New Roman" w:hAnsi="Times New Roman" w:cs="Times New Roman"/>
          <w:sz w:val="24"/>
          <w:szCs w:val="24"/>
          <w:lang w:val="es-ES"/>
        </w:rPr>
        <w:t>rincipios generales</w:t>
      </w:r>
      <w:r w:rsidR="00AA4F41" w:rsidRPr="00B22CA9">
        <w:rPr>
          <w:rFonts w:ascii="Times New Roman" w:hAnsi="Times New Roman" w:cs="Times New Roman"/>
          <w:sz w:val="24"/>
          <w:szCs w:val="24"/>
          <w:lang w:val="es-ES"/>
        </w:rPr>
        <w:t xml:space="preserve"> </w:t>
      </w:r>
      <w:r w:rsidRPr="00B22CA9">
        <w:rPr>
          <w:rFonts w:ascii="Times New Roman" w:hAnsi="Times New Roman" w:cs="Times New Roman"/>
          <w:sz w:val="24"/>
          <w:szCs w:val="24"/>
          <w:lang w:val="es-ES"/>
        </w:rPr>
        <w:t xml:space="preserve">ya </w:t>
      </w:r>
      <w:r w:rsidR="000A3203" w:rsidRPr="00B22CA9">
        <w:rPr>
          <w:rFonts w:ascii="Times New Roman" w:hAnsi="Times New Roman" w:cs="Times New Roman"/>
          <w:sz w:val="24"/>
          <w:szCs w:val="24"/>
          <w:lang w:val="es-ES"/>
        </w:rPr>
        <w:t>eran alegables</w:t>
      </w:r>
      <w:r w:rsidR="00E076FE" w:rsidRPr="00B22CA9">
        <w:rPr>
          <w:rFonts w:ascii="Times New Roman" w:hAnsi="Times New Roman" w:cs="Times New Roman"/>
          <w:sz w:val="24"/>
          <w:szCs w:val="24"/>
          <w:lang w:val="es-ES"/>
        </w:rPr>
        <w:t xml:space="preserve"> </w:t>
      </w:r>
      <w:r w:rsidR="000A3203" w:rsidRPr="00B22CA9">
        <w:rPr>
          <w:rFonts w:ascii="Times New Roman" w:hAnsi="Times New Roman" w:cs="Times New Roman"/>
          <w:sz w:val="24"/>
          <w:szCs w:val="24"/>
          <w:lang w:val="es-ES"/>
        </w:rPr>
        <w:t>como causa de incumplimiento</w:t>
      </w:r>
      <w:r w:rsidRPr="00B22CA9">
        <w:rPr>
          <w:rFonts w:ascii="Times New Roman" w:hAnsi="Times New Roman" w:cs="Times New Roman"/>
          <w:sz w:val="24"/>
          <w:szCs w:val="24"/>
          <w:lang w:val="es-ES"/>
        </w:rPr>
        <w:t>,</w:t>
      </w:r>
      <w:r w:rsidR="00964DCA" w:rsidRPr="00B22CA9">
        <w:rPr>
          <w:rFonts w:ascii="Times New Roman" w:hAnsi="Times New Roman" w:cs="Times New Roman"/>
          <w:sz w:val="24"/>
          <w:szCs w:val="24"/>
          <w:lang w:val="es-ES"/>
        </w:rPr>
        <w:t xml:space="preserve"> </w:t>
      </w:r>
      <w:r w:rsidR="00565857" w:rsidRPr="00B22CA9">
        <w:rPr>
          <w:rFonts w:ascii="Times New Roman" w:hAnsi="Times New Roman" w:cs="Times New Roman"/>
          <w:sz w:val="24"/>
          <w:szCs w:val="24"/>
          <w:lang w:val="es-ES"/>
        </w:rPr>
        <w:t xml:space="preserve">al igual que cualquier otro principio general </w:t>
      </w:r>
      <w:r w:rsidR="00964DCA" w:rsidRPr="00B22CA9">
        <w:rPr>
          <w:rFonts w:ascii="Times New Roman" w:hAnsi="Times New Roman" w:cs="Times New Roman"/>
          <w:sz w:val="24"/>
          <w:szCs w:val="24"/>
          <w:lang w:val="es-ES"/>
        </w:rPr>
        <w:t>(Gormley, 2017: 74)</w:t>
      </w:r>
      <w:r w:rsidR="00CB0A0F" w:rsidRPr="00B22CA9">
        <w:rPr>
          <w:rStyle w:val="Refdenotaalpie"/>
          <w:rFonts w:ascii="Times New Roman" w:hAnsi="Times New Roman" w:cs="Times New Roman"/>
          <w:sz w:val="24"/>
          <w:szCs w:val="24"/>
          <w:lang w:val="es-ES"/>
        </w:rPr>
        <w:footnoteReference w:id="36"/>
      </w:r>
      <w:r w:rsidR="00E0769A" w:rsidRPr="00B22CA9">
        <w:rPr>
          <w:rFonts w:ascii="Times New Roman" w:hAnsi="Times New Roman" w:cs="Times New Roman"/>
          <w:sz w:val="24"/>
          <w:szCs w:val="24"/>
          <w:lang w:val="es-ES"/>
        </w:rPr>
        <w:t xml:space="preserve">.   </w:t>
      </w:r>
    </w:p>
    <w:p w:rsidR="00AD0521" w:rsidRPr="00B22CA9" w:rsidRDefault="000C2E58" w:rsidP="007F11DF">
      <w:pPr>
        <w:spacing w:line="240" w:lineRule="auto"/>
        <w:ind w:firstLine="720"/>
        <w:jc w:val="both"/>
        <w:rPr>
          <w:rFonts w:ascii="Times New Roman" w:hAnsi="Times New Roman" w:cs="Times New Roman"/>
          <w:sz w:val="24"/>
          <w:szCs w:val="24"/>
          <w:lang w:val="es-ES"/>
        </w:rPr>
      </w:pPr>
      <w:r w:rsidRPr="00B22CA9">
        <w:rPr>
          <w:rFonts w:ascii="Times New Roman" w:hAnsi="Times New Roman" w:cs="Times New Roman"/>
          <w:sz w:val="24"/>
          <w:szCs w:val="24"/>
          <w:lang w:val="es-ES"/>
        </w:rPr>
        <w:t>El</w:t>
      </w:r>
      <w:r w:rsidR="00E0769A" w:rsidRPr="00B22CA9">
        <w:rPr>
          <w:rFonts w:ascii="Times New Roman" w:hAnsi="Times New Roman" w:cs="Times New Roman"/>
          <w:sz w:val="24"/>
          <w:szCs w:val="24"/>
          <w:lang w:val="es-ES"/>
        </w:rPr>
        <w:t xml:space="preserve"> primer matiz</w:t>
      </w:r>
      <w:r w:rsidRPr="00B22CA9">
        <w:rPr>
          <w:rFonts w:ascii="Times New Roman" w:hAnsi="Times New Roman" w:cs="Times New Roman"/>
          <w:sz w:val="24"/>
          <w:szCs w:val="24"/>
          <w:lang w:val="es-ES"/>
        </w:rPr>
        <w:t xml:space="preserve"> surge</w:t>
      </w:r>
      <w:r w:rsidR="007561F9" w:rsidRPr="00B22CA9">
        <w:rPr>
          <w:rFonts w:ascii="Times New Roman" w:hAnsi="Times New Roman" w:cs="Times New Roman"/>
          <w:sz w:val="24"/>
          <w:szCs w:val="24"/>
          <w:lang w:val="es-ES"/>
        </w:rPr>
        <w:t>, precisamente,</w:t>
      </w:r>
      <w:r w:rsidR="00E076FE" w:rsidRPr="00B22CA9">
        <w:rPr>
          <w:rFonts w:ascii="Times New Roman" w:hAnsi="Times New Roman" w:cs="Times New Roman"/>
          <w:sz w:val="24"/>
          <w:szCs w:val="24"/>
          <w:lang w:val="es-ES"/>
        </w:rPr>
        <w:t xml:space="preserve"> en relación con esa naturaleza originaria de los derechos en la Unión</w:t>
      </w:r>
      <w:r w:rsidR="00E0769A" w:rsidRPr="00B22CA9">
        <w:rPr>
          <w:rFonts w:ascii="Times New Roman" w:hAnsi="Times New Roman" w:cs="Times New Roman"/>
          <w:sz w:val="24"/>
          <w:szCs w:val="24"/>
          <w:lang w:val="es-ES"/>
        </w:rPr>
        <w:t xml:space="preserve">. Los derechos han sido </w:t>
      </w:r>
      <w:r w:rsidR="00E076FE" w:rsidRPr="00B22CA9">
        <w:rPr>
          <w:rFonts w:ascii="Times New Roman" w:hAnsi="Times New Roman" w:cs="Times New Roman"/>
          <w:sz w:val="24"/>
          <w:szCs w:val="24"/>
          <w:lang w:val="es-ES"/>
        </w:rPr>
        <w:t xml:space="preserve">y son </w:t>
      </w:r>
      <w:r w:rsidR="00E0769A" w:rsidRPr="00B22CA9">
        <w:rPr>
          <w:rFonts w:ascii="Times New Roman" w:hAnsi="Times New Roman" w:cs="Times New Roman"/>
          <w:sz w:val="24"/>
          <w:szCs w:val="24"/>
          <w:lang w:val="es-ES"/>
        </w:rPr>
        <w:t>invocables como principios generales, pero el r</w:t>
      </w:r>
      <w:r w:rsidR="00AA4F41" w:rsidRPr="00B22CA9">
        <w:rPr>
          <w:rFonts w:ascii="Times New Roman" w:hAnsi="Times New Roman" w:cs="Times New Roman"/>
          <w:sz w:val="24"/>
          <w:szCs w:val="24"/>
          <w:lang w:val="es-ES"/>
        </w:rPr>
        <w:t>ecurso a principios generales como causa de incumplimiento</w:t>
      </w:r>
      <w:r w:rsidR="00565857" w:rsidRPr="00B22CA9">
        <w:rPr>
          <w:rFonts w:ascii="Times New Roman" w:hAnsi="Times New Roman" w:cs="Times New Roman"/>
          <w:sz w:val="24"/>
          <w:szCs w:val="24"/>
          <w:lang w:val="es-ES"/>
        </w:rPr>
        <w:t xml:space="preserve"> </w:t>
      </w:r>
      <w:r w:rsidR="00E076FE" w:rsidRPr="00B22CA9">
        <w:rPr>
          <w:rFonts w:ascii="Times New Roman" w:hAnsi="Times New Roman" w:cs="Times New Roman"/>
          <w:sz w:val="24"/>
          <w:szCs w:val="24"/>
          <w:lang w:val="es-ES"/>
        </w:rPr>
        <w:t>se</w:t>
      </w:r>
      <w:r w:rsidR="00565857" w:rsidRPr="00B22CA9">
        <w:rPr>
          <w:rFonts w:ascii="Times New Roman" w:hAnsi="Times New Roman" w:cs="Times New Roman"/>
          <w:sz w:val="24"/>
          <w:szCs w:val="24"/>
          <w:lang w:val="es-ES"/>
        </w:rPr>
        <w:t xml:space="preserve"> sujet</w:t>
      </w:r>
      <w:r w:rsidR="00E076FE" w:rsidRPr="00B22CA9">
        <w:rPr>
          <w:rFonts w:ascii="Times New Roman" w:hAnsi="Times New Roman" w:cs="Times New Roman"/>
          <w:sz w:val="24"/>
          <w:szCs w:val="24"/>
          <w:lang w:val="es-ES"/>
        </w:rPr>
        <w:t>a</w:t>
      </w:r>
      <w:r w:rsidR="00565857" w:rsidRPr="00B22CA9">
        <w:rPr>
          <w:rFonts w:ascii="Times New Roman" w:hAnsi="Times New Roman" w:cs="Times New Roman"/>
          <w:sz w:val="24"/>
          <w:szCs w:val="24"/>
          <w:lang w:val="es-ES"/>
        </w:rPr>
        <w:t xml:space="preserve"> a ciertas condiciones</w:t>
      </w:r>
      <w:r w:rsidR="00E0769A" w:rsidRPr="00B22CA9">
        <w:rPr>
          <w:rFonts w:ascii="Times New Roman" w:hAnsi="Times New Roman" w:cs="Times New Roman"/>
          <w:sz w:val="24"/>
          <w:szCs w:val="24"/>
          <w:lang w:val="es-ES"/>
        </w:rPr>
        <w:t xml:space="preserve">. En primer lugar, esa invocación está condicionada por la </w:t>
      </w:r>
      <w:r w:rsidR="00E076FE" w:rsidRPr="00B22CA9">
        <w:rPr>
          <w:rFonts w:ascii="Times New Roman" w:hAnsi="Times New Roman" w:cs="Times New Roman"/>
          <w:sz w:val="24"/>
          <w:szCs w:val="24"/>
          <w:lang w:val="es-ES"/>
        </w:rPr>
        <w:t>necesidad</w:t>
      </w:r>
      <w:r w:rsidR="00E0769A" w:rsidRPr="00B22CA9">
        <w:rPr>
          <w:rFonts w:ascii="Times New Roman" w:hAnsi="Times New Roman" w:cs="Times New Roman"/>
          <w:sz w:val="24"/>
          <w:szCs w:val="24"/>
          <w:lang w:val="es-ES"/>
        </w:rPr>
        <w:t xml:space="preserve"> de que </w:t>
      </w:r>
      <w:r w:rsidR="00AD0521" w:rsidRPr="00B22CA9">
        <w:rPr>
          <w:rFonts w:ascii="Times New Roman" w:hAnsi="Times New Roman" w:cs="Times New Roman"/>
          <w:sz w:val="24"/>
          <w:szCs w:val="24"/>
          <w:lang w:val="es-ES"/>
        </w:rPr>
        <w:t>exista una obligación jurídica</w:t>
      </w:r>
      <w:r w:rsidR="007561F9" w:rsidRPr="00B22CA9">
        <w:rPr>
          <w:rFonts w:ascii="Times New Roman" w:hAnsi="Times New Roman" w:cs="Times New Roman"/>
          <w:sz w:val="24"/>
          <w:szCs w:val="24"/>
          <w:lang w:val="es-ES"/>
        </w:rPr>
        <w:t xml:space="preserve"> incumplida</w:t>
      </w:r>
      <w:r w:rsidR="00E0769A" w:rsidRPr="00B22CA9">
        <w:rPr>
          <w:rFonts w:ascii="Times New Roman" w:hAnsi="Times New Roman" w:cs="Times New Roman"/>
          <w:sz w:val="24"/>
          <w:szCs w:val="24"/>
          <w:lang w:val="es-ES"/>
        </w:rPr>
        <w:t xml:space="preserve"> </w:t>
      </w:r>
      <w:r w:rsidR="00E076FE" w:rsidRPr="00B22CA9">
        <w:rPr>
          <w:rFonts w:ascii="Times New Roman" w:hAnsi="Times New Roman" w:cs="Times New Roman"/>
          <w:sz w:val="24"/>
          <w:szCs w:val="24"/>
          <w:lang w:val="es-ES"/>
        </w:rPr>
        <w:t>que se desprenda del derecho originario o derivado</w:t>
      </w:r>
      <w:r w:rsidR="0056476B" w:rsidRPr="00B22CA9">
        <w:rPr>
          <w:rFonts w:ascii="Times New Roman" w:hAnsi="Times New Roman" w:cs="Times New Roman"/>
          <w:sz w:val="24"/>
          <w:szCs w:val="24"/>
          <w:lang w:val="es-ES"/>
        </w:rPr>
        <w:t xml:space="preserve"> y que esté </w:t>
      </w:r>
      <w:r w:rsidR="00540267" w:rsidRPr="00B22CA9">
        <w:rPr>
          <w:rFonts w:ascii="Times New Roman" w:hAnsi="Times New Roman" w:cs="Times New Roman"/>
          <w:sz w:val="24"/>
          <w:szCs w:val="24"/>
          <w:lang w:val="es-ES"/>
        </w:rPr>
        <w:t>conectada con el principio general</w:t>
      </w:r>
      <w:r w:rsidR="00AD0521" w:rsidRPr="00B22CA9">
        <w:rPr>
          <w:rFonts w:ascii="Times New Roman" w:hAnsi="Times New Roman" w:cs="Times New Roman"/>
          <w:sz w:val="24"/>
          <w:szCs w:val="24"/>
          <w:lang w:val="es-ES"/>
        </w:rPr>
        <w:t xml:space="preserve">. La generalidad de los principios </w:t>
      </w:r>
      <w:r w:rsidR="0056476B" w:rsidRPr="00B22CA9">
        <w:rPr>
          <w:rFonts w:ascii="Times New Roman" w:hAnsi="Times New Roman" w:cs="Times New Roman"/>
          <w:sz w:val="24"/>
          <w:szCs w:val="24"/>
          <w:lang w:val="es-ES"/>
        </w:rPr>
        <w:t>dificulta mucho</w:t>
      </w:r>
      <w:r w:rsidR="00AD0521" w:rsidRPr="00B22CA9">
        <w:rPr>
          <w:rFonts w:ascii="Times New Roman" w:hAnsi="Times New Roman" w:cs="Times New Roman"/>
          <w:sz w:val="24"/>
          <w:szCs w:val="24"/>
          <w:lang w:val="es-ES"/>
        </w:rPr>
        <w:t xml:space="preserve"> que protagoni</w:t>
      </w:r>
      <w:r w:rsidR="0056476B" w:rsidRPr="00B22CA9">
        <w:rPr>
          <w:rFonts w:ascii="Times New Roman" w:hAnsi="Times New Roman" w:cs="Times New Roman"/>
          <w:sz w:val="24"/>
          <w:szCs w:val="24"/>
          <w:lang w:val="es-ES"/>
        </w:rPr>
        <w:t>cen</w:t>
      </w:r>
      <w:r w:rsidR="00AD0521" w:rsidRPr="00B22CA9">
        <w:rPr>
          <w:rFonts w:ascii="Times New Roman" w:hAnsi="Times New Roman" w:cs="Times New Roman"/>
          <w:sz w:val="24"/>
          <w:szCs w:val="24"/>
          <w:lang w:val="es-ES"/>
        </w:rPr>
        <w:t xml:space="preserve"> por sí mismos</w:t>
      </w:r>
      <w:r w:rsidR="0056476B" w:rsidRPr="00B22CA9">
        <w:rPr>
          <w:rFonts w:ascii="Times New Roman" w:hAnsi="Times New Roman" w:cs="Times New Roman"/>
          <w:sz w:val="24"/>
          <w:szCs w:val="24"/>
          <w:lang w:val="es-ES"/>
        </w:rPr>
        <w:t>, a modo de única causa,</w:t>
      </w:r>
      <w:r w:rsidR="00AD0521" w:rsidRPr="00B22CA9">
        <w:rPr>
          <w:rFonts w:ascii="Times New Roman" w:hAnsi="Times New Roman" w:cs="Times New Roman"/>
          <w:sz w:val="24"/>
          <w:szCs w:val="24"/>
          <w:lang w:val="es-ES"/>
        </w:rPr>
        <w:t xml:space="preserve"> un recurso de la Comisión</w:t>
      </w:r>
      <w:r w:rsidR="0056476B" w:rsidRPr="00B22CA9">
        <w:rPr>
          <w:rFonts w:ascii="Times New Roman" w:hAnsi="Times New Roman" w:cs="Times New Roman"/>
          <w:sz w:val="24"/>
          <w:szCs w:val="24"/>
          <w:lang w:val="es-ES"/>
        </w:rPr>
        <w:t>. Así</w:t>
      </w:r>
      <w:r w:rsidR="00E076FE" w:rsidRPr="00B22CA9">
        <w:rPr>
          <w:rFonts w:ascii="Times New Roman" w:hAnsi="Times New Roman" w:cs="Times New Roman"/>
          <w:sz w:val="24"/>
          <w:szCs w:val="24"/>
          <w:lang w:val="es-ES"/>
        </w:rPr>
        <w:t xml:space="preserve"> </w:t>
      </w:r>
      <w:r w:rsidR="00AA4F41" w:rsidRPr="00B22CA9">
        <w:rPr>
          <w:rFonts w:ascii="Times New Roman" w:hAnsi="Times New Roman" w:cs="Times New Roman"/>
          <w:sz w:val="24"/>
          <w:szCs w:val="24"/>
          <w:lang w:val="es-ES"/>
        </w:rPr>
        <w:t>lo confirma la práctica</w:t>
      </w:r>
      <w:r w:rsidR="00CA1324" w:rsidRPr="00B22CA9">
        <w:rPr>
          <w:rFonts w:ascii="Times New Roman" w:hAnsi="Times New Roman" w:cs="Times New Roman"/>
          <w:sz w:val="24"/>
          <w:szCs w:val="24"/>
          <w:lang w:val="es-ES"/>
        </w:rPr>
        <w:t xml:space="preserve"> hasta el momento</w:t>
      </w:r>
      <w:r w:rsidR="0056476B" w:rsidRPr="00B22CA9">
        <w:rPr>
          <w:rFonts w:ascii="Times New Roman" w:hAnsi="Times New Roman" w:cs="Times New Roman"/>
          <w:sz w:val="24"/>
          <w:szCs w:val="24"/>
          <w:lang w:val="es-ES"/>
        </w:rPr>
        <w:t xml:space="preserve"> (</w:t>
      </w:r>
      <w:proofErr w:type="spellStart"/>
      <w:r w:rsidR="0056476B" w:rsidRPr="00B22CA9">
        <w:rPr>
          <w:rFonts w:ascii="Times New Roman" w:hAnsi="Times New Roman" w:cs="Times New Roman"/>
          <w:sz w:val="24"/>
          <w:szCs w:val="24"/>
          <w:lang w:val="es-ES"/>
        </w:rPr>
        <w:t>Prete</w:t>
      </w:r>
      <w:proofErr w:type="spellEnd"/>
      <w:r w:rsidR="0056476B" w:rsidRPr="00B22CA9">
        <w:rPr>
          <w:rFonts w:ascii="Times New Roman" w:hAnsi="Times New Roman" w:cs="Times New Roman"/>
          <w:sz w:val="24"/>
          <w:szCs w:val="24"/>
          <w:lang w:val="es-ES"/>
        </w:rPr>
        <w:t xml:space="preserve">, 2017: 72) </w:t>
      </w:r>
      <w:r w:rsidR="000A3203" w:rsidRPr="00B22CA9">
        <w:rPr>
          <w:rFonts w:ascii="Times New Roman" w:hAnsi="Times New Roman" w:cs="Times New Roman"/>
          <w:sz w:val="24"/>
          <w:szCs w:val="24"/>
          <w:lang w:val="es-ES"/>
        </w:rPr>
        <w:t>(Materne, 2012: 181)</w:t>
      </w:r>
      <w:r w:rsidR="00F278AF" w:rsidRPr="00B22CA9">
        <w:rPr>
          <w:rStyle w:val="Refdenotaalpie"/>
          <w:rFonts w:ascii="Times New Roman" w:hAnsi="Times New Roman" w:cs="Times New Roman"/>
          <w:sz w:val="24"/>
          <w:szCs w:val="24"/>
          <w:lang w:val="es-ES"/>
        </w:rPr>
        <w:footnoteReference w:id="37"/>
      </w:r>
      <w:r w:rsidR="000A3203" w:rsidRPr="00B22CA9">
        <w:rPr>
          <w:rFonts w:ascii="Times New Roman" w:hAnsi="Times New Roman" w:cs="Times New Roman"/>
          <w:sz w:val="24"/>
          <w:szCs w:val="24"/>
          <w:lang w:val="es-ES"/>
        </w:rPr>
        <w:t xml:space="preserve">. </w:t>
      </w:r>
      <w:r w:rsidR="007561F9" w:rsidRPr="00B22CA9">
        <w:rPr>
          <w:rFonts w:ascii="Times New Roman" w:hAnsi="Times New Roman" w:cs="Times New Roman"/>
          <w:sz w:val="24"/>
          <w:szCs w:val="24"/>
          <w:lang w:val="es-ES"/>
        </w:rPr>
        <w:t>Por tanto, s</w:t>
      </w:r>
      <w:r w:rsidR="004669CD" w:rsidRPr="00B22CA9">
        <w:rPr>
          <w:rFonts w:ascii="Times New Roman" w:hAnsi="Times New Roman" w:cs="Times New Roman"/>
          <w:sz w:val="24"/>
          <w:szCs w:val="24"/>
          <w:lang w:val="es-ES"/>
        </w:rPr>
        <w:t xml:space="preserve">i es así para principios como el de confianza mutua, también lo </w:t>
      </w:r>
      <w:r w:rsidR="007561F9" w:rsidRPr="00B22CA9">
        <w:rPr>
          <w:rFonts w:ascii="Times New Roman" w:hAnsi="Times New Roman" w:cs="Times New Roman"/>
          <w:sz w:val="24"/>
          <w:szCs w:val="24"/>
          <w:lang w:val="es-ES"/>
        </w:rPr>
        <w:t>es</w:t>
      </w:r>
      <w:r w:rsidR="004669CD" w:rsidRPr="00B22CA9">
        <w:rPr>
          <w:rFonts w:ascii="Times New Roman" w:hAnsi="Times New Roman" w:cs="Times New Roman"/>
          <w:sz w:val="24"/>
          <w:szCs w:val="24"/>
          <w:lang w:val="es-ES"/>
        </w:rPr>
        <w:t xml:space="preserve"> para las normas de principio derivadas de los derechos fundamentales.  </w:t>
      </w:r>
    </w:p>
    <w:p w:rsidR="00CF4048" w:rsidRPr="00B22CA9" w:rsidRDefault="00436AFF" w:rsidP="007F11DF">
      <w:pPr>
        <w:spacing w:line="240" w:lineRule="auto"/>
        <w:ind w:firstLine="720"/>
        <w:jc w:val="both"/>
        <w:rPr>
          <w:rFonts w:ascii="Times New Roman" w:hAnsi="Times New Roman" w:cs="Times New Roman"/>
          <w:sz w:val="24"/>
          <w:szCs w:val="24"/>
          <w:lang w:val="es-ES"/>
        </w:rPr>
      </w:pPr>
      <w:r w:rsidRPr="00B22CA9">
        <w:rPr>
          <w:rFonts w:ascii="Times New Roman" w:hAnsi="Times New Roman" w:cs="Times New Roman"/>
          <w:sz w:val="24"/>
          <w:szCs w:val="24"/>
          <w:lang w:val="es-ES"/>
        </w:rPr>
        <w:t>E</w:t>
      </w:r>
      <w:r w:rsidR="004669CD" w:rsidRPr="00B22CA9">
        <w:rPr>
          <w:rFonts w:ascii="Times New Roman" w:hAnsi="Times New Roman" w:cs="Times New Roman"/>
          <w:sz w:val="24"/>
          <w:szCs w:val="24"/>
          <w:lang w:val="es-ES"/>
        </w:rPr>
        <w:t xml:space="preserve">n el mismo orden de cuestiones, </w:t>
      </w:r>
      <w:r w:rsidR="003957CB" w:rsidRPr="00B22CA9">
        <w:rPr>
          <w:rFonts w:ascii="Times New Roman" w:hAnsi="Times New Roman" w:cs="Times New Roman"/>
          <w:sz w:val="24"/>
          <w:szCs w:val="24"/>
          <w:lang w:val="es-ES"/>
        </w:rPr>
        <w:t>es preciso recordar algo, haciendo una</w:t>
      </w:r>
      <w:r w:rsidR="00C31BEE" w:rsidRPr="00B22CA9">
        <w:rPr>
          <w:rFonts w:ascii="Times New Roman" w:hAnsi="Times New Roman" w:cs="Times New Roman"/>
          <w:sz w:val="24"/>
          <w:szCs w:val="24"/>
          <w:lang w:val="es-ES"/>
        </w:rPr>
        <w:t xml:space="preserve"> matización adicional</w:t>
      </w:r>
      <w:r w:rsidR="00540267" w:rsidRPr="00B22CA9">
        <w:rPr>
          <w:rFonts w:ascii="Times New Roman" w:hAnsi="Times New Roman" w:cs="Times New Roman"/>
          <w:sz w:val="24"/>
          <w:szCs w:val="24"/>
          <w:lang w:val="es-ES"/>
        </w:rPr>
        <w:t xml:space="preserve">. Y es que </w:t>
      </w:r>
      <w:r w:rsidR="004669CD" w:rsidRPr="00B22CA9">
        <w:rPr>
          <w:rFonts w:ascii="Times New Roman" w:hAnsi="Times New Roman" w:cs="Times New Roman"/>
          <w:sz w:val="24"/>
          <w:szCs w:val="24"/>
          <w:lang w:val="es-ES"/>
        </w:rPr>
        <w:t xml:space="preserve">la invocación de las </w:t>
      </w:r>
      <w:r w:rsidR="00540267" w:rsidRPr="00B22CA9">
        <w:rPr>
          <w:rFonts w:ascii="Times New Roman" w:hAnsi="Times New Roman" w:cs="Times New Roman"/>
          <w:sz w:val="24"/>
          <w:szCs w:val="24"/>
          <w:lang w:val="es-ES"/>
        </w:rPr>
        <w:t>disposiciones</w:t>
      </w:r>
      <w:r w:rsidR="004669CD" w:rsidRPr="00B22CA9">
        <w:rPr>
          <w:rFonts w:ascii="Times New Roman" w:hAnsi="Times New Roman" w:cs="Times New Roman"/>
          <w:sz w:val="24"/>
          <w:szCs w:val="24"/>
          <w:lang w:val="es-ES"/>
        </w:rPr>
        <w:t xml:space="preserve"> de la Carta</w:t>
      </w:r>
      <w:r w:rsidR="00540267" w:rsidRPr="00B22CA9">
        <w:rPr>
          <w:rFonts w:ascii="Times New Roman" w:hAnsi="Times New Roman" w:cs="Times New Roman"/>
          <w:sz w:val="24"/>
          <w:szCs w:val="24"/>
          <w:lang w:val="es-ES"/>
        </w:rPr>
        <w:t xml:space="preserve"> </w:t>
      </w:r>
      <w:r w:rsidR="00AF73B6" w:rsidRPr="00B22CA9">
        <w:rPr>
          <w:rFonts w:ascii="Times New Roman" w:hAnsi="Times New Roman" w:cs="Times New Roman"/>
          <w:sz w:val="24"/>
          <w:szCs w:val="24"/>
          <w:lang w:val="es-ES"/>
        </w:rPr>
        <w:t>no</w:t>
      </w:r>
      <w:r w:rsidR="004669CD" w:rsidRPr="00B22CA9">
        <w:rPr>
          <w:rFonts w:ascii="Times New Roman" w:hAnsi="Times New Roman" w:cs="Times New Roman"/>
          <w:sz w:val="24"/>
          <w:szCs w:val="24"/>
          <w:lang w:val="es-ES"/>
        </w:rPr>
        <w:t xml:space="preserve"> podr</w:t>
      </w:r>
      <w:r w:rsidR="00C83D1C" w:rsidRPr="00B22CA9">
        <w:rPr>
          <w:rFonts w:ascii="Times New Roman" w:hAnsi="Times New Roman" w:cs="Times New Roman"/>
          <w:sz w:val="24"/>
          <w:szCs w:val="24"/>
          <w:lang w:val="es-ES"/>
        </w:rPr>
        <w:t>ía</w:t>
      </w:r>
      <w:r w:rsidR="004669CD" w:rsidRPr="00B22CA9">
        <w:rPr>
          <w:rFonts w:ascii="Times New Roman" w:hAnsi="Times New Roman" w:cs="Times New Roman"/>
          <w:sz w:val="24"/>
          <w:szCs w:val="24"/>
          <w:lang w:val="es-ES"/>
        </w:rPr>
        <w:t xml:space="preserve"> desvincularse del ámbito de aplicación d</w:t>
      </w:r>
      <w:r w:rsidR="00FF7405" w:rsidRPr="00B22CA9">
        <w:rPr>
          <w:rFonts w:ascii="Times New Roman" w:hAnsi="Times New Roman" w:cs="Times New Roman"/>
          <w:sz w:val="24"/>
          <w:szCs w:val="24"/>
          <w:lang w:val="es-ES"/>
        </w:rPr>
        <w:t xml:space="preserve">el </w:t>
      </w:r>
      <w:r w:rsidR="00FD7E4B" w:rsidRPr="00B22CA9">
        <w:rPr>
          <w:rFonts w:ascii="Times New Roman" w:hAnsi="Times New Roman" w:cs="Times New Roman"/>
          <w:sz w:val="24"/>
          <w:szCs w:val="24"/>
          <w:lang w:val="es-ES"/>
        </w:rPr>
        <w:t>d</w:t>
      </w:r>
      <w:r w:rsidR="00FF7405" w:rsidRPr="00B22CA9">
        <w:rPr>
          <w:rFonts w:ascii="Times New Roman" w:hAnsi="Times New Roman" w:cs="Times New Roman"/>
          <w:sz w:val="24"/>
          <w:szCs w:val="24"/>
          <w:lang w:val="es-ES"/>
        </w:rPr>
        <w:t>erecho de la Unión</w:t>
      </w:r>
      <w:r w:rsidR="00CF4048" w:rsidRPr="00B22CA9">
        <w:rPr>
          <w:rFonts w:ascii="Times New Roman" w:hAnsi="Times New Roman" w:cs="Times New Roman"/>
          <w:sz w:val="24"/>
          <w:szCs w:val="24"/>
          <w:lang w:val="es-ES"/>
        </w:rPr>
        <w:t xml:space="preserve"> </w:t>
      </w:r>
      <w:r w:rsidR="003957CB" w:rsidRPr="00B22CA9">
        <w:rPr>
          <w:rFonts w:ascii="Times New Roman" w:hAnsi="Times New Roman" w:cs="Times New Roman"/>
          <w:sz w:val="24"/>
          <w:szCs w:val="24"/>
          <w:lang w:val="es-ES"/>
        </w:rPr>
        <w:t>cuando</w:t>
      </w:r>
      <w:r w:rsidR="00CF4048" w:rsidRPr="00B22CA9">
        <w:rPr>
          <w:rFonts w:ascii="Times New Roman" w:hAnsi="Times New Roman" w:cs="Times New Roman"/>
          <w:sz w:val="24"/>
          <w:szCs w:val="24"/>
          <w:lang w:val="es-ES"/>
        </w:rPr>
        <w:t xml:space="preserve"> </w:t>
      </w:r>
      <w:r w:rsidR="003957CB" w:rsidRPr="00B22CA9">
        <w:rPr>
          <w:rFonts w:ascii="Times New Roman" w:hAnsi="Times New Roman" w:cs="Times New Roman"/>
          <w:sz w:val="24"/>
          <w:szCs w:val="24"/>
          <w:lang w:val="es-ES"/>
        </w:rPr>
        <w:t xml:space="preserve">se </w:t>
      </w:r>
      <w:r w:rsidR="00CF4048" w:rsidRPr="00B22CA9">
        <w:rPr>
          <w:rFonts w:ascii="Times New Roman" w:hAnsi="Times New Roman" w:cs="Times New Roman"/>
          <w:sz w:val="24"/>
          <w:szCs w:val="24"/>
          <w:lang w:val="es-ES"/>
        </w:rPr>
        <w:t>confronta</w:t>
      </w:r>
      <w:r w:rsidR="003957CB" w:rsidRPr="00B22CA9">
        <w:rPr>
          <w:rFonts w:ascii="Times New Roman" w:hAnsi="Times New Roman" w:cs="Times New Roman"/>
          <w:sz w:val="24"/>
          <w:szCs w:val="24"/>
          <w:lang w:val="es-ES"/>
        </w:rPr>
        <w:t>n con</w:t>
      </w:r>
      <w:r w:rsidR="00CF4048" w:rsidRPr="00B22CA9">
        <w:rPr>
          <w:rFonts w:ascii="Times New Roman" w:hAnsi="Times New Roman" w:cs="Times New Roman"/>
          <w:sz w:val="24"/>
          <w:szCs w:val="24"/>
          <w:lang w:val="es-ES"/>
        </w:rPr>
        <w:t xml:space="preserve"> una act</w:t>
      </w:r>
      <w:r w:rsidR="003957CB" w:rsidRPr="00B22CA9">
        <w:rPr>
          <w:rFonts w:ascii="Times New Roman" w:hAnsi="Times New Roman" w:cs="Times New Roman"/>
          <w:sz w:val="24"/>
          <w:szCs w:val="24"/>
          <w:lang w:val="es-ES"/>
        </w:rPr>
        <w:t>uación u omisión estatal</w:t>
      </w:r>
      <w:r w:rsidRPr="00B22CA9">
        <w:rPr>
          <w:rFonts w:ascii="Times New Roman" w:hAnsi="Times New Roman" w:cs="Times New Roman"/>
          <w:sz w:val="24"/>
          <w:szCs w:val="24"/>
          <w:lang w:val="es-ES"/>
        </w:rPr>
        <w:t xml:space="preserve">. Es la condición que </w:t>
      </w:r>
      <w:r w:rsidR="00CF4048" w:rsidRPr="00B22CA9">
        <w:rPr>
          <w:rFonts w:ascii="Times New Roman" w:hAnsi="Times New Roman" w:cs="Times New Roman"/>
          <w:sz w:val="24"/>
          <w:szCs w:val="24"/>
          <w:lang w:val="es-ES"/>
        </w:rPr>
        <w:t xml:space="preserve">pone el </w:t>
      </w:r>
      <w:r w:rsidR="000B7F09" w:rsidRPr="00B22CA9">
        <w:rPr>
          <w:rFonts w:ascii="Times New Roman" w:hAnsi="Times New Roman" w:cs="Times New Roman"/>
          <w:sz w:val="24"/>
          <w:szCs w:val="24"/>
          <w:lang w:val="es-ES"/>
        </w:rPr>
        <w:t>artículo 51</w:t>
      </w:r>
      <w:r w:rsidR="003957CB" w:rsidRPr="00B22CA9">
        <w:rPr>
          <w:rFonts w:ascii="Times New Roman" w:hAnsi="Times New Roman" w:cs="Times New Roman"/>
          <w:sz w:val="24"/>
          <w:szCs w:val="24"/>
          <w:lang w:val="es-ES"/>
        </w:rPr>
        <w:t xml:space="preserve"> de la Carta. Además la</w:t>
      </w:r>
      <w:r w:rsidR="00CF4048" w:rsidRPr="00B22CA9">
        <w:rPr>
          <w:rFonts w:ascii="Times New Roman" w:hAnsi="Times New Roman" w:cs="Times New Roman"/>
          <w:sz w:val="24"/>
          <w:szCs w:val="24"/>
          <w:lang w:val="es-ES"/>
        </w:rPr>
        <w:t xml:space="preserve"> interpretación</w:t>
      </w:r>
      <w:r w:rsidR="003957CB" w:rsidRPr="00B22CA9">
        <w:rPr>
          <w:rFonts w:ascii="Times New Roman" w:hAnsi="Times New Roman" w:cs="Times New Roman"/>
          <w:sz w:val="24"/>
          <w:szCs w:val="24"/>
          <w:lang w:val="es-ES"/>
        </w:rPr>
        <w:t xml:space="preserve"> de esta cláusula</w:t>
      </w:r>
      <w:r w:rsidR="0056476B" w:rsidRPr="00B22CA9">
        <w:rPr>
          <w:rFonts w:ascii="Times New Roman" w:hAnsi="Times New Roman" w:cs="Times New Roman"/>
          <w:sz w:val="24"/>
          <w:szCs w:val="24"/>
          <w:lang w:val="es-ES"/>
        </w:rPr>
        <w:t>, en un principio</w:t>
      </w:r>
      <w:r w:rsidR="00CF4048" w:rsidRPr="00B22CA9">
        <w:rPr>
          <w:rFonts w:ascii="Times New Roman" w:hAnsi="Times New Roman" w:cs="Times New Roman"/>
          <w:sz w:val="24"/>
          <w:szCs w:val="24"/>
          <w:lang w:val="es-ES"/>
        </w:rPr>
        <w:t xml:space="preserve"> extensiva</w:t>
      </w:r>
      <w:r w:rsidR="0056476B" w:rsidRPr="00B22CA9">
        <w:rPr>
          <w:rFonts w:ascii="Times New Roman" w:hAnsi="Times New Roman" w:cs="Times New Roman"/>
          <w:sz w:val="24"/>
          <w:szCs w:val="24"/>
          <w:lang w:val="es-ES"/>
        </w:rPr>
        <w:t>,</w:t>
      </w:r>
      <w:r w:rsidR="00CF4048" w:rsidRPr="00B22CA9">
        <w:rPr>
          <w:rFonts w:ascii="Times New Roman" w:hAnsi="Times New Roman" w:cs="Times New Roman"/>
          <w:sz w:val="24"/>
          <w:szCs w:val="24"/>
          <w:lang w:val="es-ES"/>
        </w:rPr>
        <w:t xml:space="preserve"> </w:t>
      </w:r>
      <w:r w:rsidR="003957CB" w:rsidRPr="00B22CA9">
        <w:rPr>
          <w:rFonts w:ascii="Times New Roman" w:hAnsi="Times New Roman" w:cs="Times New Roman"/>
          <w:sz w:val="24"/>
          <w:szCs w:val="24"/>
          <w:lang w:val="es-ES"/>
        </w:rPr>
        <w:t xml:space="preserve">con posterioridad a </w:t>
      </w:r>
      <w:proofErr w:type="spellStart"/>
      <w:r w:rsidR="003957CB" w:rsidRPr="00B22CA9">
        <w:rPr>
          <w:rFonts w:ascii="Times New Roman" w:hAnsi="Times New Roman" w:cs="Times New Roman"/>
          <w:i/>
          <w:sz w:val="24"/>
          <w:szCs w:val="24"/>
          <w:lang w:val="es-ES"/>
        </w:rPr>
        <w:t>Fransson</w:t>
      </w:r>
      <w:proofErr w:type="spellEnd"/>
      <w:r w:rsidR="003957CB" w:rsidRPr="00B22CA9">
        <w:rPr>
          <w:rFonts w:ascii="Times New Roman" w:hAnsi="Times New Roman" w:cs="Times New Roman"/>
          <w:i/>
          <w:sz w:val="24"/>
          <w:szCs w:val="24"/>
          <w:lang w:val="es-ES"/>
        </w:rPr>
        <w:t xml:space="preserve"> </w:t>
      </w:r>
      <w:r w:rsidR="00CF4048" w:rsidRPr="00B22CA9">
        <w:rPr>
          <w:rFonts w:ascii="Times New Roman" w:hAnsi="Times New Roman" w:cs="Times New Roman"/>
          <w:sz w:val="24"/>
          <w:szCs w:val="24"/>
          <w:lang w:val="es-ES"/>
        </w:rPr>
        <w:t xml:space="preserve">ha sido </w:t>
      </w:r>
      <w:r w:rsidR="00E21187" w:rsidRPr="00B22CA9">
        <w:rPr>
          <w:rFonts w:ascii="Times New Roman" w:hAnsi="Times New Roman" w:cs="Times New Roman"/>
          <w:sz w:val="24"/>
          <w:szCs w:val="24"/>
          <w:lang w:val="es-ES"/>
        </w:rPr>
        <w:t>precisada</w:t>
      </w:r>
      <w:r w:rsidR="00CF4048" w:rsidRPr="00B22CA9">
        <w:rPr>
          <w:rFonts w:ascii="Times New Roman" w:hAnsi="Times New Roman" w:cs="Times New Roman"/>
          <w:sz w:val="24"/>
          <w:szCs w:val="24"/>
          <w:lang w:val="es-ES"/>
        </w:rPr>
        <w:t xml:space="preserve"> por el Tribunal de Justicia</w:t>
      </w:r>
      <w:r w:rsidR="0056476B" w:rsidRPr="00B22CA9">
        <w:rPr>
          <w:rFonts w:ascii="Times New Roman" w:hAnsi="Times New Roman" w:cs="Times New Roman"/>
          <w:sz w:val="24"/>
          <w:szCs w:val="24"/>
          <w:lang w:val="es-ES"/>
        </w:rPr>
        <w:t xml:space="preserve"> en el seno de procesos prejudiciales</w:t>
      </w:r>
      <w:r w:rsidR="003957CB" w:rsidRPr="00B22CA9">
        <w:rPr>
          <w:rFonts w:ascii="Times New Roman" w:hAnsi="Times New Roman" w:cs="Times New Roman"/>
          <w:sz w:val="24"/>
          <w:szCs w:val="24"/>
          <w:lang w:val="es-ES"/>
        </w:rPr>
        <w:t>. A</w:t>
      </w:r>
      <w:r w:rsidR="00E21187" w:rsidRPr="00B22CA9">
        <w:rPr>
          <w:rFonts w:ascii="Times New Roman" w:hAnsi="Times New Roman" w:cs="Times New Roman"/>
          <w:sz w:val="24"/>
          <w:szCs w:val="24"/>
          <w:lang w:val="es-ES"/>
        </w:rPr>
        <w:t>hora</w:t>
      </w:r>
      <w:r w:rsidR="003957CB" w:rsidRPr="00B22CA9">
        <w:rPr>
          <w:rFonts w:ascii="Times New Roman" w:hAnsi="Times New Roman" w:cs="Times New Roman"/>
          <w:sz w:val="24"/>
          <w:szCs w:val="24"/>
          <w:lang w:val="es-ES"/>
        </w:rPr>
        <w:t xml:space="preserve"> resulta</w:t>
      </w:r>
      <w:r w:rsidR="00E21187" w:rsidRPr="00B22CA9">
        <w:rPr>
          <w:rFonts w:ascii="Times New Roman" w:hAnsi="Times New Roman" w:cs="Times New Roman"/>
          <w:sz w:val="24"/>
          <w:szCs w:val="24"/>
          <w:lang w:val="es-ES"/>
        </w:rPr>
        <w:t xml:space="preserve"> </w:t>
      </w:r>
      <w:r w:rsidR="003957CB" w:rsidRPr="00B22CA9">
        <w:rPr>
          <w:rFonts w:ascii="Times New Roman" w:hAnsi="Times New Roman" w:cs="Times New Roman"/>
          <w:sz w:val="24"/>
          <w:szCs w:val="24"/>
          <w:lang w:val="es-ES"/>
        </w:rPr>
        <w:t xml:space="preserve">algo </w:t>
      </w:r>
      <w:r w:rsidR="00E21187" w:rsidRPr="00B22CA9">
        <w:rPr>
          <w:rFonts w:ascii="Times New Roman" w:hAnsi="Times New Roman" w:cs="Times New Roman"/>
          <w:sz w:val="24"/>
          <w:szCs w:val="24"/>
          <w:lang w:val="es-ES"/>
        </w:rPr>
        <w:t xml:space="preserve">más </w:t>
      </w:r>
      <w:proofErr w:type="gramStart"/>
      <w:r w:rsidR="00E21187" w:rsidRPr="00B22CA9">
        <w:rPr>
          <w:rFonts w:ascii="Times New Roman" w:hAnsi="Times New Roman" w:cs="Times New Roman"/>
          <w:sz w:val="24"/>
          <w:szCs w:val="24"/>
          <w:lang w:val="es-ES"/>
        </w:rPr>
        <w:t>contenida</w:t>
      </w:r>
      <w:proofErr w:type="gramEnd"/>
      <w:r w:rsidR="00A04A81" w:rsidRPr="00B22CA9">
        <w:rPr>
          <w:rStyle w:val="Refdenotaalpie"/>
          <w:rFonts w:ascii="Times New Roman" w:hAnsi="Times New Roman" w:cs="Times New Roman"/>
          <w:sz w:val="24"/>
          <w:szCs w:val="24"/>
          <w:lang w:val="es-ES"/>
        </w:rPr>
        <w:footnoteReference w:id="38"/>
      </w:r>
      <w:r w:rsidR="000A3203" w:rsidRPr="00B22CA9">
        <w:rPr>
          <w:rFonts w:ascii="Times New Roman" w:hAnsi="Times New Roman" w:cs="Times New Roman"/>
          <w:sz w:val="24"/>
          <w:szCs w:val="24"/>
          <w:lang w:val="es-ES"/>
        </w:rPr>
        <w:t>.</w:t>
      </w:r>
      <w:r w:rsidR="00FF7405" w:rsidRPr="00B22CA9">
        <w:rPr>
          <w:rFonts w:ascii="Times New Roman" w:hAnsi="Times New Roman" w:cs="Times New Roman"/>
          <w:sz w:val="24"/>
          <w:szCs w:val="24"/>
          <w:lang w:val="es-ES"/>
        </w:rPr>
        <w:t xml:space="preserve"> </w:t>
      </w:r>
      <w:r w:rsidR="00CF4048" w:rsidRPr="00B22CA9">
        <w:rPr>
          <w:rFonts w:ascii="Times New Roman" w:hAnsi="Times New Roman" w:cs="Times New Roman"/>
          <w:sz w:val="24"/>
          <w:szCs w:val="24"/>
          <w:lang w:val="es-ES"/>
        </w:rPr>
        <w:t>Esa condición</w:t>
      </w:r>
      <w:r w:rsidR="0056476B" w:rsidRPr="00B22CA9">
        <w:rPr>
          <w:rFonts w:ascii="Times New Roman" w:hAnsi="Times New Roman" w:cs="Times New Roman"/>
          <w:sz w:val="24"/>
          <w:szCs w:val="24"/>
          <w:lang w:val="es-ES"/>
        </w:rPr>
        <w:t>, la vinculación al derecho de la Unión,</w:t>
      </w:r>
      <w:r w:rsidR="00CF4048" w:rsidRPr="00B22CA9">
        <w:rPr>
          <w:rFonts w:ascii="Times New Roman" w:hAnsi="Times New Roman" w:cs="Times New Roman"/>
          <w:sz w:val="24"/>
          <w:szCs w:val="24"/>
          <w:lang w:val="es-ES"/>
        </w:rPr>
        <w:t xml:space="preserve"> se proyectaría sobre </w:t>
      </w:r>
      <w:r w:rsidR="00C83D1C" w:rsidRPr="00B22CA9">
        <w:rPr>
          <w:rFonts w:ascii="Times New Roman" w:hAnsi="Times New Roman" w:cs="Times New Roman"/>
          <w:sz w:val="24"/>
          <w:szCs w:val="24"/>
          <w:lang w:val="es-ES"/>
        </w:rPr>
        <w:t>toda norma iusfundamental</w:t>
      </w:r>
      <w:r w:rsidR="003957CB" w:rsidRPr="00B22CA9">
        <w:rPr>
          <w:rFonts w:ascii="Times New Roman" w:hAnsi="Times New Roman" w:cs="Times New Roman"/>
          <w:sz w:val="24"/>
          <w:szCs w:val="24"/>
          <w:lang w:val="es-ES"/>
        </w:rPr>
        <w:t xml:space="preserve"> contenida en la Carta</w:t>
      </w:r>
      <w:r w:rsidR="00C83D1C" w:rsidRPr="00B22CA9">
        <w:rPr>
          <w:rFonts w:ascii="Times New Roman" w:hAnsi="Times New Roman" w:cs="Times New Roman"/>
          <w:sz w:val="24"/>
          <w:szCs w:val="24"/>
          <w:lang w:val="es-ES"/>
        </w:rPr>
        <w:t>, princip</w:t>
      </w:r>
      <w:r w:rsidR="003957CB" w:rsidRPr="00B22CA9">
        <w:rPr>
          <w:rFonts w:ascii="Times New Roman" w:hAnsi="Times New Roman" w:cs="Times New Roman"/>
          <w:sz w:val="24"/>
          <w:szCs w:val="24"/>
          <w:lang w:val="es-ES"/>
        </w:rPr>
        <w:t>io o regla, para poder ser aplicable en un juicio por incumplimiento.</w:t>
      </w:r>
      <w:r w:rsidR="004D265A" w:rsidRPr="00B22CA9">
        <w:rPr>
          <w:rFonts w:ascii="Times New Roman" w:hAnsi="Times New Roman" w:cs="Times New Roman"/>
          <w:sz w:val="24"/>
          <w:szCs w:val="24"/>
          <w:lang w:val="es-ES"/>
        </w:rPr>
        <w:t xml:space="preserve">  </w:t>
      </w:r>
    </w:p>
    <w:p w:rsidR="00105E60" w:rsidRPr="00B22CA9" w:rsidRDefault="00CF4048" w:rsidP="007F11DF">
      <w:pPr>
        <w:spacing w:line="240" w:lineRule="auto"/>
        <w:ind w:firstLine="720"/>
        <w:jc w:val="both"/>
        <w:rPr>
          <w:rFonts w:ascii="Times New Roman" w:hAnsi="Times New Roman" w:cs="Times New Roman"/>
          <w:sz w:val="24"/>
          <w:szCs w:val="24"/>
          <w:lang w:val="es-ES"/>
        </w:rPr>
      </w:pPr>
      <w:r w:rsidRPr="00B22CA9">
        <w:rPr>
          <w:rFonts w:ascii="Times New Roman" w:hAnsi="Times New Roman" w:cs="Times New Roman"/>
          <w:sz w:val="24"/>
          <w:szCs w:val="24"/>
          <w:lang w:val="es-ES"/>
        </w:rPr>
        <w:t>Frente a esta visión</w:t>
      </w:r>
      <w:r w:rsidR="003957CB" w:rsidRPr="00B22CA9">
        <w:rPr>
          <w:rFonts w:ascii="Times New Roman" w:hAnsi="Times New Roman" w:cs="Times New Roman"/>
          <w:sz w:val="24"/>
          <w:szCs w:val="24"/>
          <w:lang w:val="es-ES"/>
        </w:rPr>
        <w:t xml:space="preserve">, que </w:t>
      </w:r>
      <w:r w:rsidR="0056476B" w:rsidRPr="00B22CA9">
        <w:rPr>
          <w:rFonts w:ascii="Times New Roman" w:hAnsi="Times New Roman" w:cs="Times New Roman"/>
          <w:sz w:val="24"/>
          <w:szCs w:val="24"/>
          <w:lang w:val="es-ES"/>
        </w:rPr>
        <w:t>limita</w:t>
      </w:r>
      <w:r w:rsidR="003957CB" w:rsidRPr="00B22CA9">
        <w:rPr>
          <w:rFonts w:ascii="Times New Roman" w:hAnsi="Times New Roman" w:cs="Times New Roman"/>
          <w:sz w:val="24"/>
          <w:szCs w:val="24"/>
          <w:lang w:val="es-ES"/>
        </w:rPr>
        <w:t xml:space="preserve"> el recurso</w:t>
      </w:r>
      <w:r w:rsidR="0056476B" w:rsidRPr="00B22CA9">
        <w:rPr>
          <w:rFonts w:ascii="Times New Roman" w:hAnsi="Times New Roman" w:cs="Times New Roman"/>
          <w:sz w:val="24"/>
          <w:szCs w:val="24"/>
          <w:lang w:val="es-ES"/>
        </w:rPr>
        <w:t xml:space="preserve"> a los derechos como causa de incumplimiento</w:t>
      </w:r>
      <w:r w:rsidRPr="00B22CA9">
        <w:rPr>
          <w:rFonts w:ascii="Times New Roman" w:hAnsi="Times New Roman" w:cs="Times New Roman"/>
          <w:sz w:val="24"/>
          <w:szCs w:val="24"/>
          <w:lang w:val="es-ES"/>
        </w:rPr>
        <w:t xml:space="preserve">, </w:t>
      </w:r>
      <w:r w:rsidR="0056476B" w:rsidRPr="00B22CA9">
        <w:rPr>
          <w:rFonts w:ascii="Times New Roman" w:hAnsi="Times New Roman" w:cs="Times New Roman"/>
          <w:sz w:val="24"/>
          <w:szCs w:val="24"/>
          <w:lang w:val="es-ES"/>
        </w:rPr>
        <w:t xml:space="preserve">cierta </w:t>
      </w:r>
      <w:r w:rsidRPr="00B22CA9">
        <w:rPr>
          <w:rFonts w:ascii="Times New Roman" w:hAnsi="Times New Roman" w:cs="Times New Roman"/>
          <w:sz w:val="24"/>
          <w:szCs w:val="24"/>
          <w:lang w:val="es-ES"/>
        </w:rPr>
        <w:t xml:space="preserve">doctrina </w:t>
      </w:r>
      <w:r w:rsidR="004A453D" w:rsidRPr="00B22CA9">
        <w:rPr>
          <w:rFonts w:ascii="Times New Roman" w:hAnsi="Times New Roman" w:cs="Times New Roman"/>
          <w:sz w:val="24"/>
          <w:szCs w:val="24"/>
          <w:lang w:val="es-ES"/>
        </w:rPr>
        <w:t xml:space="preserve">ha </w:t>
      </w:r>
      <w:r w:rsidR="0056476B" w:rsidRPr="00B22CA9">
        <w:rPr>
          <w:rFonts w:ascii="Times New Roman" w:hAnsi="Times New Roman" w:cs="Times New Roman"/>
          <w:sz w:val="24"/>
          <w:szCs w:val="24"/>
          <w:lang w:val="es-ES"/>
        </w:rPr>
        <w:t>acudido</w:t>
      </w:r>
      <w:r w:rsidR="004A453D" w:rsidRPr="00B22CA9">
        <w:rPr>
          <w:rFonts w:ascii="Times New Roman" w:hAnsi="Times New Roman" w:cs="Times New Roman"/>
          <w:sz w:val="24"/>
          <w:szCs w:val="24"/>
          <w:lang w:val="es-ES"/>
        </w:rPr>
        <w:t xml:space="preserve"> al concepto de ciudadanía europea</w:t>
      </w:r>
      <w:r w:rsidR="002E2742" w:rsidRPr="00B22CA9">
        <w:rPr>
          <w:rFonts w:ascii="Times New Roman" w:hAnsi="Times New Roman" w:cs="Times New Roman"/>
          <w:sz w:val="24"/>
          <w:szCs w:val="24"/>
          <w:lang w:val="es-ES"/>
        </w:rPr>
        <w:t>,</w:t>
      </w:r>
      <w:r w:rsidR="00254342" w:rsidRPr="00B22CA9">
        <w:rPr>
          <w:rFonts w:ascii="Times New Roman" w:hAnsi="Times New Roman" w:cs="Times New Roman"/>
          <w:sz w:val="24"/>
          <w:szCs w:val="24"/>
          <w:lang w:val="es-ES"/>
        </w:rPr>
        <w:t xml:space="preserve"> y al artículo 9 TUE,</w:t>
      </w:r>
      <w:r w:rsidR="002E2742" w:rsidRPr="00B22CA9">
        <w:rPr>
          <w:rFonts w:ascii="Times New Roman" w:hAnsi="Times New Roman" w:cs="Times New Roman"/>
          <w:sz w:val="24"/>
          <w:szCs w:val="24"/>
          <w:lang w:val="es-ES"/>
        </w:rPr>
        <w:t xml:space="preserve"> </w:t>
      </w:r>
      <w:r w:rsidR="004A453D" w:rsidRPr="00B22CA9">
        <w:rPr>
          <w:rFonts w:ascii="Times New Roman" w:hAnsi="Times New Roman" w:cs="Times New Roman"/>
          <w:sz w:val="24"/>
          <w:szCs w:val="24"/>
          <w:lang w:val="es-ES"/>
        </w:rPr>
        <w:t>entend</w:t>
      </w:r>
      <w:r w:rsidR="00254342" w:rsidRPr="00B22CA9">
        <w:rPr>
          <w:rFonts w:ascii="Times New Roman" w:hAnsi="Times New Roman" w:cs="Times New Roman"/>
          <w:sz w:val="24"/>
          <w:szCs w:val="24"/>
          <w:lang w:val="es-ES"/>
        </w:rPr>
        <w:t>iendo</w:t>
      </w:r>
      <w:r w:rsidR="004A453D" w:rsidRPr="00B22CA9">
        <w:rPr>
          <w:rFonts w:ascii="Times New Roman" w:hAnsi="Times New Roman" w:cs="Times New Roman"/>
          <w:sz w:val="24"/>
          <w:szCs w:val="24"/>
          <w:lang w:val="es-ES"/>
        </w:rPr>
        <w:t xml:space="preserve"> que la violación de la sustancia de los derechos ciudadanos permitiría </w:t>
      </w:r>
      <w:r w:rsidR="002E2742" w:rsidRPr="00B22CA9">
        <w:rPr>
          <w:rFonts w:ascii="Times New Roman" w:hAnsi="Times New Roman" w:cs="Times New Roman"/>
          <w:sz w:val="24"/>
          <w:szCs w:val="24"/>
          <w:lang w:val="es-ES"/>
        </w:rPr>
        <w:t>afirmar</w:t>
      </w:r>
      <w:r w:rsidR="004A453D" w:rsidRPr="00B22CA9">
        <w:rPr>
          <w:rFonts w:ascii="Times New Roman" w:hAnsi="Times New Roman" w:cs="Times New Roman"/>
          <w:sz w:val="24"/>
          <w:szCs w:val="24"/>
          <w:lang w:val="es-ES"/>
        </w:rPr>
        <w:t xml:space="preserve"> que los derechos de la Carta están siempre protegidos desde el ámbito supranacional</w:t>
      </w:r>
      <w:r w:rsidR="0056476B" w:rsidRPr="00B22CA9">
        <w:rPr>
          <w:rFonts w:ascii="Times New Roman" w:hAnsi="Times New Roman" w:cs="Times New Roman"/>
          <w:sz w:val="24"/>
          <w:szCs w:val="24"/>
          <w:lang w:val="es-ES"/>
        </w:rPr>
        <w:t>,</w:t>
      </w:r>
      <w:r w:rsidR="004A453D" w:rsidRPr="00B22CA9">
        <w:rPr>
          <w:rFonts w:ascii="Times New Roman" w:hAnsi="Times New Roman" w:cs="Times New Roman"/>
          <w:sz w:val="24"/>
          <w:szCs w:val="24"/>
          <w:lang w:val="es-ES"/>
        </w:rPr>
        <w:t xml:space="preserve"> incluso en situaciones meramente internas</w:t>
      </w:r>
      <w:r w:rsidR="007F4710" w:rsidRPr="00B22CA9">
        <w:rPr>
          <w:rFonts w:ascii="Times New Roman" w:hAnsi="Times New Roman" w:cs="Times New Roman"/>
          <w:sz w:val="24"/>
          <w:szCs w:val="24"/>
          <w:lang w:val="es-ES"/>
        </w:rPr>
        <w:t xml:space="preserve"> (Von </w:t>
      </w:r>
      <w:proofErr w:type="spellStart"/>
      <w:r w:rsidR="007F4710" w:rsidRPr="00B22CA9">
        <w:rPr>
          <w:rFonts w:ascii="Times New Roman" w:hAnsi="Times New Roman" w:cs="Times New Roman"/>
          <w:sz w:val="24"/>
          <w:szCs w:val="24"/>
          <w:lang w:val="es-ES"/>
        </w:rPr>
        <w:t>Bogdandy</w:t>
      </w:r>
      <w:proofErr w:type="spellEnd"/>
      <w:r w:rsidR="007F4710" w:rsidRPr="00B22CA9">
        <w:rPr>
          <w:rFonts w:ascii="Times New Roman" w:hAnsi="Times New Roman" w:cs="Times New Roman"/>
          <w:sz w:val="24"/>
          <w:szCs w:val="24"/>
          <w:lang w:val="es-ES"/>
        </w:rPr>
        <w:t xml:space="preserve"> </w:t>
      </w:r>
      <w:r w:rsidR="007F4710" w:rsidRPr="00B22CA9">
        <w:rPr>
          <w:rFonts w:ascii="Times New Roman" w:hAnsi="Times New Roman" w:cs="Times New Roman"/>
          <w:i/>
          <w:iCs/>
          <w:sz w:val="24"/>
          <w:szCs w:val="24"/>
          <w:lang w:val="es-ES"/>
        </w:rPr>
        <w:t>et al</w:t>
      </w:r>
      <w:r w:rsidR="007F4710" w:rsidRPr="00B22CA9">
        <w:rPr>
          <w:rFonts w:ascii="Times New Roman" w:hAnsi="Times New Roman" w:cs="Times New Roman"/>
          <w:sz w:val="24"/>
          <w:szCs w:val="24"/>
          <w:lang w:val="es-ES"/>
        </w:rPr>
        <w:t xml:space="preserve">., 2012: 491). La </w:t>
      </w:r>
      <w:r w:rsidR="00254342" w:rsidRPr="00B22CA9">
        <w:rPr>
          <w:rFonts w:ascii="Times New Roman" w:hAnsi="Times New Roman" w:cs="Times New Roman"/>
          <w:sz w:val="24"/>
          <w:szCs w:val="24"/>
          <w:lang w:val="es-ES"/>
        </w:rPr>
        <w:t>pr</w:t>
      </w:r>
      <w:r w:rsidR="007F4710" w:rsidRPr="00B22CA9">
        <w:rPr>
          <w:rFonts w:ascii="Times New Roman" w:hAnsi="Times New Roman" w:cs="Times New Roman"/>
          <w:sz w:val="24"/>
          <w:szCs w:val="24"/>
          <w:lang w:val="es-ES"/>
        </w:rPr>
        <w:t xml:space="preserve">opuesta </w:t>
      </w:r>
      <w:r w:rsidR="009407DC" w:rsidRPr="00B22CA9">
        <w:rPr>
          <w:rFonts w:ascii="Times New Roman" w:hAnsi="Times New Roman" w:cs="Times New Roman"/>
          <w:sz w:val="24"/>
          <w:szCs w:val="24"/>
          <w:lang w:val="es-ES"/>
        </w:rPr>
        <w:t>inicialmente</w:t>
      </w:r>
      <w:r w:rsidR="0056476B" w:rsidRPr="00B22CA9">
        <w:rPr>
          <w:rFonts w:ascii="Times New Roman" w:hAnsi="Times New Roman" w:cs="Times New Roman"/>
          <w:sz w:val="24"/>
          <w:szCs w:val="24"/>
          <w:lang w:val="es-ES"/>
        </w:rPr>
        <w:t xml:space="preserve"> se había dirigido </w:t>
      </w:r>
      <w:r w:rsidR="00105E60" w:rsidRPr="00B22CA9">
        <w:rPr>
          <w:rFonts w:ascii="Times New Roman" w:hAnsi="Times New Roman" w:cs="Times New Roman"/>
          <w:sz w:val="24"/>
          <w:szCs w:val="24"/>
          <w:lang w:val="es-ES"/>
        </w:rPr>
        <w:t>a los jueces estatales</w:t>
      </w:r>
      <w:r w:rsidR="0056476B" w:rsidRPr="00B22CA9">
        <w:rPr>
          <w:rFonts w:ascii="Times New Roman" w:hAnsi="Times New Roman" w:cs="Times New Roman"/>
          <w:sz w:val="24"/>
          <w:szCs w:val="24"/>
          <w:lang w:val="es-ES"/>
        </w:rPr>
        <w:t>, a quienes se hace un llamamiento</w:t>
      </w:r>
      <w:r w:rsidR="00105E60" w:rsidRPr="00B22CA9">
        <w:rPr>
          <w:rFonts w:ascii="Times New Roman" w:hAnsi="Times New Roman" w:cs="Times New Roman"/>
          <w:sz w:val="24"/>
          <w:szCs w:val="24"/>
          <w:lang w:val="es-ES"/>
        </w:rPr>
        <w:t xml:space="preserve"> para que </w:t>
      </w:r>
      <w:r w:rsidR="00254342" w:rsidRPr="00B22CA9">
        <w:rPr>
          <w:rFonts w:ascii="Times New Roman" w:hAnsi="Times New Roman" w:cs="Times New Roman"/>
          <w:sz w:val="24"/>
          <w:szCs w:val="24"/>
          <w:lang w:val="es-ES"/>
        </w:rPr>
        <w:t>amparen</w:t>
      </w:r>
      <w:r w:rsidR="00105E60" w:rsidRPr="00B22CA9">
        <w:rPr>
          <w:rFonts w:ascii="Times New Roman" w:hAnsi="Times New Roman" w:cs="Times New Roman"/>
          <w:sz w:val="24"/>
          <w:szCs w:val="24"/>
          <w:lang w:val="es-ES"/>
        </w:rPr>
        <w:t xml:space="preserve"> situaciones individuales</w:t>
      </w:r>
      <w:r w:rsidR="0056476B" w:rsidRPr="00B22CA9">
        <w:rPr>
          <w:rFonts w:ascii="Times New Roman" w:hAnsi="Times New Roman" w:cs="Times New Roman"/>
          <w:sz w:val="24"/>
          <w:szCs w:val="24"/>
          <w:lang w:val="es-ES"/>
        </w:rPr>
        <w:t>. En su origen, por tanto, no instaba</w:t>
      </w:r>
      <w:r w:rsidR="00105E60" w:rsidRPr="00B22CA9">
        <w:rPr>
          <w:rFonts w:ascii="Times New Roman" w:hAnsi="Times New Roman" w:cs="Times New Roman"/>
          <w:sz w:val="24"/>
          <w:szCs w:val="24"/>
          <w:lang w:val="es-ES"/>
        </w:rPr>
        <w:t xml:space="preserve"> a la Comisión para </w:t>
      </w:r>
      <w:r w:rsidR="0056476B" w:rsidRPr="00B22CA9">
        <w:rPr>
          <w:rFonts w:ascii="Times New Roman" w:hAnsi="Times New Roman" w:cs="Times New Roman"/>
          <w:sz w:val="24"/>
          <w:szCs w:val="24"/>
          <w:lang w:val="es-ES"/>
        </w:rPr>
        <w:t xml:space="preserve">que </w:t>
      </w:r>
      <w:r w:rsidR="00105E60" w:rsidRPr="00B22CA9">
        <w:rPr>
          <w:rFonts w:ascii="Times New Roman" w:hAnsi="Times New Roman" w:cs="Times New Roman"/>
          <w:sz w:val="24"/>
          <w:szCs w:val="24"/>
          <w:lang w:val="es-ES"/>
        </w:rPr>
        <w:t>emple</w:t>
      </w:r>
      <w:r w:rsidR="0056476B" w:rsidRPr="00B22CA9">
        <w:rPr>
          <w:rFonts w:ascii="Times New Roman" w:hAnsi="Times New Roman" w:cs="Times New Roman"/>
          <w:sz w:val="24"/>
          <w:szCs w:val="24"/>
          <w:lang w:val="es-ES"/>
        </w:rPr>
        <w:t>ase</w:t>
      </w:r>
      <w:r w:rsidR="00105E60" w:rsidRPr="00B22CA9">
        <w:rPr>
          <w:rFonts w:ascii="Times New Roman" w:hAnsi="Times New Roman" w:cs="Times New Roman"/>
          <w:sz w:val="24"/>
          <w:szCs w:val="24"/>
          <w:lang w:val="es-ES"/>
        </w:rPr>
        <w:t xml:space="preserve"> tal</w:t>
      </w:r>
      <w:r w:rsidR="00254342" w:rsidRPr="00B22CA9">
        <w:rPr>
          <w:rFonts w:ascii="Times New Roman" w:hAnsi="Times New Roman" w:cs="Times New Roman"/>
          <w:sz w:val="24"/>
          <w:szCs w:val="24"/>
          <w:lang w:val="es-ES"/>
        </w:rPr>
        <w:t>es</w:t>
      </w:r>
      <w:r w:rsidR="00105E60" w:rsidRPr="00B22CA9">
        <w:rPr>
          <w:rFonts w:ascii="Times New Roman" w:hAnsi="Times New Roman" w:cs="Times New Roman"/>
          <w:sz w:val="24"/>
          <w:szCs w:val="24"/>
          <w:lang w:val="es-ES"/>
        </w:rPr>
        <w:t xml:space="preserve"> argument</w:t>
      </w:r>
      <w:r w:rsidR="00254342" w:rsidRPr="00B22CA9">
        <w:rPr>
          <w:rFonts w:ascii="Times New Roman" w:hAnsi="Times New Roman" w:cs="Times New Roman"/>
          <w:sz w:val="24"/>
          <w:szCs w:val="24"/>
          <w:lang w:val="es-ES"/>
        </w:rPr>
        <w:t>os</w:t>
      </w:r>
      <w:r w:rsidR="00105E60" w:rsidRPr="00B22CA9">
        <w:rPr>
          <w:rFonts w:ascii="Times New Roman" w:hAnsi="Times New Roman" w:cs="Times New Roman"/>
          <w:sz w:val="24"/>
          <w:szCs w:val="24"/>
          <w:lang w:val="es-ES"/>
        </w:rPr>
        <w:t xml:space="preserve"> en recurso</w:t>
      </w:r>
      <w:r w:rsidR="00254342" w:rsidRPr="00B22CA9">
        <w:rPr>
          <w:rFonts w:ascii="Times New Roman" w:hAnsi="Times New Roman" w:cs="Times New Roman"/>
          <w:sz w:val="24"/>
          <w:szCs w:val="24"/>
          <w:lang w:val="es-ES"/>
        </w:rPr>
        <w:t>s</w:t>
      </w:r>
      <w:r w:rsidR="00105E60" w:rsidRPr="00B22CA9">
        <w:rPr>
          <w:rFonts w:ascii="Times New Roman" w:hAnsi="Times New Roman" w:cs="Times New Roman"/>
          <w:sz w:val="24"/>
          <w:szCs w:val="24"/>
          <w:lang w:val="es-ES"/>
        </w:rPr>
        <w:t xml:space="preserve"> por incumplimiento</w:t>
      </w:r>
      <w:r w:rsidR="004A453D" w:rsidRPr="00B22CA9">
        <w:rPr>
          <w:rFonts w:ascii="Times New Roman" w:hAnsi="Times New Roman" w:cs="Times New Roman"/>
          <w:sz w:val="24"/>
          <w:szCs w:val="24"/>
          <w:lang w:val="es-ES"/>
        </w:rPr>
        <w:t xml:space="preserve"> (Von </w:t>
      </w:r>
      <w:proofErr w:type="spellStart"/>
      <w:r w:rsidR="004A453D" w:rsidRPr="00B22CA9">
        <w:rPr>
          <w:rFonts w:ascii="Times New Roman" w:hAnsi="Times New Roman" w:cs="Times New Roman"/>
          <w:sz w:val="24"/>
          <w:szCs w:val="24"/>
          <w:lang w:val="es-ES"/>
        </w:rPr>
        <w:t>Bogdandy</w:t>
      </w:r>
      <w:proofErr w:type="spellEnd"/>
      <w:r w:rsidR="004A453D" w:rsidRPr="00B22CA9">
        <w:rPr>
          <w:rFonts w:ascii="Times New Roman" w:hAnsi="Times New Roman" w:cs="Times New Roman"/>
          <w:sz w:val="24"/>
          <w:szCs w:val="24"/>
          <w:lang w:val="es-ES"/>
        </w:rPr>
        <w:t xml:space="preserve"> </w:t>
      </w:r>
      <w:r w:rsidR="004A453D" w:rsidRPr="00B22CA9">
        <w:rPr>
          <w:rFonts w:ascii="Times New Roman" w:hAnsi="Times New Roman" w:cs="Times New Roman"/>
          <w:i/>
          <w:iCs/>
          <w:sz w:val="24"/>
          <w:szCs w:val="24"/>
          <w:lang w:val="es-ES"/>
        </w:rPr>
        <w:t>et al</w:t>
      </w:r>
      <w:r w:rsidR="004A453D" w:rsidRPr="00B22CA9">
        <w:rPr>
          <w:rFonts w:ascii="Times New Roman" w:hAnsi="Times New Roman" w:cs="Times New Roman"/>
          <w:sz w:val="24"/>
          <w:szCs w:val="24"/>
          <w:lang w:val="es-ES"/>
        </w:rPr>
        <w:t xml:space="preserve">., 2012: </w:t>
      </w:r>
      <w:r w:rsidR="00105E60" w:rsidRPr="00B22CA9">
        <w:rPr>
          <w:rFonts w:ascii="Times New Roman" w:hAnsi="Times New Roman" w:cs="Times New Roman"/>
          <w:sz w:val="24"/>
          <w:szCs w:val="24"/>
          <w:lang w:val="es-ES"/>
        </w:rPr>
        <w:t>491</w:t>
      </w:r>
      <w:r w:rsidR="004A453D" w:rsidRPr="00B22CA9">
        <w:rPr>
          <w:rFonts w:ascii="Times New Roman" w:hAnsi="Times New Roman" w:cs="Times New Roman"/>
          <w:sz w:val="24"/>
          <w:szCs w:val="24"/>
          <w:lang w:val="es-ES"/>
        </w:rPr>
        <w:t>)</w:t>
      </w:r>
      <w:r w:rsidRPr="00B22CA9">
        <w:rPr>
          <w:rFonts w:ascii="Times New Roman" w:hAnsi="Times New Roman" w:cs="Times New Roman"/>
          <w:sz w:val="24"/>
          <w:szCs w:val="24"/>
          <w:lang w:val="es-ES"/>
        </w:rPr>
        <w:t xml:space="preserve">. </w:t>
      </w:r>
      <w:r w:rsidR="00CA1324" w:rsidRPr="00B22CA9">
        <w:rPr>
          <w:rFonts w:ascii="Times New Roman" w:hAnsi="Times New Roman" w:cs="Times New Roman"/>
          <w:sz w:val="24"/>
          <w:szCs w:val="24"/>
          <w:lang w:val="es-ES"/>
        </w:rPr>
        <w:t>M</w:t>
      </w:r>
      <w:r w:rsidR="009407DC" w:rsidRPr="00B22CA9">
        <w:rPr>
          <w:rFonts w:ascii="Times New Roman" w:hAnsi="Times New Roman" w:cs="Times New Roman"/>
          <w:sz w:val="24"/>
          <w:szCs w:val="24"/>
          <w:lang w:val="es-ES"/>
        </w:rPr>
        <w:t>ás adelante</w:t>
      </w:r>
      <w:r w:rsidR="00CA1324" w:rsidRPr="00B22CA9">
        <w:rPr>
          <w:rFonts w:ascii="Times New Roman" w:hAnsi="Times New Roman" w:cs="Times New Roman"/>
          <w:sz w:val="24"/>
          <w:szCs w:val="24"/>
          <w:lang w:val="es-ES"/>
        </w:rPr>
        <w:t xml:space="preserve">, sin embargo, </w:t>
      </w:r>
      <w:r w:rsidR="00F26D88" w:rsidRPr="00B22CA9">
        <w:rPr>
          <w:rFonts w:ascii="Times New Roman" w:hAnsi="Times New Roman" w:cs="Times New Roman"/>
          <w:sz w:val="24"/>
          <w:szCs w:val="24"/>
          <w:lang w:val="es-ES"/>
        </w:rPr>
        <w:t>la</w:t>
      </w:r>
      <w:r w:rsidR="009407DC" w:rsidRPr="00B22CA9">
        <w:rPr>
          <w:rFonts w:ascii="Times New Roman" w:hAnsi="Times New Roman" w:cs="Times New Roman"/>
          <w:sz w:val="24"/>
          <w:szCs w:val="24"/>
          <w:lang w:val="es-ES"/>
        </w:rPr>
        <w:t xml:space="preserve"> propuesta se reformula y </w:t>
      </w:r>
      <w:r w:rsidR="00F26D88" w:rsidRPr="00B22CA9">
        <w:rPr>
          <w:rFonts w:ascii="Times New Roman" w:hAnsi="Times New Roman" w:cs="Times New Roman"/>
          <w:sz w:val="24"/>
          <w:szCs w:val="24"/>
          <w:lang w:val="es-ES"/>
        </w:rPr>
        <w:t xml:space="preserve">se </w:t>
      </w:r>
      <w:r w:rsidR="009407DC" w:rsidRPr="00B22CA9">
        <w:rPr>
          <w:rFonts w:ascii="Times New Roman" w:hAnsi="Times New Roman" w:cs="Times New Roman"/>
          <w:sz w:val="24"/>
          <w:szCs w:val="24"/>
          <w:lang w:val="es-ES"/>
        </w:rPr>
        <w:t>postula aplicable a procesos por incumplimiento (</w:t>
      </w:r>
      <w:r w:rsidR="0001300F" w:rsidRPr="00B22CA9">
        <w:rPr>
          <w:rFonts w:ascii="Times New Roman" w:hAnsi="Times New Roman" w:cs="Times New Roman"/>
          <w:sz w:val="24"/>
          <w:szCs w:val="24"/>
          <w:lang w:val="es-ES"/>
        </w:rPr>
        <w:t xml:space="preserve">Von </w:t>
      </w:r>
      <w:proofErr w:type="spellStart"/>
      <w:r w:rsidR="009407DC" w:rsidRPr="00B22CA9">
        <w:rPr>
          <w:rFonts w:ascii="Times New Roman" w:hAnsi="Times New Roman" w:cs="Times New Roman"/>
          <w:sz w:val="24"/>
          <w:szCs w:val="24"/>
          <w:lang w:val="es-ES"/>
        </w:rPr>
        <w:t>Bogdandy</w:t>
      </w:r>
      <w:proofErr w:type="spellEnd"/>
      <w:r w:rsidR="009407DC" w:rsidRPr="00B22CA9">
        <w:rPr>
          <w:rFonts w:ascii="Times New Roman" w:hAnsi="Times New Roman" w:cs="Times New Roman"/>
          <w:sz w:val="24"/>
          <w:szCs w:val="24"/>
          <w:lang w:val="es-ES"/>
        </w:rPr>
        <w:t xml:space="preserve"> </w:t>
      </w:r>
      <w:r w:rsidR="009407DC" w:rsidRPr="00B22CA9">
        <w:rPr>
          <w:rFonts w:ascii="Times New Roman" w:hAnsi="Times New Roman" w:cs="Times New Roman"/>
          <w:i/>
          <w:iCs/>
          <w:sz w:val="24"/>
          <w:szCs w:val="24"/>
          <w:lang w:val="es-ES"/>
        </w:rPr>
        <w:t>et al</w:t>
      </w:r>
      <w:r w:rsidR="009407DC" w:rsidRPr="00B22CA9">
        <w:rPr>
          <w:rFonts w:ascii="Times New Roman" w:hAnsi="Times New Roman" w:cs="Times New Roman"/>
          <w:sz w:val="24"/>
          <w:szCs w:val="24"/>
          <w:lang w:val="es-ES"/>
        </w:rPr>
        <w:t>., 2017: 223)</w:t>
      </w:r>
      <w:r w:rsidR="002E2742" w:rsidRPr="00B22CA9">
        <w:rPr>
          <w:rFonts w:ascii="Times New Roman" w:hAnsi="Times New Roman" w:cs="Times New Roman"/>
          <w:sz w:val="24"/>
          <w:szCs w:val="24"/>
          <w:lang w:val="es-ES"/>
        </w:rPr>
        <w:t>,</w:t>
      </w:r>
      <w:r w:rsidR="00F26D88" w:rsidRPr="00B22CA9">
        <w:rPr>
          <w:rFonts w:ascii="Times New Roman" w:hAnsi="Times New Roman" w:cs="Times New Roman"/>
          <w:sz w:val="24"/>
          <w:szCs w:val="24"/>
          <w:lang w:val="es-ES"/>
        </w:rPr>
        <w:t xml:space="preserve"> </w:t>
      </w:r>
      <w:r w:rsidR="00254342" w:rsidRPr="00B22CA9">
        <w:rPr>
          <w:rFonts w:ascii="Times New Roman" w:hAnsi="Times New Roman" w:cs="Times New Roman"/>
          <w:sz w:val="24"/>
          <w:szCs w:val="24"/>
          <w:lang w:val="es-ES"/>
        </w:rPr>
        <w:t xml:space="preserve">sin </w:t>
      </w:r>
      <w:r w:rsidR="00CB7AA6" w:rsidRPr="00B22CA9">
        <w:rPr>
          <w:rFonts w:ascii="Times New Roman" w:hAnsi="Times New Roman" w:cs="Times New Roman"/>
          <w:sz w:val="24"/>
          <w:szCs w:val="24"/>
          <w:lang w:val="es-ES"/>
        </w:rPr>
        <w:t>terminarse</w:t>
      </w:r>
      <w:r w:rsidR="00254342" w:rsidRPr="00B22CA9">
        <w:rPr>
          <w:rFonts w:ascii="Times New Roman" w:hAnsi="Times New Roman" w:cs="Times New Roman"/>
          <w:sz w:val="24"/>
          <w:szCs w:val="24"/>
          <w:lang w:val="es-ES"/>
        </w:rPr>
        <w:t xml:space="preserve"> de conciliar la contradicción creada</w:t>
      </w:r>
      <w:r w:rsidR="00F26D88" w:rsidRPr="00B22CA9">
        <w:rPr>
          <w:rFonts w:ascii="Times New Roman" w:hAnsi="Times New Roman" w:cs="Times New Roman"/>
          <w:sz w:val="24"/>
          <w:szCs w:val="24"/>
          <w:lang w:val="es-ES"/>
        </w:rPr>
        <w:t xml:space="preserve"> con el mandato </w:t>
      </w:r>
      <w:r w:rsidR="00F26D88" w:rsidRPr="00B22CA9">
        <w:rPr>
          <w:rFonts w:ascii="Times New Roman" w:hAnsi="Times New Roman" w:cs="Times New Roman"/>
          <w:sz w:val="24"/>
          <w:szCs w:val="24"/>
          <w:lang w:val="es-ES"/>
        </w:rPr>
        <w:lastRenderedPageBreak/>
        <w:t xml:space="preserve">del artículo 51 de la Carta. </w:t>
      </w:r>
      <w:r w:rsidR="00254342" w:rsidRPr="00B22CA9">
        <w:rPr>
          <w:rFonts w:ascii="Times New Roman" w:hAnsi="Times New Roman" w:cs="Times New Roman"/>
          <w:sz w:val="24"/>
          <w:szCs w:val="24"/>
          <w:lang w:val="es-ES"/>
        </w:rPr>
        <w:t>Al margen de ese inconveniente, habría que volver a insistir en las</w:t>
      </w:r>
      <w:r w:rsidR="002E2742" w:rsidRPr="00B22CA9">
        <w:rPr>
          <w:rFonts w:ascii="Times New Roman" w:hAnsi="Times New Roman" w:cs="Times New Roman"/>
          <w:sz w:val="24"/>
          <w:szCs w:val="24"/>
          <w:lang w:val="es-ES"/>
        </w:rPr>
        <w:t xml:space="preserve"> diferencia</w:t>
      </w:r>
      <w:r w:rsidR="00254342" w:rsidRPr="00B22CA9">
        <w:rPr>
          <w:rFonts w:ascii="Times New Roman" w:hAnsi="Times New Roman" w:cs="Times New Roman"/>
          <w:sz w:val="24"/>
          <w:szCs w:val="24"/>
          <w:lang w:val="es-ES"/>
        </w:rPr>
        <w:t>s</w:t>
      </w:r>
      <w:r w:rsidR="002E2742" w:rsidRPr="00B22CA9">
        <w:rPr>
          <w:rFonts w:ascii="Times New Roman" w:hAnsi="Times New Roman" w:cs="Times New Roman"/>
          <w:sz w:val="24"/>
          <w:szCs w:val="24"/>
          <w:lang w:val="es-ES"/>
        </w:rPr>
        <w:t xml:space="preserve"> entre los distintos procesos</w:t>
      </w:r>
      <w:r w:rsidR="00254342" w:rsidRPr="00B22CA9">
        <w:rPr>
          <w:rFonts w:ascii="Times New Roman" w:hAnsi="Times New Roman" w:cs="Times New Roman"/>
          <w:sz w:val="24"/>
          <w:szCs w:val="24"/>
          <w:lang w:val="es-ES"/>
        </w:rPr>
        <w:t xml:space="preserve"> jurisdiccionales en los que se trata la</w:t>
      </w:r>
      <w:r w:rsidR="00105E60" w:rsidRPr="00B22CA9">
        <w:rPr>
          <w:rFonts w:ascii="Times New Roman" w:hAnsi="Times New Roman" w:cs="Times New Roman"/>
          <w:sz w:val="24"/>
          <w:szCs w:val="24"/>
          <w:lang w:val="es-ES"/>
        </w:rPr>
        <w:t xml:space="preserve"> cuestión del cumplimiento obligado de los mandatos iusfundamentales </w:t>
      </w:r>
      <w:r w:rsidR="00BE75F6" w:rsidRPr="00B22CA9">
        <w:rPr>
          <w:rFonts w:ascii="Times New Roman" w:hAnsi="Times New Roman" w:cs="Times New Roman"/>
          <w:sz w:val="24"/>
          <w:szCs w:val="24"/>
          <w:lang w:val="es-ES"/>
        </w:rPr>
        <w:t xml:space="preserve">de la Unión </w:t>
      </w:r>
      <w:r w:rsidR="00105E60" w:rsidRPr="00B22CA9">
        <w:rPr>
          <w:rFonts w:ascii="Times New Roman" w:hAnsi="Times New Roman" w:cs="Times New Roman"/>
          <w:sz w:val="24"/>
          <w:szCs w:val="24"/>
          <w:lang w:val="es-ES"/>
        </w:rPr>
        <w:t>en los Estados miembros</w:t>
      </w:r>
      <w:r w:rsidR="00254342" w:rsidRPr="00B22CA9">
        <w:rPr>
          <w:rFonts w:ascii="Times New Roman" w:hAnsi="Times New Roman" w:cs="Times New Roman"/>
          <w:sz w:val="24"/>
          <w:szCs w:val="24"/>
          <w:lang w:val="es-ES"/>
        </w:rPr>
        <w:t>. Son controversias que no se estructuran procesalmente ni</w:t>
      </w:r>
      <w:r w:rsidR="00105E60" w:rsidRPr="00B22CA9">
        <w:rPr>
          <w:rFonts w:ascii="Times New Roman" w:hAnsi="Times New Roman" w:cs="Times New Roman"/>
          <w:sz w:val="24"/>
          <w:szCs w:val="24"/>
          <w:lang w:val="es-ES"/>
        </w:rPr>
        <w:t xml:space="preserve"> puede</w:t>
      </w:r>
      <w:r w:rsidR="00254342" w:rsidRPr="00B22CA9">
        <w:rPr>
          <w:rFonts w:ascii="Times New Roman" w:hAnsi="Times New Roman" w:cs="Times New Roman"/>
          <w:sz w:val="24"/>
          <w:szCs w:val="24"/>
          <w:lang w:val="es-ES"/>
        </w:rPr>
        <w:t>n</w:t>
      </w:r>
      <w:r w:rsidR="00105E60" w:rsidRPr="00B22CA9">
        <w:rPr>
          <w:rFonts w:ascii="Times New Roman" w:hAnsi="Times New Roman" w:cs="Times New Roman"/>
          <w:sz w:val="24"/>
          <w:szCs w:val="24"/>
          <w:lang w:val="es-ES"/>
        </w:rPr>
        <w:t xml:space="preserve"> articularse </w:t>
      </w:r>
      <w:r w:rsidRPr="00B22CA9">
        <w:rPr>
          <w:rFonts w:ascii="Times New Roman" w:hAnsi="Times New Roman" w:cs="Times New Roman"/>
          <w:sz w:val="24"/>
          <w:szCs w:val="24"/>
          <w:lang w:val="es-ES"/>
        </w:rPr>
        <w:t xml:space="preserve">hermenéuticamente </w:t>
      </w:r>
      <w:r w:rsidR="00105E60" w:rsidRPr="00B22CA9">
        <w:rPr>
          <w:rFonts w:ascii="Times New Roman" w:hAnsi="Times New Roman" w:cs="Times New Roman"/>
          <w:sz w:val="24"/>
          <w:szCs w:val="24"/>
          <w:lang w:val="es-ES"/>
        </w:rPr>
        <w:t xml:space="preserve">de </w:t>
      </w:r>
      <w:r w:rsidRPr="00B22CA9">
        <w:rPr>
          <w:rFonts w:ascii="Times New Roman" w:hAnsi="Times New Roman" w:cs="Times New Roman"/>
          <w:sz w:val="24"/>
          <w:szCs w:val="24"/>
          <w:lang w:val="es-ES"/>
        </w:rPr>
        <w:t xml:space="preserve">la misma </w:t>
      </w:r>
      <w:r w:rsidR="00105E60" w:rsidRPr="00B22CA9">
        <w:rPr>
          <w:rFonts w:ascii="Times New Roman" w:hAnsi="Times New Roman" w:cs="Times New Roman"/>
          <w:sz w:val="24"/>
          <w:szCs w:val="24"/>
          <w:lang w:val="es-ES"/>
        </w:rPr>
        <w:t>manera</w:t>
      </w:r>
      <w:r w:rsidR="00254342" w:rsidRPr="00B22CA9">
        <w:rPr>
          <w:rFonts w:ascii="Times New Roman" w:hAnsi="Times New Roman" w:cs="Times New Roman"/>
          <w:sz w:val="24"/>
          <w:szCs w:val="24"/>
          <w:lang w:val="es-ES"/>
        </w:rPr>
        <w:t>. No es lo mismo hablar de derechos en</w:t>
      </w:r>
      <w:r w:rsidR="00105E60" w:rsidRPr="00B22CA9">
        <w:rPr>
          <w:rFonts w:ascii="Times New Roman" w:hAnsi="Times New Roman" w:cs="Times New Roman"/>
          <w:sz w:val="24"/>
          <w:szCs w:val="24"/>
          <w:lang w:val="es-ES"/>
        </w:rPr>
        <w:t xml:space="preserve"> una situación de control concreto e individual </w:t>
      </w:r>
      <w:r w:rsidR="00BE75F6" w:rsidRPr="00B22CA9">
        <w:rPr>
          <w:rFonts w:ascii="Times New Roman" w:hAnsi="Times New Roman" w:cs="Times New Roman"/>
          <w:sz w:val="24"/>
          <w:szCs w:val="24"/>
          <w:lang w:val="es-ES"/>
        </w:rPr>
        <w:t>-</w:t>
      </w:r>
      <w:r w:rsidRPr="00B22CA9">
        <w:rPr>
          <w:rFonts w:ascii="Times New Roman" w:hAnsi="Times New Roman" w:cs="Times New Roman"/>
          <w:sz w:val="24"/>
          <w:szCs w:val="24"/>
          <w:lang w:val="es-ES"/>
        </w:rPr>
        <w:t>como</w:t>
      </w:r>
      <w:r w:rsidR="00BE75F6" w:rsidRPr="00B22CA9">
        <w:rPr>
          <w:rFonts w:ascii="Times New Roman" w:hAnsi="Times New Roman" w:cs="Times New Roman"/>
          <w:sz w:val="24"/>
          <w:szCs w:val="24"/>
          <w:lang w:val="es-ES"/>
        </w:rPr>
        <w:t xml:space="preserve"> el que supone</w:t>
      </w:r>
      <w:r w:rsidRPr="00B22CA9">
        <w:rPr>
          <w:rFonts w:ascii="Times New Roman" w:hAnsi="Times New Roman" w:cs="Times New Roman"/>
          <w:sz w:val="24"/>
          <w:szCs w:val="24"/>
          <w:lang w:val="es-ES"/>
        </w:rPr>
        <w:t xml:space="preserve"> </w:t>
      </w:r>
      <w:r w:rsidR="00105E60" w:rsidRPr="00B22CA9">
        <w:rPr>
          <w:rFonts w:ascii="Times New Roman" w:hAnsi="Times New Roman" w:cs="Times New Roman"/>
          <w:sz w:val="24"/>
          <w:szCs w:val="24"/>
          <w:lang w:val="es-ES"/>
        </w:rPr>
        <w:t>la tutela de los</w:t>
      </w:r>
      <w:r w:rsidRPr="00B22CA9">
        <w:rPr>
          <w:rFonts w:ascii="Times New Roman" w:hAnsi="Times New Roman" w:cs="Times New Roman"/>
          <w:sz w:val="24"/>
          <w:szCs w:val="24"/>
          <w:lang w:val="es-ES"/>
        </w:rPr>
        <w:t xml:space="preserve"> derechos</w:t>
      </w:r>
      <w:r w:rsidR="00254342" w:rsidRPr="00B22CA9">
        <w:rPr>
          <w:rFonts w:ascii="Times New Roman" w:hAnsi="Times New Roman" w:cs="Times New Roman"/>
          <w:sz w:val="24"/>
          <w:szCs w:val="24"/>
          <w:lang w:val="es-ES"/>
        </w:rPr>
        <w:t xml:space="preserve"> subjetivos</w:t>
      </w:r>
      <w:r w:rsidRPr="00B22CA9">
        <w:rPr>
          <w:rFonts w:ascii="Times New Roman" w:hAnsi="Times New Roman" w:cs="Times New Roman"/>
          <w:sz w:val="24"/>
          <w:szCs w:val="24"/>
          <w:lang w:val="es-ES"/>
        </w:rPr>
        <w:t xml:space="preserve"> por</w:t>
      </w:r>
      <w:r w:rsidR="00105E60" w:rsidRPr="00B22CA9">
        <w:rPr>
          <w:rFonts w:ascii="Times New Roman" w:hAnsi="Times New Roman" w:cs="Times New Roman"/>
          <w:sz w:val="24"/>
          <w:szCs w:val="24"/>
          <w:lang w:val="es-ES"/>
        </w:rPr>
        <w:t xml:space="preserve"> jueces estatales </w:t>
      </w:r>
      <w:r w:rsidR="00A7607D" w:rsidRPr="00B22CA9">
        <w:rPr>
          <w:rFonts w:ascii="Times New Roman" w:hAnsi="Times New Roman" w:cs="Times New Roman"/>
          <w:sz w:val="24"/>
          <w:szCs w:val="24"/>
          <w:lang w:val="es-ES"/>
        </w:rPr>
        <w:t>o</w:t>
      </w:r>
      <w:r w:rsidR="00254342" w:rsidRPr="00B22CA9">
        <w:rPr>
          <w:rFonts w:ascii="Times New Roman" w:hAnsi="Times New Roman" w:cs="Times New Roman"/>
          <w:sz w:val="24"/>
          <w:szCs w:val="24"/>
          <w:lang w:val="es-ES"/>
        </w:rPr>
        <w:t xml:space="preserve"> incluso</w:t>
      </w:r>
      <w:r w:rsidR="007F4710" w:rsidRPr="00B22CA9">
        <w:rPr>
          <w:rFonts w:ascii="Times New Roman" w:hAnsi="Times New Roman" w:cs="Times New Roman"/>
          <w:sz w:val="24"/>
          <w:szCs w:val="24"/>
          <w:lang w:val="es-ES"/>
        </w:rPr>
        <w:t xml:space="preserve">, en cierto sentido, la </w:t>
      </w:r>
      <w:r w:rsidR="00105E60" w:rsidRPr="00B22CA9">
        <w:rPr>
          <w:rFonts w:ascii="Times New Roman" w:hAnsi="Times New Roman" w:cs="Times New Roman"/>
          <w:sz w:val="24"/>
          <w:szCs w:val="24"/>
          <w:lang w:val="es-ES"/>
        </w:rPr>
        <w:t>cuestión prejudicial</w:t>
      </w:r>
      <w:r w:rsidR="00BE75F6" w:rsidRPr="00B22CA9">
        <w:rPr>
          <w:rFonts w:ascii="Times New Roman" w:hAnsi="Times New Roman" w:cs="Times New Roman"/>
          <w:sz w:val="24"/>
          <w:szCs w:val="24"/>
          <w:lang w:val="es-ES"/>
        </w:rPr>
        <w:t>-</w:t>
      </w:r>
      <w:r w:rsidR="00105E60" w:rsidRPr="00B22CA9">
        <w:rPr>
          <w:rFonts w:ascii="Times New Roman" w:hAnsi="Times New Roman" w:cs="Times New Roman"/>
          <w:sz w:val="24"/>
          <w:szCs w:val="24"/>
          <w:lang w:val="es-ES"/>
        </w:rPr>
        <w:t xml:space="preserve">, que en el marco </w:t>
      </w:r>
      <w:r w:rsidR="00254342" w:rsidRPr="00B22CA9">
        <w:rPr>
          <w:rFonts w:ascii="Times New Roman" w:hAnsi="Times New Roman" w:cs="Times New Roman"/>
          <w:sz w:val="24"/>
          <w:szCs w:val="24"/>
          <w:lang w:val="es-ES"/>
        </w:rPr>
        <w:t xml:space="preserve">objetivo </w:t>
      </w:r>
      <w:r w:rsidR="00105E60" w:rsidRPr="00B22CA9">
        <w:rPr>
          <w:rFonts w:ascii="Times New Roman" w:hAnsi="Times New Roman" w:cs="Times New Roman"/>
          <w:sz w:val="24"/>
          <w:szCs w:val="24"/>
          <w:lang w:val="es-ES"/>
        </w:rPr>
        <w:t>del procedimiento de incumplimiento</w:t>
      </w:r>
      <w:r w:rsidR="004A453D" w:rsidRPr="00B22CA9">
        <w:rPr>
          <w:rFonts w:ascii="Times New Roman" w:hAnsi="Times New Roman" w:cs="Times New Roman"/>
          <w:sz w:val="24"/>
          <w:szCs w:val="24"/>
          <w:lang w:val="es-ES"/>
        </w:rPr>
        <w:t xml:space="preserve">.  </w:t>
      </w:r>
    </w:p>
    <w:p w:rsidR="00C206FF" w:rsidRPr="00B22CA9" w:rsidRDefault="00105E60" w:rsidP="007F11DF">
      <w:pPr>
        <w:spacing w:line="240" w:lineRule="auto"/>
        <w:ind w:firstLine="720"/>
        <w:jc w:val="both"/>
        <w:rPr>
          <w:rFonts w:ascii="Times New Roman" w:hAnsi="Times New Roman" w:cs="Times New Roman"/>
          <w:sz w:val="24"/>
          <w:szCs w:val="24"/>
          <w:lang w:val="es-ES"/>
        </w:rPr>
      </w:pPr>
      <w:r w:rsidRPr="00B22CA9">
        <w:rPr>
          <w:rFonts w:ascii="Times New Roman" w:hAnsi="Times New Roman" w:cs="Times New Roman"/>
          <w:sz w:val="24"/>
          <w:szCs w:val="24"/>
          <w:lang w:val="es-ES"/>
        </w:rPr>
        <w:t xml:space="preserve">Así </w:t>
      </w:r>
      <w:r w:rsidR="007F4710" w:rsidRPr="00B22CA9">
        <w:rPr>
          <w:rFonts w:ascii="Times New Roman" w:hAnsi="Times New Roman" w:cs="Times New Roman"/>
          <w:sz w:val="24"/>
          <w:szCs w:val="24"/>
          <w:lang w:val="es-ES"/>
        </w:rPr>
        <w:t>se evidencia</w:t>
      </w:r>
      <w:r w:rsidR="00C206FF" w:rsidRPr="00B22CA9">
        <w:rPr>
          <w:rFonts w:ascii="Times New Roman" w:hAnsi="Times New Roman" w:cs="Times New Roman"/>
          <w:sz w:val="24"/>
          <w:szCs w:val="24"/>
          <w:lang w:val="es-ES"/>
        </w:rPr>
        <w:t>n dos aspectos de particular influencia en la manera en la que los derechos son alegados</w:t>
      </w:r>
      <w:r w:rsidR="00A7607D" w:rsidRPr="00B22CA9">
        <w:rPr>
          <w:rFonts w:ascii="Times New Roman" w:hAnsi="Times New Roman" w:cs="Times New Roman"/>
          <w:sz w:val="24"/>
          <w:szCs w:val="24"/>
          <w:lang w:val="es-ES"/>
        </w:rPr>
        <w:t xml:space="preserve"> como causas de infracción del </w:t>
      </w:r>
      <w:r w:rsidR="00FD7E4B" w:rsidRPr="00B22CA9">
        <w:rPr>
          <w:rFonts w:ascii="Times New Roman" w:hAnsi="Times New Roman" w:cs="Times New Roman"/>
          <w:sz w:val="24"/>
          <w:szCs w:val="24"/>
          <w:lang w:val="es-ES"/>
        </w:rPr>
        <w:t>d</w:t>
      </w:r>
      <w:r w:rsidR="00A7607D" w:rsidRPr="00B22CA9">
        <w:rPr>
          <w:rFonts w:ascii="Times New Roman" w:hAnsi="Times New Roman" w:cs="Times New Roman"/>
          <w:sz w:val="24"/>
          <w:szCs w:val="24"/>
          <w:lang w:val="es-ES"/>
        </w:rPr>
        <w:t>erecho de la Unión</w:t>
      </w:r>
      <w:r w:rsidR="00C206FF" w:rsidRPr="00B22CA9">
        <w:rPr>
          <w:rFonts w:ascii="Times New Roman" w:hAnsi="Times New Roman" w:cs="Times New Roman"/>
          <w:sz w:val="24"/>
          <w:szCs w:val="24"/>
          <w:lang w:val="es-ES"/>
        </w:rPr>
        <w:t xml:space="preserve">: una </w:t>
      </w:r>
      <w:r w:rsidR="007F4710" w:rsidRPr="00B22CA9">
        <w:rPr>
          <w:rFonts w:ascii="Times New Roman" w:hAnsi="Times New Roman" w:cs="Times New Roman"/>
          <w:sz w:val="24"/>
          <w:szCs w:val="24"/>
          <w:lang w:val="es-ES"/>
        </w:rPr>
        <w:t xml:space="preserve">la </w:t>
      </w:r>
      <w:r w:rsidR="00E0769A" w:rsidRPr="00B22CA9">
        <w:rPr>
          <w:rFonts w:ascii="Times New Roman" w:hAnsi="Times New Roman" w:cs="Times New Roman"/>
          <w:sz w:val="24"/>
          <w:szCs w:val="24"/>
          <w:lang w:val="es-ES"/>
        </w:rPr>
        <w:t xml:space="preserve">ligada a los mandatos </w:t>
      </w:r>
      <w:r w:rsidR="009D2E42" w:rsidRPr="00B22CA9">
        <w:rPr>
          <w:rFonts w:ascii="Times New Roman" w:hAnsi="Times New Roman" w:cs="Times New Roman"/>
          <w:sz w:val="24"/>
          <w:szCs w:val="24"/>
          <w:lang w:val="es-ES"/>
        </w:rPr>
        <w:t xml:space="preserve">del </w:t>
      </w:r>
      <w:r w:rsidR="007F4710" w:rsidRPr="00B22CA9">
        <w:rPr>
          <w:rFonts w:ascii="Times New Roman" w:hAnsi="Times New Roman" w:cs="Times New Roman"/>
          <w:sz w:val="24"/>
          <w:szCs w:val="24"/>
          <w:lang w:val="es-ES"/>
        </w:rPr>
        <w:t>artículo 51 de la Carta y otr</w:t>
      </w:r>
      <w:r w:rsidR="00C206FF" w:rsidRPr="00B22CA9">
        <w:rPr>
          <w:rFonts w:ascii="Times New Roman" w:hAnsi="Times New Roman" w:cs="Times New Roman"/>
          <w:sz w:val="24"/>
          <w:szCs w:val="24"/>
          <w:lang w:val="es-ES"/>
        </w:rPr>
        <w:t>a</w:t>
      </w:r>
      <w:r w:rsidR="00325DD3" w:rsidRPr="00B22CA9">
        <w:rPr>
          <w:rFonts w:ascii="Times New Roman" w:hAnsi="Times New Roman" w:cs="Times New Roman"/>
          <w:sz w:val="24"/>
          <w:szCs w:val="24"/>
          <w:lang w:val="es-ES"/>
        </w:rPr>
        <w:t xml:space="preserve"> ligada</w:t>
      </w:r>
      <w:r w:rsidR="007F4710" w:rsidRPr="00B22CA9">
        <w:rPr>
          <w:rFonts w:ascii="Times New Roman" w:hAnsi="Times New Roman" w:cs="Times New Roman"/>
          <w:sz w:val="24"/>
          <w:szCs w:val="24"/>
          <w:lang w:val="es-ES"/>
        </w:rPr>
        <w:t xml:space="preserve"> </w:t>
      </w:r>
      <w:r w:rsidR="00E0769A" w:rsidRPr="00B22CA9">
        <w:rPr>
          <w:rFonts w:ascii="Times New Roman" w:hAnsi="Times New Roman" w:cs="Times New Roman"/>
          <w:sz w:val="24"/>
          <w:szCs w:val="24"/>
          <w:lang w:val="es-ES"/>
        </w:rPr>
        <w:t>al</w:t>
      </w:r>
      <w:r w:rsidR="007F4710" w:rsidRPr="00B22CA9">
        <w:rPr>
          <w:rFonts w:ascii="Times New Roman" w:hAnsi="Times New Roman" w:cs="Times New Roman"/>
          <w:sz w:val="24"/>
          <w:szCs w:val="24"/>
          <w:lang w:val="es-ES"/>
        </w:rPr>
        <w:t xml:space="preserve"> cauce procesal</w:t>
      </w:r>
      <w:r w:rsidR="00E0769A" w:rsidRPr="00B22CA9">
        <w:rPr>
          <w:rFonts w:ascii="Times New Roman" w:hAnsi="Times New Roman" w:cs="Times New Roman"/>
          <w:sz w:val="24"/>
          <w:szCs w:val="24"/>
          <w:lang w:val="es-ES"/>
        </w:rPr>
        <w:t xml:space="preserve"> en el que se invocan</w:t>
      </w:r>
      <w:r w:rsidR="007F4710" w:rsidRPr="00B22CA9">
        <w:rPr>
          <w:rFonts w:ascii="Times New Roman" w:hAnsi="Times New Roman" w:cs="Times New Roman"/>
          <w:sz w:val="24"/>
          <w:szCs w:val="24"/>
          <w:lang w:val="es-ES"/>
        </w:rPr>
        <w:t>.</w:t>
      </w:r>
      <w:r w:rsidR="00325DD3" w:rsidRPr="00B22CA9">
        <w:rPr>
          <w:rFonts w:ascii="Times New Roman" w:hAnsi="Times New Roman" w:cs="Times New Roman"/>
          <w:sz w:val="24"/>
          <w:szCs w:val="24"/>
          <w:lang w:val="es-ES"/>
        </w:rPr>
        <w:t xml:space="preserve"> </w:t>
      </w:r>
      <w:r w:rsidR="00254342" w:rsidRPr="00B22CA9">
        <w:rPr>
          <w:rFonts w:ascii="Times New Roman" w:hAnsi="Times New Roman" w:cs="Times New Roman"/>
          <w:sz w:val="24"/>
          <w:szCs w:val="24"/>
          <w:lang w:val="es-ES"/>
        </w:rPr>
        <w:t>Y  n</w:t>
      </w:r>
      <w:r w:rsidR="00325DD3" w:rsidRPr="00B22CA9">
        <w:rPr>
          <w:rFonts w:ascii="Times New Roman" w:hAnsi="Times New Roman" w:cs="Times New Roman"/>
          <w:sz w:val="24"/>
          <w:szCs w:val="24"/>
          <w:lang w:val="es-ES"/>
        </w:rPr>
        <w:t>o hay que olvidar que</w:t>
      </w:r>
      <w:r w:rsidR="00254342" w:rsidRPr="00B22CA9">
        <w:rPr>
          <w:rFonts w:ascii="Times New Roman" w:hAnsi="Times New Roman" w:cs="Times New Roman"/>
          <w:sz w:val="24"/>
          <w:szCs w:val="24"/>
          <w:lang w:val="es-ES"/>
        </w:rPr>
        <w:t>,</w:t>
      </w:r>
      <w:r w:rsidR="00325DD3" w:rsidRPr="00B22CA9">
        <w:rPr>
          <w:rFonts w:ascii="Times New Roman" w:hAnsi="Times New Roman" w:cs="Times New Roman"/>
          <w:sz w:val="24"/>
          <w:szCs w:val="24"/>
          <w:lang w:val="es-ES"/>
        </w:rPr>
        <w:t xml:space="preserve"> hasta ahora</w:t>
      </w:r>
      <w:r w:rsidR="00254342" w:rsidRPr="00B22CA9">
        <w:rPr>
          <w:rFonts w:ascii="Times New Roman" w:hAnsi="Times New Roman" w:cs="Times New Roman"/>
          <w:sz w:val="24"/>
          <w:szCs w:val="24"/>
          <w:lang w:val="es-ES"/>
        </w:rPr>
        <w:t>,</w:t>
      </w:r>
      <w:r w:rsidR="00325DD3" w:rsidRPr="00B22CA9">
        <w:rPr>
          <w:rFonts w:ascii="Times New Roman" w:hAnsi="Times New Roman" w:cs="Times New Roman"/>
          <w:sz w:val="24"/>
          <w:szCs w:val="24"/>
          <w:lang w:val="es-ES"/>
        </w:rPr>
        <w:t xml:space="preserve"> los derechos fundamentales en la Unión han sido objeto casi exclusivo de interpretación prejudicial.</w:t>
      </w:r>
      <w:r w:rsidR="007F4710" w:rsidRPr="00B22CA9">
        <w:rPr>
          <w:rFonts w:ascii="Times New Roman" w:hAnsi="Times New Roman" w:cs="Times New Roman"/>
          <w:sz w:val="24"/>
          <w:szCs w:val="24"/>
          <w:lang w:val="es-ES"/>
        </w:rPr>
        <w:t xml:space="preserve">  </w:t>
      </w:r>
    </w:p>
    <w:p w:rsidR="004D265A" w:rsidRPr="00B22CA9" w:rsidRDefault="007F4710" w:rsidP="007F11DF">
      <w:pPr>
        <w:spacing w:line="240" w:lineRule="auto"/>
        <w:ind w:firstLine="720"/>
        <w:jc w:val="both"/>
        <w:rPr>
          <w:rFonts w:ascii="Times New Roman" w:hAnsi="Times New Roman" w:cs="Times New Roman"/>
          <w:sz w:val="24"/>
          <w:szCs w:val="24"/>
          <w:lang w:val="es-ES"/>
        </w:rPr>
      </w:pPr>
      <w:r w:rsidRPr="00B22CA9">
        <w:rPr>
          <w:rFonts w:ascii="Times New Roman" w:hAnsi="Times New Roman" w:cs="Times New Roman"/>
          <w:sz w:val="24"/>
          <w:szCs w:val="24"/>
          <w:lang w:val="es-ES"/>
        </w:rPr>
        <w:t>Respecto a</w:t>
      </w:r>
      <w:r w:rsidR="00254342" w:rsidRPr="00B22CA9">
        <w:rPr>
          <w:rFonts w:ascii="Times New Roman" w:hAnsi="Times New Roman" w:cs="Times New Roman"/>
          <w:sz w:val="24"/>
          <w:szCs w:val="24"/>
          <w:lang w:val="es-ES"/>
        </w:rPr>
        <w:t>l</w:t>
      </w:r>
      <w:r w:rsidRPr="00B22CA9">
        <w:rPr>
          <w:rFonts w:ascii="Times New Roman" w:hAnsi="Times New Roman" w:cs="Times New Roman"/>
          <w:sz w:val="24"/>
          <w:szCs w:val="24"/>
          <w:lang w:val="es-ES"/>
        </w:rPr>
        <w:t xml:space="preserve"> primer</w:t>
      </w:r>
      <w:r w:rsidR="00254342" w:rsidRPr="00B22CA9">
        <w:rPr>
          <w:rFonts w:ascii="Times New Roman" w:hAnsi="Times New Roman" w:cs="Times New Roman"/>
          <w:sz w:val="24"/>
          <w:szCs w:val="24"/>
          <w:lang w:val="es-ES"/>
        </w:rPr>
        <w:t xml:space="preserve"> aspecto</w:t>
      </w:r>
      <w:r w:rsidRPr="00B22CA9">
        <w:rPr>
          <w:rFonts w:ascii="Times New Roman" w:hAnsi="Times New Roman" w:cs="Times New Roman"/>
          <w:sz w:val="24"/>
          <w:szCs w:val="24"/>
          <w:lang w:val="es-ES"/>
        </w:rPr>
        <w:t xml:space="preserve">, </w:t>
      </w:r>
      <w:r w:rsidR="004D265A" w:rsidRPr="00B22CA9">
        <w:rPr>
          <w:rFonts w:ascii="Times New Roman" w:hAnsi="Times New Roman" w:cs="Times New Roman"/>
          <w:sz w:val="24"/>
          <w:szCs w:val="24"/>
          <w:lang w:val="es-ES"/>
        </w:rPr>
        <w:t xml:space="preserve">incluso dentro de esa </w:t>
      </w:r>
      <w:r w:rsidR="00325DD3" w:rsidRPr="00B22CA9">
        <w:rPr>
          <w:rFonts w:ascii="Times New Roman" w:hAnsi="Times New Roman" w:cs="Times New Roman"/>
          <w:sz w:val="24"/>
          <w:szCs w:val="24"/>
          <w:lang w:val="es-ES"/>
        </w:rPr>
        <w:t xml:space="preserve">originaria </w:t>
      </w:r>
      <w:r w:rsidR="004D265A" w:rsidRPr="00B22CA9">
        <w:rPr>
          <w:rFonts w:ascii="Times New Roman" w:hAnsi="Times New Roman" w:cs="Times New Roman"/>
          <w:sz w:val="24"/>
          <w:szCs w:val="24"/>
          <w:lang w:val="es-ES"/>
        </w:rPr>
        <w:t>concepción amplia del ámbito de aplicación como efectividad</w:t>
      </w:r>
      <w:r w:rsidR="00325DD3" w:rsidRPr="00B22CA9">
        <w:rPr>
          <w:rFonts w:ascii="Times New Roman" w:hAnsi="Times New Roman" w:cs="Times New Roman"/>
          <w:sz w:val="24"/>
          <w:szCs w:val="24"/>
          <w:lang w:val="es-ES"/>
        </w:rPr>
        <w:t>,</w:t>
      </w:r>
      <w:r w:rsidR="004D265A" w:rsidRPr="00B22CA9">
        <w:rPr>
          <w:rFonts w:ascii="Times New Roman" w:hAnsi="Times New Roman" w:cs="Times New Roman"/>
          <w:sz w:val="24"/>
          <w:szCs w:val="24"/>
          <w:lang w:val="es-ES"/>
        </w:rPr>
        <w:t xml:space="preserve"> </w:t>
      </w:r>
      <w:r w:rsidR="00325DD3" w:rsidRPr="00B22CA9">
        <w:rPr>
          <w:rFonts w:ascii="Times New Roman" w:hAnsi="Times New Roman" w:cs="Times New Roman"/>
          <w:sz w:val="24"/>
          <w:szCs w:val="24"/>
          <w:lang w:val="es-ES"/>
        </w:rPr>
        <w:t xml:space="preserve">la </w:t>
      </w:r>
      <w:r w:rsidR="004D265A" w:rsidRPr="00B22CA9">
        <w:rPr>
          <w:rFonts w:ascii="Times New Roman" w:hAnsi="Times New Roman" w:cs="Times New Roman"/>
          <w:sz w:val="24"/>
          <w:szCs w:val="24"/>
          <w:lang w:val="es-ES"/>
        </w:rPr>
        <w:t xml:space="preserve">que se deduce de </w:t>
      </w:r>
      <w:proofErr w:type="spellStart"/>
      <w:r w:rsidR="004D265A" w:rsidRPr="00B22CA9">
        <w:rPr>
          <w:rFonts w:ascii="Times New Roman" w:hAnsi="Times New Roman" w:cs="Times New Roman"/>
          <w:i/>
          <w:iCs/>
          <w:sz w:val="24"/>
          <w:szCs w:val="24"/>
          <w:lang w:val="es-ES"/>
        </w:rPr>
        <w:t>Fransson</w:t>
      </w:r>
      <w:proofErr w:type="spellEnd"/>
      <w:r w:rsidR="004D265A" w:rsidRPr="00B22CA9">
        <w:rPr>
          <w:rFonts w:ascii="Times New Roman" w:hAnsi="Times New Roman" w:cs="Times New Roman"/>
          <w:sz w:val="24"/>
          <w:szCs w:val="24"/>
          <w:lang w:val="es-ES"/>
        </w:rPr>
        <w:t>, hay un límite</w:t>
      </w:r>
      <w:r w:rsidR="00911610" w:rsidRPr="00B22CA9">
        <w:rPr>
          <w:rFonts w:ascii="Times New Roman" w:hAnsi="Times New Roman" w:cs="Times New Roman"/>
          <w:sz w:val="24"/>
          <w:szCs w:val="24"/>
          <w:lang w:val="es-ES"/>
        </w:rPr>
        <w:t xml:space="preserve"> o más bien</w:t>
      </w:r>
      <w:r w:rsidR="009D2E42" w:rsidRPr="00B22CA9">
        <w:rPr>
          <w:rFonts w:ascii="Times New Roman" w:hAnsi="Times New Roman" w:cs="Times New Roman"/>
          <w:sz w:val="24"/>
          <w:szCs w:val="24"/>
          <w:lang w:val="es-ES"/>
        </w:rPr>
        <w:t xml:space="preserve"> una exigencia</w:t>
      </w:r>
      <w:r w:rsidR="00911610" w:rsidRPr="00B22CA9">
        <w:rPr>
          <w:rFonts w:ascii="Times New Roman" w:hAnsi="Times New Roman" w:cs="Times New Roman"/>
          <w:sz w:val="24"/>
          <w:szCs w:val="24"/>
          <w:lang w:val="es-ES"/>
        </w:rPr>
        <w:t xml:space="preserve">: la </w:t>
      </w:r>
      <w:r w:rsidR="004D265A" w:rsidRPr="00B22CA9">
        <w:rPr>
          <w:rFonts w:ascii="Times New Roman" w:hAnsi="Times New Roman" w:cs="Times New Roman"/>
          <w:sz w:val="24"/>
          <w:szCs w:val="24"/>
          <w:lang w:val="es-ES"/>
        </w:rPr>
        <w:t>vinculación</w:t>
      </w:r>
      <w:r w:rsidR="00911610" w:rsidRPr="00B22CA9">
        <w:rPr>
          <w:rFonts w:ascii="Times New Roman" w:hAnsi="Times New Roman" w:cs="Times New Roman"/>
          <w:sz w:val="24"/>
          <w:szCs w:val="24"/>
          <w:lang w:val="es-ES"/>
        </w:rPr>
        <w:t xml:space="preserve"> a un</w:t>
      </w:r>
      <w:r w:rsidR="00063164" w:rsidRPr="00B22CA9">
        <w:rPr>
          <w:rFonts w:ascii="Times New Roman" w:hAnsi="Times New Roman" w:cs="Times New Roman"/>
          <w:sz w:val="24"/>
          <w:szCs w:val="24"/>
          <w:lang w:val="es-ES"/>
        </w:rPr>
        <w:t>a esfera de competencia atribuida</w:t>
      </w:r>
      <w:r w:rsidR="00A46945" w:rsidRPr="00B22CA9">
        <w:rPr>
          <w:rFonts w:ascii="Times New Roman" w:hAnsi="Times New Roman" w:cs="Times New Roman"/>
          <w:sz w:val="24"/>
          <w:szCs w:val="24"/>
          <w:lang w:val="es-ES"/>
        </w:rPr>
        <w:t xml:space="preserve">. </w:t>
      </w:r>
      <w:r w:rsidR="00325DD3" w:rsidRPr="00B22CA9">
        <w:rPr>
          <w:rFonts w:ascii="Times New Roman" w:hAnsi="Times New Roman" w:cs="Times New Roman"/>
          <w:sz w:val="24"/>
          <w:szCs w:val="24"/>
          <w:lang w:val="es-ES"/>
        </w:rPr>
        <w:t>Si e</w:t>
      </w:r>
      <w:r w:rsidR="00911610" w:rsidRPr="00B22CA9">
        <w:rPr>
          <w:rFonts w:ascii="Times New Roman" w:hAnsi="Times New Roman" w:cs="Times New Roman"/>
          <w:sz w:val="24"/>
          <w:szCs w:val="24"/>
          <w:lang w:val="es-ES"/>
        </w:rPr>
        <w:t>s así en el ámbito prejudicial, no debe serlo menos en el ámbito de</w:t>
      </w:r>
      <w:r w:rsidR="00325DD3" w:rsidRPr="00B22CA9">
        <w:rPr>
          <w:rFonts w:ascii="Times New Roman" w:hAnsi="Times New Roman" w:cs="Times New Roman"/>
          <w:sz w:val="24"/>
          <w:szCs w:val="24"/>
          <w:lang w:val="es-ES"/>
        </w:rPr>
        <w:t>l recurso por</w:t>
      </w:r>
      <w:r w:rsidR="00911610" w:rsidRPr="00B22CA9">
        <w:rPr>
          <w:rFonts w:ascii="Times New Roman" w:hAnsi="Times New Roman" w:cs="Times New Roman"/>
          <w:sz w:val="24"/>
          <w:szCs w:val="24"/>
          <w:lang w:val="es-ES"/>
        </w:rPr>
        <w:t xml:space="preserve"> incumplimiento</w:t>
      </w:r>
      <w:r w:rsidR="00FC29A6" w:rsidRPr="00B22CA9">
        <w:rPr>
          <w:rFonts w:ascii="Times New Roman" w:hAnsi="Times New Roman" w:cs="Times New Roman"/>
          <w:sz w:val="24"/>
          <w:szCs w:val="24"/>
          <w:lang w:val="es-ES"/>
        </w:rPr>
        <w:t xml:space="preserve">. </w:t>
      </w:r>
      <w:r w:rsidR="00325DD3" w:rsidRPr="00B22CA9">
        <w:rPr>
          <w:rFonts w:ascii="Times New Roman" w:hAnsi="Times New Roman" w:cs="Times New Roman"/>
          <w:sz w:val="24"/>
          <w:szCs w:val="24"/>
          <w:lang w:val="es-ES"/>
        </w:rPr>
        <w:t>De hecho</w:t>
      </w:r>
      <w:r w:rsidR="00911610" w:rsidRPr="00B22CA9">
        <w:rPr>
          <w:rFonts w:ascii="Times New Roman" w:hAnsi="Times New Roman" w:cs="Times New Roman"/>
          <w:sz w:val="24"/>
          <w:szCs w:val="24"/>
          <w:lang w:val="es-ES"/>
        </w:rPr>
        <w:t>, mucho más estricta</w:t>
      </w:r>
      <w:r w:rsidR="00325DD3" w:rsidRPr="00B22CA9">
        <w:rPr>
          <w:rFonts w:ascii="Times New Roman" w:hAnsi="Times New Roman" w:cs="Times New Roman"/>
          <w:sz w:val="24"/>
          <w:szCs w:val="24"/>
          <w:lang w:val="es-ES"/>
        </w:rPr>
        <w:t xml:space="preserve"> si cabe</w:t>
      </w:r>
      <w:r w:rsidR="00911610" w:rsidRPr="00B22CA9">
        <w:rPr>
          <w:rFonts w:ascii="Times New Roman" w:hAnsi="Times New Roman" w:cs="Times New Roman"/>
          <w:sz w:val="24"/>
          <w:szCs w:val="24"/>
          <w:lang w:val="es-ES"/>
        </w:rPr>
        <w:t xml:space="preserve"> </w:t>
      </w:r>
      <w:r w:rsidR="00EC49A8" w:rsidRPr="00B22CA9">
        <w:rPr>
          <w:rFonts w:ascii="Times New Roman" w:hAnsi="Times New Roman" w:cs="Times New Roman"/>
          <w:sz w:val="24"/>
          <w:szCs w:val="24"/>
          <w:lang w:val="es-ES"/>
        </w:rPr>
        <w:t>es</w:t>
      </w:r>
      <w:r w:rsidR="00911610" w:rsidRPr="00B22CA9">
        <w:rPr>
          <w:rFonts w:ascii="Times New Roman" w:hAnsi="Times New Roman" w:cs="Times New Roman"/>
          <w:sz w:val="24"/>
          <w:szCs w:val="24"/>
          <w:lang w:val="es-ES"/>
        </w:rPr>
        <w:t xml:space="preserve"> la exigencia de vinculación en </w:t>
      </w:r>
      <w:r w:rsidR="00F637DF" w:rsidRPr="00B22CA9">
        <w:rPr>
          <w:rFonts w:ascii="Times New Roman" w:hAnsi="Times New Roman" w:cs="Times New Roman"/>
          <w:sz w:val="24"/>
          <w:szCs w:val="24"/>
          <w:lang w:val="es-ES"/>
        </w:rPr>
        <w:t>el segundo caso</w:t>
      </w:r>
      <w:r w:rsidR="00911610" w:rsidRPr="00B22CA9">
        <w:rPr>
          <w:rFonts w:ascii="Times New Roman" w:hAnsi="Times New Roman" w:cs="Times New Roman"/>
          <w:sz w:val="24"/>
          <w:szCs w:val="24"/>
          <w:lang w:val="es-ES"/>
        </w:rPr>
        <w:t>. Según establece el mismo artículo 51 en su segundo párrafo, la Carta no amplí</w:t>
      </w:r>
      <w:r w:rsidR="00EC49A8" w:rsidRPr="00B22CA9">
        <w:rPr>
          <w:rFonts w:ascii="Times New Roman" w:hAnsi="Times New Roman" w:cs="Times New Roman"/>
          <w:sz w:val="24"/>
          <w:szCs w:val="24"/>
          <w:lang w:val="es-ES"/>
        </w:rPr>
        <w:t>a</w:t>
      </w:r>
      <w:r w:rsidR="00911610" w:rsidRPr="00B22CA9">
        <w:rPr>
          <w:rFonts w:ascii="Times New Roman" w:hAnsi="Times New Roman" w:cs="Times New Roman"/>
          <w:sz w:val="24"/>
          <w:szCs w:val="24"/>
          <w:lang w:val="es-ES"/>
        </w:rPr>
        <w:t xml:space="preserve"> el campo de aplicación</w:t>
      </w:r>
      <w:r w:rsidR="00EC49A8" w:rsidRPr="00B22CA9">
        <w:rPr>
          <w:rFonts w:ascii="Times New Roman" w:hAnsi="Times New Roman" w:cs="Times New Roman"/>
          <w:sz w:val="24"/>
          <w:szCs w:val="24"/>
          <w:lang w:val="es-ES"/>
        </w:rPr>
        <w:t xml:space="preserve"> de las normas supranacionales y tampoco</w:t>
      </w:r>
      <w:r w:rsidR="00911610" w:rsidRPr="00B22CA9">
        <w:rPr>
          <w:rFonts w:ascii="Times New Roman" w:hAnsi="Times New Roman" w:cs="Times New Roman"/>
          <w:sz w:val="24"/>
          <w:szCs w:val="24"/>
          <w:lang w:val="es-ES"/>
        </w:rPr>
        <w:t xml:space="preserve"> crea competencia o misión nueva para la Unión ni modifica las existentes.</w:t>
      </w:r>
      <w:r w:rsidR="00C744AC" w:rsidRPr="00B22CA9">
        <w:rPr>
          <w:rFonts w:ascii="Times New Roman" w:hAnsi="Times New Roman" w:cs="Times New Roman"/>
          <w:sz w:val="24"/>
          <w:szCs w:val="24"/>
          <w:lang w:val="es-ES"/>
        </w:rPr>
        <w:t xml:space="preserve"> La mención del principio de subsidiariedad en el párrafo primero, recuerda que el ejercicio de competencias de la Unión</w:t>
      </w:r>
      <w:r w:rsidR="00EC49A8" w:rsidRPr="00B22CA9">
        <w:rPr>
          <w:rFonts w:ascii="Times New Roman" w:hAnsi="Times New Roman" w:cs="Times New Roman"/>
          <w:sz w:val="24"/>
          <w:szCs w:val="24"/>
          <w:lang w:val="es-ES"/>
        </w:rPr>
        <w:t xml:space="preserve"> somete a escrutinio la</w:t>
      </w:r>
      <w:r w:rsidR="00C744AC" w:rsidRPr="00B22CA9">
        <w:rPr>
          <w:rFonts w:ascii="Times New Roman" w:hAnsi="Times New Roman" w:cs="Times New Roman"/>
          <w:sz w:val="24"/>
          <w:szCs w:val="24"/>
          <w:lang w:val="es-ES"/>
        </w:rPr>
        <w:t xml:space="preserve"> justificación de la mayor eficacia de la medida supranacional para lograr objetivos de la integración, es decir, previstos en los Tratados o en las nor</w:t>
      </w:r>
      <w:r w:rsidR="00325DD3" w:rsidRPr="00B22CA9">
        <w:rPr>
          <w:rFonts w:ascii="Times New Roman" w:hAnsi="Times New Roman" w:cs="Times New Roman"/>
          <w:sz w:val="24"/>
          <w:szCs w:val="24"/>
          <w:lang w:val="es-ES"/>
        </w:rPr>
        <w:t>mas de Derecho derivado. La</w:t>
      </w:r>
      <w:r w:rsidR="00C744AC" w:rsidRPr="00B22CA9">
        <w:rPr>
          <w:rFonts w:ascii="Times New Roman" w:hAnsi="Times New Roman" w:cs="Times New Roman"/>
          <w:sz w:val="24"/>
          <w:szCs w:val="24"/>
          <w:lang w:val="es-ES"/>
        </w:rPr>
        <w:t xml:space="preserve"> </w:t>
      </w:r>
      <w:r w:rsidR="00EC49A8" w:rsidRPr="00B22CA9">
        <w:rPr>
          <w:rFonts w:ascii="Times New Roman" w:hAnsi="Times New Roman" w:cs="Times New Roman"/>
          <w:sz w:val="24"/>
          <w:szCs w:val="24"/>
          <w:lang w:val="es-ES"/>
        </w:rPr>
        <w:t>invoca</w:t>
      </w:r>
      <w:r w:rsidR="00325DD3" w:rsidRPr="00B22CA9">
        <w:rPr>
          <w:rFonts w:ascii="Times New Roman" w:hAnsi="Times New Roman" w:cs="Times New Roman"/>
          <w:sz w:val="24"/>
          <w:szCs w:val="24"/>
          <w:lang w:val="es-ES"/>
        </w:rPr>
        <w:t>ción de</w:t>
      </w:r>
      <w:r w:rsidR="00C744AC" w:rsidRPr="00B22CA9">
        <w:rPr>
          <w:rFonts w:ascii="Times New Roman" w:hAnsi="Times New Roman" w:cs="Times New Roman"/>
          <w:sz w:val="24"/>
          <w:szCs w:val="24"/>
          <w:lang w:val="es-ES"/>
        </w:rPr>
        <w:t xml:space="preserve"> los derechos de la Carta fuera de esas coordenadas</w:t>
      </w:r>
      <w:r w:rsidR="00FC29A6" w:rsidRPr="00B22CA9">
        <w:rPr>
          <w:rFonts w:ascii="Times New Roman" w:hAnsi="Times New Roman" w:cs="Times New Roman"/>
          <w:sz w:val="24"/>
          <w:szCs w:val="24"/>
          <w:lang w:val="es-ES"/>
        </w:rPr>
        <w:t xml:space="preserve"> </w:t>
      </w:r>
      <w:r w:rsidR="00325DD3" w:rsidRPr="00B22CA9">
        <w:rPr>
          <w:rFonts w:ascii="Times New Roman" w:hAnsi="Times New Roman" w:cs="Times New Roman"/>
          <w:sz w:val="24"/>
          <w:szCs w:val="24"/>
          <w:lang w:val="es-ES"/>
        </w:rPr>
        <w:t>es difícil de articular, pues supondría</w:t>
      </w:r>
      <w:r w:rsidR="00FC29A6" w:rsidRPr="00B22CA9">
        <w:rPr>
          <w:rFonts w:ascii="Times New Roman" w:hAnsi="Times New Roman" w:cs="Times New Roman"/>
          <w:sz w:val="24"/>
          <w:szCs w:val="24"/>
          <w:lang w:val="es-ES"/>
        </w:rPr>
        <w:t xml:space="preserve"> perseguir la infracción de los derechos fundamentales sustancialmente compartidos entre la Unión y los Estados fuera de los márgenes del artículo 51</w:t>
      </w:r>
      <w:r w:rsidR="00325DD3" w:rsidRPr="00B22CA9">
        <w:rPr>
          <w:rFonts w:ascii="Times New Roman" w:hAnsi="Times New Roman" w:cs="Times New Roman"/>
          <w:sz w:val="24"/>
          <w:szCs w:val="24"/>
          <w:lang w:val="es-ES"/>
        </w:rPr>
        <w:t>. C</w:t>
      </w:r>
      <w:r w:rsidR="00FC29A6" w:rsidRPr="00B22CA9">
        <w:rPr>
          <w:rFonts w:ascii="Times New Roman" w:hAnsi="Times New Roman" w:cs="Times New Roman"/>
          <w:sz w:val="24"/>
          <w:szCs w:val="24"/>
          <w:lang w:val="es-ES"/>
        </w:rPr>
        <w:t>omo misión específica de la Comisión</w:t>
      </w:r>
      <w:r w:rsidR="00325DD3" w:rsidRPr="00B22CA9">
        <w:rPr>
          <w:rFonts w:ascii="Times New Roman" w:hAnsi="Times New Roman" w:cs="Times New Roman"/>
          <w:sz w:val="24"/>
          <w:szCs w:val="24"/>
          <w:lang w:val="es-ES"/>
        </w:rPr>
        <w:t>,</w:t>
      </w:r>
      <w:r w:rsidR="00EC49A8" w:rsidRPr="00B22CA9">
        <w:rPr>
          <w:rFonts w:ascii="Times New Roman" w:hAnsi="Times New Roman" w:cs="Times New Roman"/>
          <w:sz w:val="24"/>
          <w:szCs w:val="24"/>
          <w:lang w:val="es-ES"/>
        </w:rPr>
        <w:t xml:space="preserve"> creada </w:t>
      </w:r>
      <w:r w:rsidR="003D57DC" w:rsidRPr="00B22CA9">
        <w:rPr>
          <w:rFonts w:ascii="Times New Roman" w:hAnsi="Times New Roman" w:cs="Times New Roman"/>
          <w:sz w:val="24"/>
          <w:szCs w:val="24"/>
          <w:lang w:val="es-ES"/>
        </w:rPr>
        <w:t>por el Tratado de</w:t>
      </w:r>
      <w:r w:rsidR="00EC49A8" w:rsidRPr="00B22CA9">
        <w:rPr>
          <w:rFonts w:ascii="Times New Roman" w:hAnsi="Times New Roman" w:cs="Times New Roman"/>
          <w:sz w:val="24"/>
          <w:szCs w:val="24"/>
          <w:lang w:val="es-ES"/>
        </w:rPr>
        <w:t xml:space="preserve"> Lisboa</w:t>
      </w:r>
      <w:r w:rsidR="00325DD3" w:rsidRPr="00B22CA9">
        <w:rPr>
          <w:rFonts w:ascii="Times New Roman" w:hAnsi="Times New Roman" w:cs="Times New Roman"/>
          <w:sz w:val="24"/>
          <w:szCs w:val="24"/>
          <w:lang w:val="es-ES"/>
        </w:rPr>
        <w:t>, el</w:t>
      </w:r>
      <w:r w:rsidR="0038125A" w:rsidRPr="00B22CA9">
        <w:rPr>
          <w:rFonts w:ascii="Times New Roman" w:hAnsi="Times New Roman" w:cs="Times New Roman"/>
          <w:sz w:val="24"/>
          <w:szCs w:val="24"/>
          <w:lang w:val="es-ES"/>
        </w:rPr>
        <w:t xml:space="preserve"> recurso al</w:t>
      </w:r>
      <w:r w:rsidR="00325DD3" w:rsidRPr="00B22CA9">
        <w:rPr>
          <w:rFonts w:ascii="Times New Roman" w:hAnsi="Times New Roman" w:cs="Times New Roman"/>
          <w:sz w:val="24"/>
          <w:szCs w:val="24"/>
          <w:lang w:val="es-ES"/>
        </w:rPr>
        <w:t xml:space="preserve"> artículo 2 del TUE tendría que confrontarse con la dicción literal del 51 de la Carta, donde se especifica que los derechos no crean misión ni competencia nueva</w:t>
      </w:r>
      <w:r w:rsidR="00C744AC" w:rsidRPr="00B22CA9">
        <w:rPr>
          <w:rFonts w:ascii="Times New Roman" w:hAnsi="Times New Roman" w:cs="Times New Roman"/>
          <w:sz w:val="24"/>
          <w:szCs w:val="24"/>
          <w:lang w:val="es-ES"/>
        </w:rPr>
        <w:t xml:space="preserve">. </w:t>
      </w:r>
      <w:r w:rsidR="00911610" w:rsidRPr="00B22CA9">
        <w:rPr>
          <w:rFonts w:ascii="Times New Roman" w:hAnsi="Times New Roman" w:cs="Times New Roman"/>
          <w:sz w:val="24"/>
          <w:szCs w:val="24"/>
          <w:lang w:val="es-ES"/>
        </w:rPr>
        <w:t xml:space="preserve">   </w:t>
      </w:r>
    </w:p>
    <w:p w:rsidR="00E56692" w:rsidRPr="00B22CA9" w:rsidRDefault="007F4710" w:rsidP="007F11DF">
      <w:pPr>
        <w:spacing w:line="240" w:lineRule="auto"/>
        <w:ind w:firstLine="720"/>
        <w:jc w:val="both"/>
        <w:rPr>
          <w:rFonts w:ascii="Times New Roman" w:hAnsi="Times New Roman" w:cs="Times New Roman"/>
          <w:sz w:val="24"/>
          <w:szCs w:val="24"/>
          <w:lang w:val="es-ES"/>
        </w:rPr>
      </w:pPr>
      <w:r w:rsidRPr="00B22CA9">
        <w:rPr>
          <w:rFonts w:ascii="Times New Roman" w:hAnsi="Times New Roman" w:cs="Times New Roman"/>
          <w:sz w:val="24"/>
          <w:szCs w:val="24"/>
          <w:lang w:val="es-ES"/>
        </w:rPr>
        <w:t xml:space="preserve">Respecto al cauce procesal, las diferencias entre la cuestión prejudicial y el recurso por incumplimiento </w:t>
      </w:r>
      <w:r w:rsidR="00B24CF2" w:rsidRPr="00B22CA9">
        <w:rPr>
          <w:rFonts w:ascii="Times New Roman" w:hAnsi="Times New Roman" w:cs="Times New Roman"/>
          <w:sz w:val="24"/>
          <w:szCs w:val="24"/>
          <w:lang w:val="es-ES"/>
        </w:rPr>
        <w:t>impiden trasladar</w:t>
      </w:r>
      <w:r w:rsidR="00C0077F" w:rsidRPr="00B22CA9">
        <w:rPr>
          <w:rFonts w:ascii="Times New Roman" w:hAnsi="Times New Roman" w:cs="Times New Roman"/>
          <w:sz w:val="24"/>
          <w:szCs w:val="24"/>
          <w:lang w:val="es-ES"/>
        </w:rPr>
        <w:t xml:space="preserve"> de una a otro</w:t>
      </w:r>
      <w:r w:rsidRPr="00B22CA9">
        <w:rPr>
          <w:rFonts w:ascii="Times New Roman" w:hAnsi="Times New Roman" w:cs="Times New Roman"/>
          <w:sz w:val="24"/>
          <w:szCs w:val="24"/>
          <w:lang w:val="es-ES"/>
        </w:rPr>
        <w:t xml:space="preserve">, sin más, las pautas conforme a las cuales los derechos </w:t>
      </w:r>
      <w:r w:rsidR="006967E1" w:rsidRPr="00B22CA9">
        <w:rPr>
          <w:rFonts w:ascii="Times New Roman" w:hAnsi="Times New Roman" w:cs="Times New Roman"/>
          <w:sz w:val="24"/>
          <w:szCs w:val="24"/>
          <w:lang w:val="es-ES"/>
        </w:rPr>
        <w:t xml:space="preserve">fundamentales </w:t>
      </w:r>
      <w:r w:rsidRPr="00B22CA9">
        <w:rPr>
          <w:rFonts w:ascii="Times New Roman" w:hAnsi="Times New Roman" w:cs="Times New Roman"/>
          <w:sz w:val="24"/>
          <w:szCs w:val="24"/>
          <w:lang w:val="es-ES"/>
        </w:rPr>
        <w:t>son invocados ante el TJUE</w:t>
      </w:r>
      <w:r w:rsidR="006967E1" w:rsidRPr="00B22CA9">
        <w:rPr>
          <w:rFonts w:ascii="Times New Roman" w:hAnsi="Times New Roman" w:cs="Times New Roman"/>
          <w:sz w:val="24"/>
          <w:szCs w:val="24"/>
          <w:lang w:val="es-ES"/>
        </w:rPr>
        <w:t>,</w:t>
      </w:r>
      <w:r w:rsidRPr="00B22CA9">
        <w:rPr>
          <w:rFonts w:ascii="Times New Roman" w:hAnsi="Times New Roman" w:cs="Times New Roman"/>
          <w:sz w:val="24"/>
          <w:szCs w:val="24"/>
          <w:lang w:val="es-ES"/>
        </w:rPr>
        <w:t xml:space="preserve"> interpretados por este</w:t>
      </w:r>
      <w:r w:rsidR="006967E1" w:rsidRPr="00B22CA9">
        <w:rPr>
          <w:rFonts w:ascii="Times New Roman" w:hAnsi="Times New Roman" w:cs="Times New Roman"/>
          <w:sz w:val="24"/>
          <w:szCs w:val="24"/>
          <w:lang w:val="es-ES"/>
        </w:rPr>
        <w:t xml:space="preserve"> y, en suma, garantizados</w:t>
      </w:r>
      <w:r w:rsidRPr="00B22CA9">
        <w:rPr>
          <w:rFonts w:ascii="Times New Roman" w:hAnsi="Times New Roman" w:cs="Times New Roman"/>
          <w:sz w:val="24"/>
          <w:szCs w:val="24"/>
          <w:lang w:val="es-ES"/>
        </w:rPr>
        <w:t xml:space="preserve">. </w:t>
      </w:r>
      <w:r w:rsidR="00AA351F" w:rsidRPr="00B22CA9">
        <w:rPr>
          <w:rFonts w:ascii="Times New Roman" w:hAnsi="Times New Roman" w:cs="Times New Roman"/>
          <w:sz w:val="24"/>
          <w:szCs w:val="24"/>
          <w:lang w:val="es-ES"/>
        </w:rPr>
        <w:t xml:space="preserve">Por un lado, las concepciones </w:t>
      </w:r>
      <w:r w:rsidR="00113E4F" w:rsidRPr="00B22CA9">
        <w:rPr>
          <w:rFonts w:ascii="Times New Roman" w:hAnsi="Times New Roman" w:cs="Times New Roman"/>
          <w:sz w:val="24"/>
          <w:szCs w:val="24"/>
          <w:lang w:val="es-ES"/>
        </w:rPr>
        <w:t xml:space="preserve">extensivas de la aplicabilidad de los derechos de la Carta </w:t>
      </w:r>
      <w:r w:rsidR="00AA351F" w:rsidRPr="00B22CA9">
        <w:rPr>
          <w:rFonts w:ascii="Times New Roman" w:hAnsi="Times New Roman" w:cs="Times New Roman"/>
          <w:sz w:val="24"/>
          <w:szCs w:val="24"/>
          <w:lang w:val="es-ES"/>
        </w:rPr>
        <w:t>nacen</w:t>
      </w:r>
      <w:r w:rsidR="00113E4F" w:rsidRPr="00B22CA9">
        <w:rPr>
          <w:rFonts w:ascii="Times New Roman" w:hAnsi="Times New Roman" w:cs="Times New Roman"/>
          <w:sz w:val="24"/>
          <w:szCs w:val="24"/>
          <w:lang w:val="es-ES"/>
        </w:rPr>
        <w:t xml:space="preserve"> aparejadas a contextos </w:t>
      </w:r>
      <w:r w:rsidR="00AA351F" w:rsidRPr="00B22CA9">
        <w:rPr>
          <w:rFonts w:ascii="Times New Roman" w:hAnsi="Times New Roman" w:cs="Times New Roman"/>
          <w:sz w:val="24"/>
          <w:szCs w:val="24"/>
          <w:lang w:val="es-ES"/>
        </w:rPr>
        <w:t>prejudiciales</w:t>
      </w:r>
      <w:r w:rsidR="00CA7E1B" w:rsidRPr="00B22CA9">
        <w:rPr>
          <w:rFonts w:ascii="Times New Roman" w:hAnsi="Times New Roman" w:cs="Times New Roman"/>
          <w:sz w:val="24"/>
          <w:szCs w:val="24"/>
          <w:lang w:val="es-ES"/>
        </w:rPr>
        <w:t xml:space="preserve"> en l</w:t>
      </w:r>
      <w:r w:rsidR="00113E4F" w:rsidRPr="00B22CA9">
        <w:rPr>
          <w:rFonts w:ascii="Times New Roman" w:hAnsi="Times New Roman" w:cs="Times New Roman"/>
          <w:sz w:val="24"/>
          <w:szCs w:val="24"/>
          <w:lang w:val="es-ES"/>
        </w:rPr>
        <w:t>o</w:t>
      </w:r>
      <w:r w:rsidR="00CA7E1B" w:rsidRPr="00B22CA9">
        <w:rPr>
          <w:rFonts w:ascii="Times New Roman" w:hAnsi="Times New Roman" w:cs="Times New Roman"/>
          <w:sz w:val="24"/>
          <w:szCs w:val="24"/>
          <w:lang w:val="es-ES"/>
        </w:rPr>
        <w:t>s que</w:t>
      </w:r>
      <w:r w:rsidR="00BE5570" w:rsidRPr="00B22CA9">
        <w:rPr>
          <w:rFonts w:ascii="Times New Roman" w:hAnsi="Times New Roman" w:cs="Times New Roman"/>
          <w:sz w:val="24"/>
          <w:szCs w:val="24"/>
          <w:lang w:val="es-ES"/>
        </w:rPr>
        <w:t xml:space="preserve"> los derechos fundamentales de la Unión </w:t>
      </w:r>
      <w:r w:rsidR="00113E4F" w:rsidRPr="00B22CA9">
        <w:rPr>
          <w:rFonts w:ascii="Times New Roman" w:hAnsi="Times New Roman" w:cs="Times New Roman"/>
          <w:sz w:val="24"/>
          <w:szCs w:val="24"/>
          <w:lang w:val="es-ES"/>
        </w:rPr>
        <w:t>se impregnan de</w:t>
      </w:r>
      <w:r w:rsidR="00D51A09" w:rsidRPr="00B22CA9">
        <w:rPr>
          <w:rFonts w:ascii="Times New Roman" w:hAnsi="Times New Roman" w:cs="Times New Roman"/>
          <w:sz w:val="24"/>
          <w:szCs w:val="24"/>
          <w:lang w:val="es-ES"/>
        </w:rPr>
        <w:t xml:space="preserve"> los </w:t>
      </w:r>
      <w:r w:rsidR="00113E4F" w:rsidRPr="00B22CA9">
        <w:rPr>
          <w:rFonts w:ascii="Times New Roman" w:hAnsi="Times New Roman" w:cs="Times New Roman"/>
          <w:sz w:val="24"/>
          <w:szCs w:val="24"/>
          <w:lang w:val="es-ES"/>
        </w:rPr>
        <w:t>contenidos</w:t>
      </w:r>
      <w:r w:rsidR="00D51A09" w:rsidRPr="00B22CA9">
        <w:rPr>
          <w:rFonts w:ascii="Times New Roman" w:hAnsi="Times New Roman" w:cs="Times New Roman"/>
          <w:sz w:val="24"/>
          <w:szCs w:val="24"/>
          <w:lang w:val="es-ES"/>
        </w:rPr>
        <w:t xml:space="preserve"> normativos de </w:t>
      </w:r>
      <w:r w:rsidR="00BE5570" w:rsidRPr="00B22CA9">
        <w:rPr>
          <w:rFonts w:ascii="Times New Roman" w:hAnsi="Times New Roman" w:cs="Times New Roman"/>
          <w:sz w:val="24"/>
          <w:szCs w:val="24"/>
          <w:lang w:val="es-ES"/>
        </w:rPr>
        <w:t>la primacía y el efecto directo</w:t>
      </w:r>
      <w:r w:rsidR="00113E4F" w:rsidRPr="00B22CA9">
        <w:rPr>
          <w:rFonts w:ascii="Times New Roman" w:hAnsi="Times New Roman" w:cs="Times New Roman"/>
          <w:sz w:val="24"/>
          <w:szCs w:val="24"/>
          <w:lang w:val="es-ES"/>
        </w:rPr>
        <w:t>, que son los principios que permiten invocarlos y los hacen</w:t>
      </w:r>
      <w:r w:rsidR="00CA7E1B" w:rsidRPr="00B22CA9">
        <w:rPr>
          <w:rFonts w:ascii="Times New Roman" w:hAnsi="Times New Roman" w:cs="Times New Roman"/>
          <w:sz w:val="24"/>
          <w:szCs w:val="24"/>
          <w:lang w:val="es-ES"/>
        </w:rPr>
        <w:t xml:space="preserve"> prevalece</w:t>
      </w:r>
      <w:r w:rsidR="00113E4F" w:rsidRPr="00B22CA9">
        <w:rPr>
          <w:rFonts w:ascii="Times New Roman" w:hAnsi="Times New Roman" w:cs="Times New Roman"/>
          <w:sz w:val="24"/>
          <w:szCs w:val="24"/>
          <w:lang w:val="es-ES"/>
        </w:rPr>
        <w:t>r</w:t>
      </w:r>
      <w:r w:rsidR="00AA351F" w:rsidRPr="00B22CA9">
        <w:rPr>
          <w:rFonts w:ascii="Times New Roman" w:hAnsi="Times New Roman" w:cs="Times New Roman"/>
          <w:sz w:val="24"/>
          <w:szCs w:val="24"/>
          <w:lang w:val="es-ES"/>
        </w:rPr>
        <w:t xml:space="preserve"> </w:t>
      </w:r>
      <w:r w:rsidR="00BE5570" w:rsidRPr="00B22CA9">
        <w:rPr>
          <w:rFonts w:ascii="Times New Roman" w:hAnsi="Times New Roman" w:cs="Times New Roman"/>
          <w:sz w:val="24"/>
          <w:szCs w:val="24"/>
          <w:lang w:val="es-ES"/>
        </w:rPr>
        <w:t xml:space="preserve">frente a actuaciones de los Estados miembros. </w:t>
      </w:r>
      <w:r w:rsidR="00CA7E1B" w:rsidRPr="00B22CA9">
        <w:rPr>
          <w:rFonts w:ascii="Times New Roman" w:hAnsi="Times New Roman" w:cs="Times New Roman"/>
          <w:sz w:val="24"/>
          <w:szCs w:val="24"/>
          <w:lang w:val="es-ES"/>
        </w:rPr>
        <w:t>P</w:t>
      </w:r>
      <w:r w:rsidR="00D51A09" w:rsidRPr="00B22CA9">
        <w:rPr>
          <w:rFonts w:ascii="Times New Roman" w:hAnsi="Times New Roman" w:cs="Times New Roman"/>
          <w:sz w:val="24"/>
          <w:szCs w:val="24"/>
          <w:lang w:val="es-ES"/>
        </w:rPr>
        <w:t>rimacía y efecto directo nacen</w:t>
      </w:r>
      <w:r w:rsidR="00AA351F" w:rsidRPr="00B22CA9">
        <w:rPr>
          <w:rFonts w:ascii="Times New Roman" w:hAnsi="Times New Roman" w:cs="Times New Roman"/>
          <w:sz w:val="24"/>
          <w:szCs w:val="24"/>
          <w:lang w:val="es-ES"/>
        </w:rPr>
        <w:t xml:space="preserve"> también</w:t>
      </w:r>
      <w:r w:rsidR="00D51A09" w:rsidRPr="00B22CA9">
        <w:rPr>
          <w:rFonts w:ascii="Times New Roman" w:hAnsi="Times New Roman" w:cs="Times New Roman"/>
          <w:sz w:val="24"/>
          <w:szCs w:val="24"/>
          <w:lang w:val="es-ES"/>
        </w:rPr>
        <w:t xml:space="preserve"> en el curso de cuestiones prejudiciales</w:t>
      </w:r>
      <w:r w:rsidR="00CA7E1B" w:rsidRPr="00B22CA9">
        <w:rPr>
          <w:rFonts w:ascii="Times New Roman" w:hAnsi="Times New Roman" w:cs="Times New Roman"/>
          <w:sz w:val="24"/>
          <w:szCs w:val="24"/>
          <w:lang w:val="es-ES"/>
        </w:rPr>
        <w:t>, cuando dada</w:t>
      </w:r>
      <w:r w:rsidR="00D51A09" w:rsidRPr="00B22CA9">
        <w:rPr>
          <w:rFonts w:ascii="Times New Roman" w:hAnsi="Times New Roman" w:cs="Times New Roman"/>
          <w:sz w:val="24"/>
          <w:szCs w:val="24"/>
          <w:lang w:val="es-ES"/>
        </w:rPr>
        <w:t xml:space="preserve"> una controversia de hecho</w:t>
      </w:r>
      <w:r w:rsidR="00CA7E1B" w:rsidRPr="00B22CA9">
        <w:rPr>
          <w:rFonts w:ascii="Times New Roman" w:hAnsi="Times New Roman" w:cs="Times New Roman"/>
          <w:sz w:val="24"/>
          <w:szCs w:val="24"/>
          <w:lang w:val="es-ES"/>
        </w:rPr>
        <w:t xml:space="preserve"> se</w:t>
      </w:r>
      <w:r w:rsidR="00AA351F" w:rsidRPr="00B22CA9">
        <w:rPr>
          <w:rFonts w:ascii="Times New Roman" w:hAnsi="Times New Roman" w:cs="Times New Roman"/>
          <w:sz w:val="24"/>
          <w:szCs w:val="24"/>
          <w:lang w:val="es-ES"/>
        </w:rPr>
        <w:t xml:space="preserve"> desencadena </w:t>
      </w:r>
      <w:r w:rsidR="00D51A09" w:rsidRPr="00B22CA9">
        <w:rPr>
          <w:rFonts w:ascii="Times New Roman" w:hAnsi="Times New Roman" w:cs="Times New Roman"/>
          <w:sz w:val="24"/>
          <w:szCs w:val="24"/>
          <w:lang w:val="es-ES"/>
        </w:rPr>
        <w:t>un conflicto jurídico</w:t>
      </w:r>
      <w:r w:rsidR="00AA351F" w:rsidRPr="00B22CA9">
        <w:rPr>
          <w:rFonts w:ascii="Times New Roman" w:hAnsi="Times New Roman" w:cs="Times New Roman"/>
          <w:sz w:val="24"/>
          <w:szCs w:val="24"/>
          <w:lang w:val="es-ES"/>
        </w:rPr>
        <w:t>,</w:t>
      </w:r>
      <w:r w:rsidR="00D51A09" w:rsidRPr="00B22CA9">
        <w:rPr>
          <w:rFonts w:ascii="Times New Roman" w:hAnsi="Times New Roman" w:cs="Times New Roman"/>
          <w:sz w:val="24"/>
          <w:szCs w:val="24"/>
          <w:lang w:val="es-ES"/>
        </w:rPr>
        <w:t xml:space="preserve"> de validez o interpretación</w:t>
      </w:r>
      <w:r w:rsidR="00AA351F" w:rsidRPr="00B22CA9">
        <w:rPr>
          <w:rFonts w:ascii="Times New Roman" w:hAnsi="Times New Roman" w:cs="Times New Roman"/>
          <w:sz w:val="24"/>
          <w:szCs w:val="24"/>
          <w:lang w:val="es-ES"/>
        </w:rPr>
        <w:t xml:space="preserve">, en </w:t>
      </w:r>
      <w:r w:rsidR="00CA7E1B" w:rsidRPr="00B22CA9">
        <w:rPr>
          <w:rFonts w:ascii="Times New Roman" w:hAnsi="Times New Roman" w:cs="Times New Roman"/>
          <w:sz w:val="24"/>
          <w:szCs w:val="24"/>
          <w:lang w:val="es-ES"/>
        </w:rPr>
        <w:t>el</w:t>
      </w:r>
      <w:r w:rsidR="00AA351F" w:rsidRPr="00B22CA9">
        <w:rPr>
          <w:rFonts w:ascii="Times New Roman" w:hAnsi="Times New Roman" w:cs="Times New Roman"/>
          <w:sz w:val="24"/>
          <w:szCs w:val="24"/>
          <w:lang w:val="es-ES"/>
        </w:rPr>
        <w:t xml:space="preserve"> que están implicadas pretensiones particulares y de particulares</w:t>
      </w:r>
      <w:r w:rsidR="00D51A09" w:rsidRPr="00B22CA9">
        <w:rPr>
          <w:rFonts w:ascii="Times New Roman" w:hAnsi="Times New Roman" w:cs="Times New Roman"/>
          <w:sz w:val="24"/>
          <w:szCs w:val="24"/>
          <w:lang w:val="es-ES"/>
        </w:rPr>
        <w:t>. L</w:t>
      </w:r>
      <w:r w:rsidR="00AA351F" w:rsidRPr="00B22CA9">
        <w:rPr>
          <w:rFonts w:ascii="Times New Roman" w:hAnsi="Times New Roman" w:cs="Times New Roman"/>
          <w:sz w:val="24"/>
          <w:szCs w:val="24"/>
          <w:lang w:val="es-ES"/>
        </w:rPr>
        <w:t xml:space="preserve">os beneficios de </w:t>
      </w:r>
      <w:r w:rsidR="00BE5570" w:rsidRPr="00B22CA9">
        <w:rPr>
          <w:rFonts w:ascii="Times New Roman" w:hAnsi="Times New Roman" w:cs="Times New Roman"/>
          <w:sz w:val="24"/>
          <w:szCs w:val="24"/>
          <w:lang w:val="es-ES"/>
        </w:rPr>
        <w:t>primacía</w:t>
      </w:r>
      <w:r w:rsidR="00AA351F" w:rsidRPr="00B22CA9">
        <w:rPr>
          <w:rFonts w:ascii="Times New Roman" w:hAnsi="Times New Roman" w:cs="Times New Roman"/>
          <w:sz w:val="24"/>
          <w:szCs w:val="24"/>
          <w:lang w:val="es-ES"/>
        </w:rPr>
        <w:t xml:space="preserve"> y </w:t>
      </w:r>
      <w:r w:rsidR="00BE5570" w:rsidRPr="00B22CA9">
        <w:rPr>
          <w:rFonts w:ascii="Times New Roman" w:hAnsi="Times New Roman" w:cs="Times New Roman"/>
          <w:sz w:val="24"/>
          <w:szCs w:val="24"/>
          <w:lang w:val="es-ES"/>
        </w:rPr>
        <w:t>efecto directo</w:t>
      </w:r>
      <w:r w:rsidR="00AA351F" w:rsidRPr="00B22CA9">
        <w:rPr>
          <w:rFonts w:ascii="Times New Roman" w:hAnsi="Times New Roman" w:cs="Times New Roman"/>
          <w:sz w:val="24"/>
          <w:szCs w:val="24"/>
          <w:lang w:val="es-ES"/>
        </w:rPr>
        <w:t xml:space="preserve">, en su relación con los derechos fundamentales, </w:t>
      </w:r>
      <w:r w:rsidR="00D51A09" w:rsidRPr="00B22CA9">
        <w:rPr>
          <w:rFonts w:ascii="Times New Roman" w:hAnsi="Times New Roman" w:cs="Times New Roman"/>
          <w:sz w:val="24"/>
          <w:szCs w:val="24"/>
          <w:lang w:val="es-ES"/>
        </w:rPr>
        <w:t>corresponde</w:t>
      </w:r>
      <w:r w:rsidR="00AA351F" w:rsidRPr="00B22CA9">
        <w:rPr>
          <w:rFonts w:ascii="Times New Roman" w:hAnsi="Times New Roman" w:cs="Times New Roman"/>
          <w:sz w:val="24"/>
          <w:szCs w:val="24"/>
          <w:lang w:val="es-ES"/>
        </w:rPr>
        <w:t>n</w:t>
      </w:r>
      <w:r w:rsidR="00D51A09" w:rsidRPr="00B22CA9">
        <w:rPr>
          <w:rFonts w:ascii="Times New Roman" w:hAnsi="Times New Roman" w:cs="Times New Roman"/>
          <w:sz w:val="24"/>
          <w:szCs w:val="24"/>
          <w:lang w:val="es-ES"/>
        </w:rPr>
        <w:t xml:space="preserve"> a un actor procesal que </w:t>
      </w:r>
      <w:r w:rsidR="00AA351F" w:rsidRPr="00B22CA9">
        <w:rPr>
          <w:rFonts w:ascii="Times New Roman" w:hAnsi="Times New Roman" w:cs="Times New Roman"/>
          <w:sz w:val="24"/>
          <w:szCs w:val="24"/>
          <w:lang w:val="es-ES"/>
        </w:rPr>
        <w:t>singularmente</w:t>
      </w:r>
      <w:r w:rsidR="00D51A09" w:rsidRPr="00B22CA9">
        <w:rPr>
          <w:rFonts w:ascii="Times New Roman" w:hAnsi="Times New Roman" w:cs="Times New Roman"/>
          <w:sz w:val="24"/>
          <w:szCs w:val="24"/>
          <w:lang w:val="es-ES"/>
        </w:rPr>
        <w:t xml:space="preserve"> reivindica </w:t>
      </w:r>
      <w:r w:rsidR="00AA351F" w:rsidRPr="00B22CA9">
        <w:rPr>
          <w:rFonts w:ascii="Times New Roman" w:hAnsi="Times New Roman" w:cs="Times New Roman"/>
          <w:sz w:val="24"/>
          <w:szCs w:val="24"/>
          <w:lang w:val="es-ES"/>
        </w:rPr>
        <w:t xml:space="preserve">el reconocimiento de una posición jurídica que le reconoce el </w:t>
      </w:r>
      <w:r w:rsidR="00FD7E4B" w:rsidRPr="00B22CA9">
        <w:rPr>
          <w:rFonts w:ascii="Times New Roman" w:hAnsi="Times New Roman" w:cs="Times New Roman"/>
          <w:sz w:val="24"/>
          <w:szCs w:val="24"/>
          <w:lang w:val="es-ES"/>
        </w:rPr>
        <w:t>d</w:t>
      </w:r>
      <w:r w:rsidR="00AA351F" w:rsidRPr="00B22CA9">
        <w:rPr>
          <w:rFonts w:ascii="Times New Roman" w:hAnsi="Times New Roman" w:cs="Times New Roman"/>
          <w:sz w:val="24"/>
          <w:szCs w:val="24"/>
          <w:lang w:val="es-ES"/>
        </w:rPr>
        <w:t>erecho de la Unión</w:t>
      </w:r>
      <w:r w:rsidR="00113E4F" w:rsidRPr="00B22CA9">
        <w:rPr>
          <w:rFonts w:ascii="Times New Roman" w:hAnsi="Times New Roman" w:cs="Times New Roman"/>
          <w:sz w:val="24"/>
          <w:szCs w:val="24"/>
          <w:lang w:val="es-ES"/>
        </w:rPr>
        <w:t xml:space="preserve"> y, sobre esa base,</w:t>
      </w:r>
      <w:r w:rsidR="009F4361" w:rsidRPr="00B22CA9">
        <w:rPr>
          <w:rFonts w:ascii="Times New Roman" w:hAnsi="Times New Roman" w:cs="Times New Roman"/>
          <w:sz w:val="24"/>
          <w:szCs w:val="24"/>
          <w:lang w:val="es-ES"/>
        </w:rPr>
        <w:t xml:space="preserve"> </w:t>
      </w:r>
      <w:r w:rsidR="00AA351F" w:rsidRPr="00B22CA9">
        <w:rPr>
          <w:rFonts w:ascii="Times New Roman" w:hAnsi="Times New Roman" w:cs="Times New Roman"/>
          <w:sz w:val="24"/>
          <w:szCs w:val="24"/>
          <w:lang w:val="es-ES"/>
        </w:rPr>
        <w:t xml:space="preserve">pide </w:t>
      </w:r>
      <w:r w:rsidR="00D51A09" w:rsidRPr="00B22CA9">
        <w:rPr>
          <w:rFonts w:ascii="Times New Roman" w:hAnsi="Times New Roman" w:cs="Times New Roman"/>
          <w:sz w:val="24"/>
          <w:szCs w:val="24"/>
          <w:lang w:val="es-ES"/>
        </w:rPr>
        <w:t xml:space="preserve">la protección de un derecho o interés </w:t>
      </w:r>
      <w:r w:rsidR="00113E4F" w:rsidRPr="00B22CA9">
        <w:rPr>
          <w:rFonts w:ascii="Times New Roman" w:hAnsi="Times New Roman" w:cs="Times New Roman"/>
          <w:sz w:val="24"/>
          <w:szCs w:val="24"/>
          <w:lang w:val="es-ES"/>
        </w:rPr>
        <w:t>a través del</w:t>
      </w:r>
      <w:r w:rsidR="00752696" w:rsidRPr="00B22CA9">
        <w:rPr>
          <w:rFonts w:ascii="Times New Roman" w:hAnsi="Times New Roman" w:cs="Times New Roman"/>
          <w:sz w:val="24"/>
          <w:szCs w:val="24"/>
          <w:lang w:val="es-ES"/>
        </w:rPr>
        <w:t xml:space="preserve"> principio de</w:t>
      </w:r>
      <w:r w:rsidR="00E56692" w:rsidRPr="00B22CA9">
        <w:rPr>
          <w:rFonts w:ascii="Times New Roman" w:hAnsi="Times New Roman" w:cs="Times New Roman"/>
          <w:sz w:val="24"/>
          <w:szCs w:val="24"/>
          <w:lang w:val="es-ES"/>
        </w:rPr>
        <w:t xml:space="preserve"> aplicación preferente</w:t>
      </w:r>
      <w:r w:rsidR="009F4361" w:rsidRPr="00B22CA9">
        <w:rPr>
          <w:rFonts w:ascii="Times New Roman" w:hAnsi="Times New Roman" w:cs="Times New Roman"/>
          <w:sz w:val="24"/>
          <w:szCs w:val="24"/>
          <w:lang w:val="es-ES"/>
        </w:rPr>
        <w:t xml:space="preserve">. </w:t>
      </w:r>
      <w:r w:rsidR="00113E4F" w:rsidRPr="00B22CA9">
        <w:rPr>
          <w:rFonts w:ascii="Times New Roman" w:hAnsi="Times New Roman" w:cs="Times New Roman"/>
          <w:sz w:val="24"/>
          <w:szCs w:val="24"/>
          <w:lang w:val="es-ES"/>
        </w:rPr>
        <w:t>Es</w:t>
      </w:r>
      <w:r w:rsidR="009F4361" w:rsidRPr="00B22CA9">
        <w:rPr>
          <w:rFonts w:ascii="Times New Roman" w:hAnsi="Times New Roman" w:cs="Times New Roman"/>
          <w:sz w:val="24"/>
          <w:szCs w:val="24"/>
          <w:lang w:val="es-ES"/>
        </w:rPr>
        <w:t xml:space="preserve">a protección </w:t>
      </w:r>
      <w:r w:rsidR="00113E4F" w:rsidRPr="00B22CA9">
        <w:rPr>
          <w:rFonts w:ascii="Times New Roman" w:hAnsi="Times New Roman" w:cs="Times New Roman"/>
          <w:sz w:val="24"/>
          <w:szCs w:val="24"/>
          <w:lang w:val="es-ES"/>
        </w:rPr>
        <w:t>se realiza</w:t>
      </w:r>
      <w:r w:rsidR="00AA351F" w:rsidRPr="00B22CA9">
        <w:rPr>
          <w:rFonts w:ascii="Times New Roman" w:hAnsi="Times New Roman" w:cs="Times New Roman"/>
          <w:sz w:val="24"/>
          <w:szCs w:val="24"/>
          <w:lang w:val="es-ES"/>
        </w:rPr>
        <w:t xml:space="preserve"> bien a través de la </w:t>
      </w:r>
      <w:r w:rsidR="00752696" w:rsidRPr="00B22CA9">
        <w:rPr>
          <w:rFonts w:ascii="Times New Roman" w:hAnsi="Times New Roman" w:cs="Times New Roman"/>
          <w:sz w:val="24"/>
          <w:szCs w:val="24"/>
          <w:lang w:val="es-ES"/>
        </w:rPr>
        <w:t xml:space="preserve">aplicación directa </w:t>
      </w:r>
      <w:r w:rsidR="00FC3B0C" w:rsidRPr="00B22CA9">
        <w:rPr>
          <w:rFonts w:ascii="Times New Roman" w:hAnsi="Times New Roman" w:cs="Times New Roman"/>
          <w:sz w:val="24"/>
          <w:szCs w:val="24"/>
          <w:lang w:val="es-ES"/>
        </w:rPr>
        <w:t>de</w:t>
      </w:r>
      <w:r w:rsidR="00923DF9" w:rsidRPr="00B22CA9">
        <w:rPr>
          <w:rFonts w:ascii="Times New Roman" w:hAnsi="Times New Roman" w:cs="Times New Roman"/>
          <w:sz w:val="24"/>
          <w:szCs w:val="24"/>
          <w:lang w:val="es-ES"/>
        </w:rPr>
        <w:t xml:space="preserve"> la disposición supranacional</w:t>
      </w:r>
      <w:r w:rsidR="00113E4F" w:rsidRPr="00B22CA9">
        <w:rPr>
          <w:rFonts w:ascii="Times New Roman" w:hAnsi="Times New Roman" w:cs="Times New Roman"/>
          <w:sz w:val="24"/>
          <w:szCs w:val="24"/>
          <w:lang w:val="es-ES"/>
        </w:rPr>
        <w:t>, desplazando la acción del Estado,</w:t>
      </w:r>
      <w:r w:rsidR="00AA351F" w:rsidRPr="00B22CA9">
        <w:rPr>
          <w:rFonts w:ascii="Times New Roman" w:hAnsi="Times New Roman" w:cs="Times New Roman"/>
          <w:sz w:val="24"/>
          <w:szCs w:val="24"/>
          <w:lang w:val="es-ES"/>
        </w:rPr>
        <w:t xml:space="preserve"> </w:t>
      </w:r>
      <w:r w:rsidR="00AA351F" w:rsidRPr="00B22CA9">
        <w:rPr>
          <w:rFonts w:ascii="Times New Roman" w:hAnsi="Times New Roman" w:cs="Times New Roman"/>
          <w:sz w:val="24"/>
          <w:szCs w:val="24"/>
          <w:lang w:val="es-ES"/>
        </w:rPr>
        <w:lastRenderedPageBreak/>
        <w:t>bien a través de</w:t>
      </w:r>
      <w:r w:rsidR="00113E4F" w:rsidRPr="00B22CA9">
        <w:rPr>
          <w:rFonts w:ascii="Times New Roman" w:hAnsi="Times New Roman" w:cs="Times New Roman"/>
          <w:sz w:val="24"/>
          <w:szCs w:val="24"/>
          <w:lang w:val="es-ES"/>
        </w:rPr>
        <w:t xml:space="preserve"> un</w:t>
      </w:r>
      <w:r w:rsidR="00AA351F" w:rsidRPr="00B22CA9">
        <w:rPr>
          <w:rFonts w:ascii="Times New Roman" w:hAnsi="Times New Roman" w:cs="Times New Roman"/>
          <w:sz w:val="24"/>
          <w:szCs w:val="24"/>
          <w:lang w:val="es-ES"/>
        </w:rPr>
        <w:t xml:space="preserve"> mandato</w:t>
      </w:r>
      <w:r w:rsidR="00113E4F" w:rsidRPr="00B22CA9">
        <w:rPr>
          <w:rFonts w:ascii="Times New Roman" w:hAnsi="Times New Roman" w:cs="Times New Roman"/>
          <w:sz w:val="24"/>
          <w:szCs w:val="24"/>
          <w:lang w:val="es-ES"/>
        </w:rPr>
        <w:t xml:space="preserve"> interpretativo</w:t>
      </w:r>
      <w:r w:rsidR="00AA351F" w:rsidRPr="00B22CA9">
        <w:rPr>
          <w:rFonts w:ascii="Times New Roman" w:hAnsi="Times New Roman" w:cs="Times New Roman"/>
          <w:sz w:val="24"/>
          <w:szCs w:val="24"/>
          <w:lang w:val="es-ES"/>
        </w:rPr>
        <w:t xml:space="preserve"> de </w:t>
      </w:r>
      <w:r w:rsidR="00752696" w:rsidRPr="00B22CA9">
        <w:rPr>
          <w:rFonts w:ascii="Times New Roman" w:hAnsi="Times New Roman" w:cs="Times New Roman"/>
          <w:sz w:val="24"/>
          <w:szCs w:val="24"/>
          <w:lang w:val="es-ES"/>
        </w:rPr>
        <w:t>efectividad</w:t>
      </w:r>
      <w:r w:rsidR="00E41146" w:rsidRPr="00B22CA9">
        <w:rPr>
          <w:rStyle w:val="Refdenotaalpie"/>
          <w:rFonts w:ascii="Times New Roman" w:hAnsi="Times New Roman" w:cs="Times New Roman"/>
          <w:sz w:val="24"/>
          <w:szCs w:val="24"/>
          <w:lang w:val="es-ES"/>
        </w:rPr>
        <w:footnoteReference w:id="39"/>
      </w:r>
      <w:r w:rsidR="00E56692" w:rsidRPr="00B22CA9">
        <w:rPr>
          <w:rFonts w:ascii="Times New Roman" w:hAnsi="Times New Roman" w:cs="Times New Roman"/>
          <w:sz w:val="24"/>
          <w:szCs w:val="24"/>
          <w:lang w:val="es-ES"/>
        </w:rPr>
        <w:t xml:space="preserve">. </w:t>
      </w:r>
      <w:r w:rsidR="00113E4F" w:rsidRPr="00B22CA9">
        <w:rPr>
          <w:rFonts w:ascii="Times New Roman" w:hAnsi="Times New Roman" w:cs="Times New Roman"/>
          <w:sz w:val="24"/>
          <w:szCs w:val="24"/>
          <w:lang w:val="es-ES"/>
        </w:rPr>
        <w:t>En definitiva, l</w:t>
      </w:r>
      <w:r w:rsidR="00E56692" w:rsidRPr="00B22CA9">
        <w:rPr>
          <w:rFonts w:ascii="Times New Roman" w:hAnsi="Times New Roman" w:cs="Times New Roman"/>
          <w:sz w:val="24"/>
          <w:szCs w:val="24"/>
          <w:lang w:val="es-ES"/>
        </w:rPr>
        <w:t>o que hace aplicables de manera preferente a los derechos en la cuestión prejudicial son las condiciones del procedimiento, apoyadas en los principios de primacía y efecto directo o</w:t>
      </w:r>
      <w:r w:rsidR="00113E4F" w:rsidRPr="00B22CA9">
        <w:rPr>
          <w:rFonts w:ascii="Times New Roman" w:hAnsi="Times New Roman" w:cs="Times New Roman"/>
          <w:sz w:val="24"/>
          <w:szCs w:val="24"/>
          <w:lang w:val="es-ES"/>
        </w:rPr>
        <w:t xml:space="preserve"> de</w:t>
      </w:r>
      <w:r w:rsidR="00E56692" w:rsidRPr="00B22CA9">
        <w:rPr>
          <w:rFonts w:ascii="Times New Roman" w:hAnsi="Times New Roman" w:cs="Times New Roman"/>
          <w:sz w:val="24"/>
          <w:szCs w:val="24"/>
          <w:lang w:val="es-ES"/>
        </w:rPr>
        <w:t xml:space="preserve"> efectividad. No se trata, por tanto, o no solo, de si la norma i</w:t>
      </w:r>
      <w:r w:rsidR="00AA351F" w:rsidRPr="00B22CA9">
        <w:rPr>
          <w:rFonts w:ascii="Times New Roman" w:hAnsi="Times New Roman" w:cs="Times New Roman"/>
          <w:sz w:val="24"/>
          <w:szCs w:val="24"/>
          <w:lang w:val="es-ES"/>
        </w:rPr>
        <w:t xml:space="preserve">usfundamental tiene aplicabilidad directa, sino </w:t>
      </w:r>
      <w:r w:rsidR="00E56692" w:rsidRPr="00B22CA9">
        <w:rPr>
          <w:rFonts w:ascii="Times New Roman" w:hAnsi="Times New Roman" w:cs="Times New Roman"/>
          <w:sz w:val="24"/>
          <w:szCs w:val="24"/>
          <w:lang w:val="es-ES"/>
        </w:rPr>
        <w:t>de</w:t>
      </w:r>
      <w:r w:rsidR="00FC3B0C" w:rsidRPr="00B22CA9">
        <w:rPr>
          <w:rFonts w:ascii="Times New Roman" w:hAnsi="Times New Roman" w:cs="Times New Roman"/>
          <w:sz w:val="24"/>
          <w:szCs w:val="24"/>
          <w:lang w:val="es-ES"/>
        </w:rPr>
        <w:t>l contexto en el que e</w:t>
      </w:r>
      <w:r w:rsidR="00E56692" w:rsidRPr="00B22CA9">
        <w:rPr>
          <w:rFonts w:ascii="Times New Roman" w:hAnsi="Times New Roman" w:cs="Times New Roman"/>
          <w:sz w:val="24"/>
          <w:szCs w:val="24"/>
          <w:lang w:val="es-ES"/>
        </w:rPr>
        <w:t xml:space="preserve">s invocada.  </w:t>
      </w:r>
    </w:p>
    <w:p w:rsidR="004F62FF" w:rsidRPr="00B22CA9" w:rsidRDefault="00E56692" w:rsidP="007F11DF">
      <w:pPr>
        <w:spacing w:line="240" w:lineRule="auto"/>
        <w:ind w:firstLine="720"/>
        <w:jc w:val="both"/>
        <w:rPr>
          <w:rFonts w:ascii="Times New Roman" w:hAnsi="Times New Roman" w:cs="Times New Roman"/>
          <w:sz w:val="24"/>
          <w:szCs w:val="24"/>
          <w:lang w:val="es-ES"/>
        </w:rPr>
      </w:pPr>
      <w:r w:rsidRPr="00B22CA9">
        <w:rPr>
          <w:rFonts w:ascii="Times New Roman" w:hAnsi="Times New Roman" w:cs="Times New Roman"/>
          <w:sz w:val="24"/>
          <w:szCs w:val="24"/>
          <w:lang w:val="es-ES"/>
        </w:rPr>
        <w:t xml:space="preserve">Pues bien, </w:t>
      </w:r>
      <w:r w:rsidR="00AA351F" w:rsidRPr="00B22CA9">
        <w:rPr>
          <w:rFonts w:ascii="Times New Roman" w:hAnsi="Times New Roman" w:cs="Times New Roman"/>
          <w:sz w:val="24"/>
          <w:szCs w:val="24"/>
          <w:lang w:val="es-ES"/>
        </w:rPr>
        <w:t xml:space="preserve">la invocación de la norma iusfundamental tiene un cariz distinto cuando es la Comisión la que la efectúa. </w:t>
      </w:r>
      <w:r w:rsidRPr="00B22CA9">
        <w:rPr>
          <w:rFonts w:ascii="Times New Roman" w:hAnsi="Times New Roman" w:cs="Times New Roman"/>
          <w:sz w:val="24"/>
          <w:szCs w:val="24"/>
          <w:lang w:val="es-ES"/>
        </w:rPr>
        <w:t>La Comisión no es un particular</w:t>
      </w:r>
      <w:r w:rsidR="0038125A" w:rsidRPr="00B22CA9">
        <w:rPr>
          <w:rFonts w:ascii="Times New Roman" w:hAnsi="Times New Roman" w:cs="Times New Roman"/>
          <w:sz w:val="24"/>
          <w:szCs w:val="24"/>
          <w:lang w:val="es-ES"/>
        </w:rPr>
        <w:t>, no defiende un interés ni un derecho propio, sino el interés general de la Unión (</w:t>
      </w:r>
      <w:proofErr w:type="spellStart"/>
      <w:r w:rsidR="0038125A" w:rsidRPr="00B22CA9">
        <w:rPr>
          <w:rFonts w:ascii="Times New Roman" w:hAnsi="Times New Roman" w:cs="Times New Roman"/>
          <w:sz w:val="24"/>
          <w:szCs w:val="24"/>
          <w:lang w:val="es-ES"/>
        </w:rPr>
        <w:t>Prete</w:t>
      </w:r>
      <w:proofErr w:type="spellEnd"/>
      <w:r w:rsidR="0038125A" w:rsidRPr="00B22CA9">
        <w:rPr>
          <w:rFonts w:ascii="Times New Roman" w:hAnsi="Times New Roman" w:cs="Times New Roman"/>
          <w:sz w:val="24"/>
          <w:szCs w:val="24"/>
          <w:lang w:val="es-ES"/>
        </w:rPr>
        <w:t>, 2017: 35). Y ni siquiera es un defensor del pueblo, con la función de proteger los derechos, o un ministerio fiscal</w:t>
      </w:r>
      <w:r w:rsidRPr="00B22CA9">
        <w:rPr>
          <w:rFonts w:ascii="Times New Roman" w:hAnsi="Times New Roman" w:cs="Times New Roman"/>
          <w:sz w:val="24"/>
          <w:szCs w:val="24"/>
          <w:lang w:val="es-ES"/>
        </w:rPr>
        <w:t xml:space="preserve">. </w:t>
      </w:r>
      <w:r w:rsidR="004F62FF" w:rsidRPr="00B22CA9">
        <w:rPr>
          <w:rFonts w:ascii="Times New Roman" w:hAnsi="Times New Roman" w:cs="Times New Roman"/>
          <w:sz w:val="24"/>
          <w:szCs w:val="24"/>
          <w:lang w:val="es-ES"/>
        </w:rPr>
        <w:t xml:space="preserve">Es una </w:t>
      </w:r>
      <w:r w:rsidR="00E32202" w:rsidRPr="00B22CA9">
        <w:rPr>
          <w:rFonts w:ascii="Times New Roman" w:hAnsi="Times New Roman" w:cs="Times New Roman"/>
          <w:sz w:val="24"/>
          <w:szCs w:val="24"/>
          <w:lang w:val="es-ES"/>
        </w:rPr>
        <w:t>i</w:t>
      </w:r>
      <w:r w:rsidR="004F62FF" w:rsidRPr="00B22CA9">
        <w:rPr>
          <w:rFonts w:ascii="Times New Roman" w:hAnsi="Times New Roman" w:cs="Times New Roman"/>
          <w:sz w:val="24"/>
          <w:szCs w:val="24"/>
          <w:lang w:val="es-ES"/>
        </w:rPr>
        <w:t>nstitución de la Unión</w:t>
      </w:r>
      <w:r w:rsidR="0038125A" w:rsidRPr="00B22CA9">
        <w:rPr>
          <w:rFonts w:ascii="Times New Roman" w:hAnsi="Times New Roman" w:cs="Times New Roman"/>
          <w:sz w:val="24"/>
          <w:szCs w:val="24"/>
          <w:lang w:val="es-ES"/>
        </w:rPr>
        <w:t xml:space="preserve"> y, como tal, no es apolítica. T</w:t>
      </w:r>
      <w:r w:rsidR="004F62FF" w:rsidRPr="00B22CA9">
        <w:rPr>
          <w:rFonts w:ascii="Times New Roman" w:hAnsi="Times New Roman" w:cs="Times New Roman"/>
          <w:sz w:val="24"/>
          <w:szCs w:val="24"/>
          <w:lang w:val="es-ES"/>
        </w:rPr>
        <w:t>iene, además, una misión proactiva</w:t>
      </w:r>
      <w:r w:rsidR="0038125A" w:rsidRPr="00B22CA9">
        <w:rPr>
          <w:rFonts w:ascii="Times New Roman" w:hAnsi="Times New Roman" w:cs="Times New Roman"/>
          <w:sz w:val="24"/>
          <w:szCs w:val="24"/>
          <w:lang w:val="es-ES"/>
        </w:rPr>
        <w:t>:</w:t>
      </w:r>
      <w:r w:rsidR="004F62FF" w:rsidRPr="00B22CA9">
        <w:rPr>
          <w:rFonts w:ascii="Times New Roman" w:hAnsi="Times New Roman" w:cs="Times New Roman"/>
          <w:sz w:val="24"/>
          <w:szCs w:val="24"/>
          <w:lang w:val="es-ES"/>
        </w:rPr>
        <w:t xml:space="preserve"> profundizar en la integración. </w:t>
      </w:r>
      <w:r w:rsidRPr="00B22CA9">
        <w:rPr>
          <w:rFonts w:ascii="Times New Roman" w:hAnsi="Times New Roman" w:cs="Times New Roman"/>
          <w:sz w:val="24"/>
          <w:szCs w:val="24"/>
          <w:lang w:val="es-ES"/>
        </w:rPr>
        <w:t xml:space="preserve">La </w:t>
      </w:r>
      <w:r w:rsidR="00AA351F" w:rsidRPr="00B22CA9">
        <w:rPr>
          <w:rFonts w:ascii="Times New Roman" w:hAnsi="Times New Roman" w:cs="Times New Roman"/>
          <w:sz w:val="24"/>
          <w:szCs w:val="24"/>
          <w:lang w:val="es-ES"/>
        </w:rPr>
        <w:t>posición que se reivindica</w:t>
      </w:r>
      <w:r w:rsidR="004F62FF" w:rsidRPr="00B22CA9">
        <w:rPr>
          <w:rFonts w:ascii="Times New Roman" w:hAnsi="Times New Roman" w:cs="Times New Roman"/>
          <w:sz w:val="24"/>
          <w:szCs w:val="24"/>
          <w:lang w:val="es-ES"/>
        </w:rPr>
        <w:t xml:space="preserve"> en el incumplimiento</w:t>
      </w:r>
      <w:r w:rsidR="00820CE8" w:rsidRPr="00B22CA9">
        <w:rPr>
          <w:rFonts w:ascii="Times New Roman" w:hAnsi="Times New Roman" w:cs="Times New Roman"/>
          <w:sz w:val="24"/>
          <w:szCs w:val="24"/>
          <w:lang w:val="es-ES"/>
        </w:rPr>
        <w:t>, por tanto,</w:t>
      </w:r>
      <w:r w:rsidR="00AA351F" w:rsidRPr="00B22CA9">
        <w:rPr>
          <w:rFonts w:ascii="Times New Roman" w:hAnsi="Times New Roman" w:cs="Times New Roman"/>
          <w:sz w:val="24"/>
          <w:szCs w:val="24"/>
          <w:lang w:val="es-ES"/>
        </w:rPr>
        <w:t xml:space="preserve"> no es la de un </w:t>
      </w:r>
      <w:r w:rsidR="00113E4F" w:rsidRPr="00B22CA9">
        <w:rPr>
          <w:rFonts w:ascii="Times New Roman" w:hAnsi="Times New Roman" w:cs="Times New Roman"/>
          <w:sz w:val="24"/>
          <w:szCs w:val="24"/>
          <w:lang w:val="es-ES"/>
        </w:rPr>
        <w:t>individuo</w:t>
      </w:r>
      <w:r w:rsidR="00AA351F" w:rsidRPr="00B22CA9">
        <w:rPr>
          <w:rFonts w:ascii="Times New Roman" w:hAnsi="Times New Roman" w:cs="Times New Roman"/>
          <w:sz w:val="24"/>
          <w:szCs w:val="24"/>
          <w:lang w:val="es-ES"/>
        </w:rPr>
        <w:t xml:space="preserve"> frente al Estado infractor</w:t>
      </w:r>
      <w:r w:rsidR="009E6246" w:rsidRPr="00B22CA9">
        <w:rPr>
          <w:rFonts w:ascii="Times New Roman" w:hAnsi="Times New Roman" w:cs="Times New Roman"/>
          <w:sz w:val="24"/>
          <w:szCs w:val="24"/>
          <w:lang w:val="es-ES"/>
        </w:rPr>
        <w:t xml:space="preserve">, </w:t>
      </w:r>
      <w:r w:rsidR="00113E4F" w:rsidRPr="00B22CA9">
        <w:rPr>
          <w:rFonts w:ascii="Times New Roman" w:hAnsi="Times New Roman" w:cs="Times New Roman"/>
          <w:sz w:val="24"/>
          <w:szCs w:val="24"/>
          <w:lang w:val="es-ES"/>
        </w:rPr>
        <w:t xml:space="preserve">pues </w:t>
      </w:r>
      <w:r w:rsidR="009E6246" w:rsidRPr="00B22CA9">
        <w:rPr>
          <w:rFonts w:ascii="Times New Roman" w:hAnsi="Times New Roman" w:cs="Times New Roman"/>
          <w:sz w:val="24"/>
          <w:szCs w:val="24"/>
          <w:lang w:val="es-ES"/>
        </w:rPr>
        <w:t>es un recurso de naturaleza objetiva (</w:t>
      </w:r>
      <w:proofErr w:type="spellStart"/>
      <w:r w:rsidR="009E6246" w:rsidRPr="00B22CA9">
        <w:rPr>
          <w:rFonts w:ascii="Times New Roman" w:hAnsi="Times New Roman" w:cs="Times New Roman"/>
          <w:sz w:val="24"/>
          <w:szCs w:val="24"/>
          <w:lang w:val="es-ES"/>
        </w:rPr>
        <w:t>Prete</w:t>
      </w:r>
      <w:proofErr w:type="spellEnd"/>
      <w:r w:rsidR="009E6246" w:rsidRPr="00B22CA9">
        <w:rPr>
          <w:rFonts w:ascii="Times New Roman" w:hAnsi="Times New Roman" w:cs="Times New Roman"/>
          <w:sz w:val="24"/>
          <w:szCs w:val="24"/>
          <w:lang w:val="es-ES"/>
        </w:rPr>
        <w:t>, 2017: 34-41)</w:t>
      </w:r>
      <w:r w:rsidR="00820CE8" w:rsidRPr="00B22CA9">
        <w:rPr>
          <w:rFonts w:ascii="Times New Roman" w:hAnsi="Times New Roman" w:cs="Times New Roman"/>
          <w:sz w:val="24"/>
          <w:szCs w:val="24"/>
          <w:lang w:val="es-ES"/>
        </w:rPr>
        <w:t xml:space="preserve">. </w:t>
      </w:r>
      <w:r w:rsidR="00113E4F" w:rsidRPr="00B22CA9">
        <w:rPr>
          <w:rFonts w:ascii="Times New Roman" w:hAnsi="Times New Roman" w:cs="Times New Roman"/>
          <w:sz w:val="24"/>
          <w:szCs w:val="24"/>
          <w:lang w:val="es-ES"/>
        </w:rPr>
        <w:t>Por tanto, e</w:t>
      </w:r>
      <w:r w:rsidR="0038125A" w:rsidRPr="00B22CA9">
        <w:rPr>
          <w:rFonts w:ascii="Times New Roman" w:hAnsi="Times New Roman" w:cs="Times New Roman"/>
          <w:sz w:val="24"/>
          <w:szCs w:val="24"/>
          <w:lang w:val="es-ES"/>
        </w:rPr>
        <w:t>sa</w:t>
      </w:r>
      <w:r w:rsidR="00820CE8" w:rsidRPr="00B22CA9">
        <w:rPr>
          <w:rFonts w:ascii="Times New Roman" w:hAnsi="Times New Roman" w:cs="Times New Roman"/>
          <w:sz w:val="24"/>
          <w:szCs w:val="24"/>
          <w:lang w:val="es-ES"/>
        </w:rPr>
        <w:t xml:space="preserve"> reivindicación</w:t>
      </w:r>
      <w:r w:rsidR="0038125A" w:rsidRPr="00B22CA9">
        <w:rPr>
          <w:rFonts w:ascii="Times New Roman" w:hAnsi="Times New Roman" w:cs="Times New Roman"/>
          <w:sz w:val="24"/>
          <w:szCs w:val="24"/>
          <w:lang w:val="es-ES"/>
        </w:rPr>
        <w:t xml:space="preserve"> de la Comisión </w:t>
      </w:r>
      <w:r w:rsidR="00535755" w:rsidRPr="00B22CA9">
        <w:rPr>
          <w:rFonts w:ascii="Times New Roman" w:hAnsi="Times New Roman" w:cs="Times New Roman"/>
          <w:sz w:val="24"/>
          <w:szCs w:val="24"/>
          <w:lang w:val="es-ES"/>
        </w:rPr>
        <w:t>no está mediatizada</w:t>
      </w:r>
      <w:r w:rsidR="00113E4F" w:rsidRPr="00B22CA9">
        <w:rPr>
          <w:rFonts w:ascii="Times New Roman" w:hAnsi="Times New Roman" w:cs="Times New Roman"/>
          <w:sz w:val="24"/>
          <w:szCs w:val="24"/>
          <w:lang w:val="es-ES"/>
        </w:rPr>
        <w:t>, no</w:t>
      </w:r>
      <w:r w:rsidR="00535755" w:rsidRPr="00B22CA9">
        <w:rPr>
          <w:rFonts w:ascii="Times New Roman" w:hAnsi="Times New Roman" w:cs="Times New Roman"/>
          <w:sz w:val="24"/>
          <w:szCs w:val="24"/>
          <w:lang w:val="es-ES"/>
        </w:rPr>
        <w:t xml:space="preserve"> </w:t>
      </w:r>
      <w:r w:rsidR="002D1851" w:rsidRPr="00B22CA9">
        <w:rPr>
          <w:rFonts w:ascii="Times New Roman" w:hAnsi="Times New Roman" w:cs="Times New Roman"/>
          <w:sz w:val="24"/>
          <w:szCs w:val="24"/>
          <w:lang w:val="es-ES"/>
        </w:rPr>
        <w:t>en el mismo sentido</w:t>
      </w:r>
      <w:r w:rsidR="009E6246" w:rsidRPr="00B22CA9">
        <w:rPr>
          <w:rFonts w:ascii="Times New Roman" w:hAnsi="Times New Roman" w:cs="Times New Roman"/>
          <w:sz w:val="24"/>
          <w:szCs w:val="24"/>
          <w:lang w:val="es-ES"/>
        </w:rPr>
        <w:t xml:space="preserve"> que la de un particular</w:t>
      </w:r>
      <w:r w:rsidR="00113E4F" w:rsidRPr="00B22CA9">
        <w:rPr>
          <w:rFonts w:ascii="Times New Roman" w:hAnsi="Times New Roman" w:cs="Times New Roman"/>
          <w:sz w:val="24"/>
          <w:szCs w:val="24"/>
          <w:lang w:val="es-ES"/>
        </w:rPr>
        <w:t>,</w:t>
      </w:r>
      <w:r w:rsidR="002D1851" w:rsidRPr="00B22CA9">
        <w:rPr>
          <w:rFonts w:ascii="Times New Roman" w:hAnsi="Times New Roman" w:cs="Times New Roman"/>
          <w:sz w:val="24"/>
          <w:szCs w:val="24"/>
          <w:lang w:val="es-ES"/>
        </w:rPr>
        <w:t xml:space="preserve"> </w:t>
      </w:r>
      <w:r w:rsidR="00535755" w:rsidRPr="00B22CA9">
        <w:rPr>
          <w:rFonts w:ascii="Times New Roman" w:hAnsi="Times New Roman" w:cs="Times New Roman"/>
          <w:sz w:val="24"/>
          <w:szCs w:val="24"/>
          <w:lang w:val="es-ES"/>
        </w:rPr>
        <w:t>por los principios de efecto directo y primacía</w:t>
      </w:r>
      <w:r w:rsidR="002D1851" w:rsidRPr="00B22CA9">
        <w:rPr>
          <w:rFonts w:ascii="Times New Roman" w:hAnsi="Times New Roman" w:cs="Times New Roman"/>
          <w:sz w:val="24"/>
          <w:szCs w:val="24"/>
          <w:lang w:val="es-ES"/>
        </w:rPr>
        <w:t xml:space="preserve">, pues la </w:t>
      </w:r>
      <w:r w:rsidR="009B4350" w:rsidRPr="00B22CA9">
        <w:rPr>
          <w:rFonts w:ascii="Times New Roman" w:hAnsi="Times New Roman" w:cs="Times New Roman"/>
          <w:sz w:val="24"/>
          <w:szCs w:val="24"/>
          <w:lang w:val="es-ES"/>
        </w:rPr>
        <w:t>posición que</w:t>
      </w:r>
      <w:r w:rsidR="00636A8B" w:rsidRPr="00B22CA9">
        <w:rPr>
          <w:rFonts w:ascii="Times New Roman" w:hAnsi="Times New Roman" w:cs="Times New Roman"/>
          <w:sz w:val="24"/>
          <w:szCs w:val="24"/>
          <w:lang w:val="es-ES"/>
        </w:rPr>
        <w:t xml:space="preserve"> se</w:t>
      </w:r>
      <w:r w:rsidR="009B4350" w:rsidRPr="00B22CA9">
        <w:rPr>
          <w:rFonts w:ascii="Times New Roman" w:hAnsi="Times New Roman" w:cs="Times New Roman"/>
          <w:sz w:val="24"/>
          <w:szCs w:val="24"/>
          <w:lang w:val="es-ES"/>
        </w:rPr>
        <w:t xml:space="preserve"> reivindica es la de la </w:t>
      </w:r>
      <w:r w:rsidR="00AA351F" w:rsidRPr="00B22CA9">
        <w:rPr>
          <w:rFonts w:ascii="Times New Roman" w:hAnsi="Times New Roman" w:cs="Times New Roman"/>
          <w:sz w:val="24"/>
          <w:szCs w:val="24"/>
          <w:lang w:val="es-ES"/>
        </w:rPr>
        <w:t xml:space="preserve">misma </w:t>
      </w:r>
      <w:r w:rsidRPr="00B22CA9">
        <w:rPr>
          <w:rFonts w:ascii="Times New Roman" w:hAnsi="Times New Roman" w:cs="Times New Roman"/>
          <w:sz w:val="24"/>
          <w:szCs w:val="24"/>
          <w:lang w:val="es-ES"/>
        </w:rPr>
        <w:t xml:space="preserve">norma </w:t>
      </w:r>
      <w:r w:rsidR="00AA351F" w:rsidRPr="00B22CA9">
        <w:rPr>
          <w:rFonts w:ascii="Times New Roman" w:hAnsi="Times New Roman" w:cs="Times New Roman"/>
          <w:sz w:val="24"/>
          <w:szCs w:val="24"/>
          <w:lang w:val="es-ES"/>
        </w:rPr>
        <w:t>iusfundamental</w:t>
      </w:r>
      <w:r w:rsidR="009E6246" w:rsidRPr="00B22CA9">
        <w:rPr>
          <w:rFonts w:ascii="Times New Roman" w:hAnsi="Times New Roman" w:cs="Times New Roman"/>
          <w:sz w:val="24"/>
          <w:szCs w:val="24"/>
          <w:lang w:val="es-ES"/>
        </w:rPr>
        <w:t xml:space="preserve"> que, en efecto, puede estar siendo desatendida o vulnerada, pero de la que no se deriva ningún derecho subjetivo cuya defensa esté representada en el procedimiento</w:t>
      </w:r>
      <w:r w:rsidR="00535755" w:rsidRPr="00B22CA9">
        <w:rPr>
          <w:rFonts w:ascii="Times New Roman" w:hAnsi="Times New Roman" w:cs="Times New Roman"/>
          <w:sz w:val="24"/>
          <w:szCs w:val="24"/>
          <w:lang w:val="es-ES"/>
        </w:rPr>
        <w:t xml:space="preserve">. En esa distinta </w:t>
      </w:r>
      <w:r w:rsidR="00820CE8" w:rsidRPr="00B22CA9">
        <w:rPr>
          <w:rFonts w:ascii="Times New Roman" w:hAnsi="Times New Roman" w:cs="Times New Roman"/>
          <w:sz w:val="24"/>
          <w:szCs w:val="24"/>
          <w:lang w:val="es-ES"/>
        </w:rPr>
        <w:t xml:space="preserve">composición </w:t>
      </w:r>
      <w:r w:rsidR="00113E4F" w:rsidRPr="00B22CA9">
        <w:rPr>
          <w:rFonts w:ascii="Times New Roman" w:hAnsi="Times New Roman" w:cs="Times New Roman"/>
          <w:sz w:val="24"/>
          <w:szCs w:val="24"/>
          <w:lang w:val="es-ES"/>
        </w:rPr>
        <w:t>su</w:t>
      </w:r>
      <w:r w:rsidR="009E6246" w:rsidRPr="00B22CA9">
        <w:rPr>
          <w:rFonts w:ascii="Times New Roman" w:hAnsi="Times New Roman" w:cs="Times New Roman"/>
          <w:sz w:val="24"/>
          <w:szCs w:val="24"/>
          <w:lang w:val="es-ES"/>
        </w:rPr>
        <w:t xml:space="preserve">bjetiva </w:t>
      </w:r>
      <w:r w:rsidR="00113E4F" w:rsidRPr="00B22CA9">
        <w:rPr>
          <w:rFonts w:ascii="Times New Roman" w:hAnsi="Times New Roman" w:cs="Times New Roman"/>
          <w:sz w:val="24"/>
          <w:szCs w:val="24"/>
          <w:lang w:val="es-ES"/>
        </w:rPr>
        <w:t xml:space="preserve">y objetiva </w:t>
      </w:r>
      <w:r w:rsidR="00820CE8" w:rsidRPr="00B22CA9">
        <w:rPr>
          <w:rFonts w:ascii="Times New Roman" w:hAnsi="Times New Roman" w:cs="Times New Roman"/>
          <w:sz w:val="24"/>
          <w:szCs w:val="24"/>
          <w:lang w:val="es-ES"/>
        </w:rPr>
        <w:t>de</w:t>
      </w:r>
      <w:r w:rsidR="00413C78" w:rsidRPr="00B22CA9">
        <w:rPr>
          <w:rFonts w:ascii="Times New Roman" w:hAnsi="Times New Roman" w:cs="Times New Roman"/>
          <w:sz w:val="24"/>
          <w:szCs w:val="24"/>
          <w:lang w:val="es-ES"/>
        </w:rPr>
        <w:t>l</w:t>
      </w:r>
      <w:r w:rsidR="00820CE8" w:rsidRPr="00B22CA9">
        <w:rPr>
          <w:rFonts w:ascii="Times New Roman" w:hAnsi="Times New Roman" w:cs="Times New Roman"/>
          <w:sz w:val="24"/>
          <w:szCs w:val="24"/>
          <w:lang w:val="es-ES"/>
        </w:rPr>
        <w:t xml:space="preserve"> conflicto jurídico</w:t>
      </w:r>
      <w:r w:rsidR="00535755" w:rsidRPr="00B22CA9">
        <w:rPr>
          <w:rFonts w:ascii="Times New Roman" w:hAnsi="Times New Roman" w:cs="Times New Roman"/>
          <w:sz w:val="24"/>
          <w:szCs w:val="24"/>
          <w:lang w:val="es-ES"/>
        </w:rPr>
        <w:t>, el principio de competencia, ínsito a</w:t>
      </w:r>
      <w:r w:rsidR="00327B76" w:rsidRPr="00B22CA9">
        <w:rPr>
          <w:rFonts w:ascii="Times New Roman" w:hAnsi="Times New Roman" w:cs="Times New Roman"/>
          <w:sz w:val="24"/>
          <w:szCs w:val="24"/>
          <w:lang w:val="es-ES"/>
        </w:rPr>
        <w:t xml:space="preserve"> los de efecto directo y </w:t>
      </w:r>
      <w:r w:rsidR="00535755" w:rsidRPr="00B22CA9">
        <w:rPr>
          <w:rFonts w:ascii="Times New Roman" w:hAnsi="Times New Roman" w:cs="Times New Roman"/>
          <w:sz w:val="24"/>
          <w:szCs w:val="24"/>
          <w:lang w:val="es-ES"/>
        </w:rPr>
        <w:t>primacía</w:t>
      </w:r>
      <w:r w:rsidR="00327B76" w:rsidRPr="00B22CA9">
        <w:rPr>
          <w:rFonts w:ascii="Times New Roman" w:hAnsi="Times New Roman" w:cs="Times New Roman"/>
          <w:sz w:val="24"/>
          <w:szCs w:val="24"/>
          <w:lang w:val="es-ES"/>
        </w:rPr>
        <w:t xml:space="preserve"> </w:t>
      </w:r>
      <w:r w:rsidR="00FD7E4B" w:rsidRPr="00B22CA9">
        <w:rPr>
          <w:rFonts w:ascii="Times New Roman" w:hAnsi="Times New Roman" w:cs="Times New Roman"/>
          <w:sz w:val="24"/>
          <w:szCs w:val="24"/>
          <w:lang w:val="es-ES"/>
        </w:rPr>
        <w:t xml:space="preserve">pero </w:t>
      </w:r>
      <w:r w:rsidR="00327B76" w:rsidRPr="00B22CA9">
        <w:rPr>
          <w:rFonts w:ascii="Times New Roman" w:hAnsi="Times New Roman" w:cs="Times New Roman"/>
          <w:sz w:val="24"/>
          <w:szCs w:val="24"/>
          <w:lang w:val="es-ES"/>
        </w:rPr>
        <w:t>distinto de aquellos</w:t>
      </w:r>
      <w:r w:rsidR="00535755" w:rsidRPr="00B22CA9">
        <w:rPr>
          <w:rFonts w:ascii="Times New Roman" w:hAnsi="Times New Roman" w:cs="Times New Roman"/>
          <w:sz w:val="24"/>
          <w:szCs w:val="24"/>
          <w:lang w:val="es-ES"/>
        </w:rPr>
        <w:t xml:space="preserve">, tiene </w:t>
      </w:r>
      <w:r w:rsidR="0038125A" w:rsidRPr="00B22CA9">
        <w:rPr>
          <w:rFonts w:ascii="Times New Roman" w:hAnsi="Times New Roman" w:cs="Times New Roman"/>
          <w:sz w:val="24"/>
          <w:szCs w:val="24"/>
          <w:lang w:val="es-ES"/>
        </w:rPr>
        <w:t>mayor presencia</w:t>
      </w:r>
      <w:r w:rsidR="009E6246" w:rsidRPr="00B22CA9">
        <w:rPr>
          <w:rFonts w:ascii="Times New Roman" w:hAnsi="Times New Roman" w:cs="Times New Roman"/>
          <w:sz w:val="24"/>
          <w:szCs w:val="24"/>
          <w:lang w:val="es-ES"/>
        </w:rPr>
        <w:t xml:space="preserve"> que en una demanda prejudicial</w:t>
      </w:r>
      <w:r w:rsidR="00327B76" w:rsidRPr="00B22CA9">
        <w:rPr>
          <w:rFonts w:ascii="Times New Roman" w:hAnsi="Times New Roman" w:cs="Times New Roman"/>
          <w:sz w:val="24"/>
          <w:szCs w:val="24"/>
          <w:lang w:val="es-ES"/>
        </w:rPr>
        <w:t>. L</w:t>
      </w:r>
      <w:r w:rsidR="00535755" w:rsidRPr="00B22CA9">
        <w:rPr>
          <w:rFonts w:ascii="Times New Roman" w:hAnsi="Times New Roman" w:cs="Times New Roman"/>
          <w:sz w:val="24"/>
          <w:szCs w:val="24"/>
          <w:lang w:val="es-ES"/>
        </w:rPr>
        <w:t>os derechos fundamentales supranacionales</w:t>
      </w:r>
      <w:r w:rsidR="00327B76" w:rsidRPr="00B22CA9">
        <w:rPr>
          <w:rFonts w:ascii="Times New Roman" w:hAnsi="Times New Roman" w:cs="Times New Roman"/>
          <w:sz w:val="24"/>
          <w:szCs w:val="24"/>
          <w:lang w:val="es-ES"/>
        </w:rPr>
        <w:t xml:space="preserve"> son inseparables</w:t>
      </w:r>
      <w:r w:rsidR="009E6246" w:rsidRPr="00B22CA9">
        <w:rPr>
          <w:rFonts w:ascii="Times New Roman" w:hAnsi="Times New Roman" w:cs="Times New Roman"/>
          <w:sz w:val="24"/>
          <w:szCs w:val="24"/>
          <w:lang w:val="es-ES"/>
        </w:rPr>
        <w:t>, o más aún,</w:t>
      </w:r>
      <w:r w:rsidR="00535755" w:rsidRPr="00B22CA9">
        <w:rPr>
          <w:rFonts w:ascii="Times New Roman" w:hAnsi="Times New Roman" w:cs="Times New Roman"/>
          <w:sz w:val="24"/>
          <w:szCs w:val="24"/>
          <w:lang w:val="es-ES"/>
        </w:rPr>
        <w:t xml:space="preserve"> de la</w:t>
      </w:r>
      <w:r w:rsidR="00327B76" w:rsidRPr="00B22CA9">
        <w:rPr>
          <w:rFonts w:ascii="Times New Roman" w:hAnsi="Times New Roman" w:cs="Times New Roman"/>
          <w:sz w:val="24"/>
          <w:szCs w:val="24"/>
          <w:lang w:val="es-ES"/>
        </w:rPr>
        <w:t xml:space="preserve"> identificación de la competencia de la Unión</w:t>
      </w:r>
      <w:r w:rsidR="009E6246" w:rsidRPr="00B22CA9">
        <w:rPr>
          <w:rFonts w:ascii="Times New Roman" w:hAnsi="Times New Roman" w:cs="Times New Roman"/>
          <w:sz w:val="24"/>
          <w:szCs w:val="24"/>
          <w:lang w:val="es-ES"/>
        </w:rPr>
        <w:t>, que ha de ser clara,</w:t>
      </w:r>
      <w:r w:rsidR="00327B76" w:rsidRPr="00B22CA9">
        <w:rPr>
          <w:rFonts w:ascii="Times New Roman" w:hAnsi="Times New Roman" w:cs="Times New Roman"/>
          <w:sz w:val="24"/>
          <w:szCs w:val="24"/>
          <w:lang w:val="es-ES"/>
        </w:rPr>
        <w:t xml:space="preserve"> y de </w:t>
      </w:r>
      <w:r w:rsidR="004F62FF" w:rsidRPr="00B22CA9">
        <w:rPr>
          <w:rFonts w:ascii="Times New Roman" w:hAnsi="Times New Roman" w:cs="Times New Roman"/>
          <w:sz w:val="24"/>
          <w:szCs w:val="24"/>
          <w:lang w:val="es-ES"/>
        </w:rPr>
        <w:t>la</w:t>
      </w:r>
      <w:r w:rsidR="009E6246" w:rsidRPr="00B22CA9">
        <w:rPr>
          <w:rFonts w:ascii="Times New Roman" w:hAnsi="Times New Roman" w:cs="Times New Roman"/>
          <w:sz w:val="24"/>
          <w:szCs w:val="24"/>
          <w:lang w:val="es-ES"/>
        </w:rPr>
        <w:t xml:space="preserve"> puesta en</w:t>
      </w:r>
      <w:r w:rsidR="004F62FF" w:rsidRPr="00B22CA9">
        <w:rPr>
          <w:rFonts w:ascii="Times New Roman" w:hAnsi="Times New Roman" w:cs="Times New Roman"/>
          <w:sz w:val="24"/>
          <w:szCs w:val="24"/>
          <w:lang w:val="es-ES"/>
        </w:rPr>
        <w:t xml:space="preserve"> relación de </w:t>
      </w:r>
      <w:r w:rsidR="009E6246" w:rsidRPr="00B22CA9">
        <w:rPr>
          <w:rFonts w:ascii="Times New Roman" w:hAnsi="Times New Roman" w:cs="Times New Roman"/>
          <w:sz w:val="24"/>
          <w:szCs w:val="24"/>
          <w:lang w:val="es-ES"/>
        </w:rPr>
        <w:t>la misma</w:t>
      </w:r>
      <w:r w:rsidR="004F62FF" w:rsidRPr="00B22CA9">
        <w:rPr>
          <w:rFonts w:ascii="Times New Roman" w:hAnsi="Times New Roman" w:cs="Times New Roman"/>
          <w:sz w:val="24"/>
          <w:szCs w:val="24"/>
          <w:lang w:val="es-ES"/>
        </w:rPr>
        <w:t xml:space="preserve"> </w:t>
      </w:r>
      <w:r w:rsidR="00327B76" w:rsidRPr="00B22CA9">
        <w:rPr>
          <w:rFonts w:ascii="Times New Roman" w:hAnsi="Times New Roman" w:cs="Times New Roman"/>
          <w:sz w:val="24"/>
          <w:szCs w:val="24"/>
          <w:lang w:val="es-ES"/>
        </w:rPr>
        <w:t>con el derecho fundamental dañado</w:t>
      </w:r>
      <w:r w:rsidR="004F62FF" w:rsidRPr="00B22CA9">
        <w:rPr>
          <w:rFonts w:ascii="Times New Roman" w:hAnsi="Times New Roman" w:cs="Times New Roman"/>
          <w:sz w:val="24"/>
          <w:szCs w:val="24"/>
          <w:lang w:val="es-ES"/>
        </w:rPr>
        <w:t>.</w:t>
      </w:r>
      <w:r w:rsidR="00820CE8" w:rsidRPr="00B22CA9">
        <w:rPr>
          <w:rFonts w:ascii="Times New Roman" w:hAnsi="Times New Roman" w:cs="Times New Roman"/>
          <w:sz w:val="24"/>
          <w:szCs w:val="24"/>
          <w:lang w:val="es-ES"/>
        </w:rPr>
        <w:t xml:space="preserve"> Los derechos de la Carta no pueden tener aplicabilidad directa ni efectividad fuera de esos márgenes</w:t>
      </w:r>
      <w:r w:rsidR="00820CE8" w:rsidRPr="00B22CA9">
        <w:rPr>
          <w:rStyle w:val="Refdenotaalpie"/>
          <w:rFonts w:ascii="Times New Roman" w:hAnsi="Times New Roman" w:cs="Times New Roman"/>
          <w:sz w:val="24"/>
          <w:szCs w:val="24"/>
          <w:lang w:val="es-ES"/>
        </w:rPr>
        <w:footnoteReference w:id="40"/>
      </w:r>
      <w:r w:rsidR="0038125A" w:rsidRPr="00B22CA9">
        <w:rPr>
          <w:rFonts w:ascii="Times New Roman" w:hAnsi="Times New Roman" w:cs="Times New Roman"/>
          <w:sz w:val="24"/>
          <w:szCs w:val="24"/>
          <w:lang w:val="es-ES"/>
        </w:rPr>
        <w:t>, pues más allá de ellos su garantía corresponde al orden constitucional estatal</w:t>
      </w:r>
      <w:r w:rsidR="00820CE8" w:rsidRPr="00B22CA9">
        <w:rPr>
          <w:rFonts w:ascii="Times New Roman" w:hAnsi="Times New Roman" w:cs="Times New Roman"/>
          <w:sz w:val="24"/>
          <w:szCs w:val="24"/>
          <w:lang w:val="es-ES"/>
        </w:rPr>
        <w:t>.</w:t>
      </w:r>
    </w:p>
    <w:p w:rsidR="00382CD1" w:rsidRPr="00B22CA9" w:rsidRDefault="00480FE3" w:rsidP="007F11DF">
      <w:pPr>
        <w:spacing w:line="240" w:lineRule="auto"/>
        <w:ind w:firstLine="720"/>
        <w:jc w:val="both"/>
        <w:rPr>
          <w:rFonts w:ascii="Times New Roman" w:hAnsi="Times New Roman" w:cs="Times New Roman"/>
          <w:sz w:val="24"/>
          <w:szCs w:val="24"/>
          <w:lang w:val="es-ES"/>
        </w:rPr>
      </w:pPr>
      <w:r w:rsidRPr="00B22CA9">
        <w:rPr>
          <w:rFonts w:ascii="Times New Roman" w:hAnsi="Times New Roman" w:cs="Times New Roman"/>
          <w:sz w:val="24"/>
          <w:szCs w:val="24"/>
          <w:lang w:val="es-ES"/>
        </w:rPr>
        <w:t>En definitiva, cuando se</w:t>
      </w:r>
      <w:r w:rsidR="00235855" w:rsidRPr="00B22CA9">
        <w:rPr>
          <w:rFonts w:ascii="Times New Roman" w:hAnsi="Times New Roman" w:cs="Times New Roman"/>
          <w:sz w:val="24"/>
          <w:szCs w:val="24"/>
          <w:lang w:val="es-ES"/>
        </w:rPr>
        <w:t xml:space="preserve"> observa el cuadro de aplicación de los derechos supranacionales a la luz de </w:t>
      </w:r>
      <w:r w:rsidRPr="00B22CA9">
        <w:rPr>
          <w:rFonts w:ascii="Times New Roman" w:hAnsi="Times New Roman" w:cs="Times New Roman"/>
          <w:sz w:val="24"/>
          <w:szCs w:val="24"/>
          <w:lang w:val="es-ES"/>
        </w:rPr>
        <w:t>est</w:t>
      </w:r>
      <w:r w:rsidR="00235855" w:rsidRPr="00B22CA9">
        <w:rPr>
          <w:rFonts w:ascii="Times New Roman" w:hAnsi="Times New Roman" w:cs="Times New Roman"/>
          <w:sz w:val="24"/>
          <w:szCs w:val="24"/>
          <w:lang w:val="es-ES"/>
        </w:rPr>
        <w:t xml:space="preserve">os matices, se </w:t>
      </w:r>
      <w:r w:rsidRPr="00B22CA9">
        <w:rPr>
          <w:rFonts w:ascii="Times New Roman" w:hAnsi="Times New Roman" w:cs="Times New Roman"/>
          <w:sz w:val="24"/>
          <w:szCs w:val="24"/>
          <w:lang w:val="es-ES"/>
        </w:rPr>
        <w:t xml:space="preserve">aprecia </w:t>
      </w:r>
      <w:r w:rsidR="00235855" w:rsidRPr="00B22CA9">
        <w:rPr>
          <w:rFonts w:ascii="Times New Roman" w:hAnsi="Times New Roman" w:cs="Times New Roman"/>
          <w:sz w:val="24"/>
          <w:szCs w:val="24"/>
          <w:lang w:val="es-ES"/>
        </w:rPr>
        <w:t xml:space="preserve">que </w:t>
      </w:r>
      <w:r w:rsidR="003B6E8D" w:rsidRPr="00B22CA9">
        <w:rPr>
          <w:rFonts w:ascii="Times New Roman" w:hAnsi="Times New Roman" w:cs="Times New Roman"/>
          <w:sz w:val="24"/>
          <w:szCs w:val="24"/>
          <w:lang w:val="es-ES"/>
        </w:rPr>
        <w:t xml:space="preserve">la hermenéutica de los derechos va a </w:t>
      </w:r>
      <w:r w:rsidRPr="00B22CA9">
        <w:rPr>
          <w:rFonts w:ascii="Times New Roman" w:hAnsi="Times New Roman" w:cs="Times New Roman"/>
          <w:sz w:val="24"/>
          <w:szCs w:val="24"/>
          <w:lang w:val="es-ES"/>
        </w:rPr>
        <w:t>responder</w:t>
      </w:r>
      <w:r w:rsidR="003B6E8D" w:rsidRPr="00B22CA9">
        <w:rPr>
          <w:rFonts w:ascii="Times New Roman" w:hAnsi="Times New Roman" w:cs="Times New Roman"/>
          <w:sz w:val="24"/>
          <w:szCs w:val="24"/>
          <w:lang w:val="es-ES"/>
        </w:rPr>
        <w:t xml:space="preserve">, en el incumplimiento, </w:t>
      </w:r>
      <w:r w:rsidRPr="00B22CA9">
        <w:rPr>
          <w:rFonts w:ascii="Times New Roman" w:hAnsi="Times New Roman" w:cs="Times New Roman"/>
          <w:sz w:val="24"/>
          <w:szCs w:val="24"/>
          <w:lang w:val="es-ES"/>
        </w:rPr>
        <w:t xml:space="preserve">a </w:t>
      </w:r>
      <w:r w:rsidR="003B6E8D" w:rsidRPr="00B22CA9">
        <w:rPr>
          <w:rFonts w:ascii="Times New Roman" w:hAnsi="Times New Roman" w:cs="Times New Roman"/>
          <w:sz w:val="24"/>
          <w:szCs w:val="24"/>
          <w:lang w:val="es-ES"/>
        </w:rPr>
        <w:t>una lógica abstracta frente a la lógica concreta de l</w:t>
      </w:r>
      <w:r w:rsidRPr="00B22CA9">
        <w:rPr>
          <w:rFonts w:ascii="Times New Roman" w:hAnsi="Times New Roman" w:cs="Times New Roman"/>
          <w:sz w:val="24"/>
          <w:szCs w:val="24"/>
          <w:lang w:val="es-ES"/>
        </w:rPr>
        <w:t>o</w:t>
      </w:r>
      <w:r w:rsidR="003B6E8D" w:rsidRPr="00B22CA9">
        <w:rPr>
          <w:rFonts w:ascii="Times New Roman" w:hAnsi="Times New Roman" w:cs="Times New Roman"/>
          <w:sz w:val="24"/>
          <w:szCs w:val="24"/>
          <w:lang w:val="es-ES"/>
        </w:rPr>
        <w:t xml:space="preserve"> prejudicial. </w:t>
      </w:r>
      <w:r w:rsidR="00470365" w:rsidRPr="00B22CA9">
        <w:rPr>
          <w:rFonts w:ascii="Times New Roman" w:hAnsi="Times New Roman" w:cs="Times New Roman"/>
          <w:sz w:val="24"/>
          <w:szCs w:val="24"/>
          <w:lang w:val="es-ES"/>
        </w:rPr>
        <w:t>E</w:t>
      </w:r>
      <w:r w:rsidR="003B6E8D" w:rsidRPr="00B22CA9">
        <w:rPr>
          <w:rFonts w:ascii="Times New Roman" w:hAnsi="Times New Roman" w:cs="Times New Roman"/>
          <w:sz w:val="24"/>
          <w:szCs w:val="24"/>
          <w:lang w:val="es-ES"/>
        </w:rPr>
        <w:t>sa lógica abstracta</w:t>
      </w:r>
      <w:r w:rsidR="007740CA" w:rsidRPr="00B22CA9">
        <w:rPr>
          <w:rFonts w:ascii="Times New Roman" w:hAnsi="Times New Roman" w:cs="Times New Roman"/>
          <w:sz w:val="24"/>
          <w:szCs w:val="24"/>
          <w:lang w:val="es-ES"/>
        </w:rPr>
        <w:t xml:space="preserve"> obliga a </w:t>
      </w:r>
      <w:r w:rsidR="003B6E8D" w:rsidRPr="00B22CA9">
        <w:rPr>
          <w:rFonts w:ascii="Times New Roman" w:hAnsi="Times New Roman" w:cs="Times New Roman"/>
          <w:sz w:val="24"/>
          <w:szCs w:val="24"/>
          <w:lang w:val="es-ES"/>
        </w:rPr>
        <w:t xml:space="preserve">anudar la denuncia de desatención de los derechos de la Unión a otra disposición supranacional que </w:t>
      </w:r>
      <w:r w:rsidR="007740CA" w:rsidRPr="00B22CA9">
        <w:rPr>
          <w:rFonts w:ascii="Times New Roman" w:hAnsi="Times New Roman" w:cs="Times New Roman"/>
          <w:sz w:val="24"/>
          <w:szCs w:val="24"/>
          <w:lang w:val="es-ES"/>
        </w:rPr>
        <w:t xml:space="preserve">los </w:t>
      </w:r>
      <w:r w:rsidR="00235855" w:rsidRPr="00B22CA9">
        <w:rPr>
          <w:rFonts w:ascii="Times New Roman" w:hAnsi="Times New Roman" w:cs="Times New Roman"/>
          <w:sz w:val="24"/>
          <w:szCs w:val="24"/>
          <w:lang w:val="es-ES"/>
        </w:rPr>
        <w:t>conecte con el principio de competencia</w:t>
      </w:r>
      <w:r w:rsidR="007740CA" w:rsidRPr="00B22CA9">
        <w:rPr>
          <w:rFonts w:ascii="Times New Roman" w:hAnsi="Times New Roman" w:cs="Times New Roman"/>
          <w:sz w:val="24"/>
          <w:szCs w:val="24"/>
          <w:lang w:val="es-ES"/>
        </w:rPr>
        <w:t xml:space="preserve">. </w:t>
      </w:r>
      <w:r w:rsidR="009E6246" w:rsidRPr="00B22CA9">
        <w:rPr>
          <w:rFonts w:ascii="Times New Roman" w:hAnsi="Times New Roman" w:cs="Times New Roman"/>
          <w:sz w:val="24"/>
          <w:szCs w:val="24"/>
          <w:lang w:val="es-ES"/>
        </w:rPr>
        <w:t>En ausencia de una invocación del derecho fundamental dañado en su dimensión subjetiva, efecto directo y primacía se contraen. En tal contexto, s</w:t>
      </w:r>
      <w:r w:rsidR="007740CA" w:rsidRPr="00B22CA9">
        <w:rPr>
          <w:rFonts w:ascii="Times New Roman" w:hAnsi="Times New Roman" w:cs="Times New Roman"/>
          <w:sz w:val="24"/>
          <w:szCs w:val="24"/>
          <w:lang w:val="es-ES"/>
        </w:rPr>
        <w:t xml:space="preserve">olo </w:t>
      </w:r>
      <w:r w:rsidR="00235855" w:rsidRPr="00B22CA9">
        <w:rPr>
          <w:rFonts w:ascii="Times New Roman" w:hAnsi="Times New Roman" w:cs="Times New Roman"/>
          <w:sz w:val="24"/>
          <w:szCs w:val="24"/>
          <w:lang w:val="es-ES"/>
        </w:rPr>
        <w:t>a través</w:t>
      </w:r>
      <w:r w:rsidR="007740CA" w:rsidRPr="00B22CA9">
        <w:rPr>
          <w:rFonts w:ascii="Times New Roman" w:hAnsi="Times New Roman" w:cs="Times New Roman"/>
          <w:sz w:val="24"/>
          <w:szCs w:val="24"/>
          <w:lang w:val="es-ES"/>
        </w:rPr>
        <w:t xml:space="preserve"> de</w:t>
      </w:r>
      <w:r w:rsidR="009E6246" w:rsidRPr="00B22CA9">
        <w:rPr>
          <w:rFonts w:ascii="Times New Roman" w:hAnsi="Times New Roman" w:cs="Times New Roman"/>
          <w:sz w:val="24"/>
          <w:szCs w:val="24"/>
          <w:lang w:val="es-ES"/>
        </w:rPr>
        <w:t>l de competencia</w:t>
      </w:r>
      <w:r w:rsidR="007740CA" w:rsidRPr="00B22CA9">
        <w:rPr>
          <w:rFonts w:ascii="Times New Roman" w:hAnsi="Times New Roman" w:cs="Times New Roman"/>
          <w:sz w:val="24"/>
          <w:szCs w:val="24"/>
          <w:lang w:val="es-ES"/>
        </w:rPr>
        <w:t xml:space="preserve"> se llega al</w:t>
      </w:r>
      <w:r w:rsidR="003B6E8D" w:rsidRPr="00B22CA9">
        <w:rPr>
          <w:rFonts w:ascii="Times New Roman" w:hAnsi="Times New Roman" w:cs="Times New Roman"/>
          <w:sz w:val="24"/>
          <w:szCs w:val="24"/>
          <w:lang w:val="es-ES"/>
        </w:rPr>
        <w:t xml:space="preserve"> principio general de efectividad en el que se basa la preferencia en la aplicación</w:t>
      </w:r>
      <w:r w:rsidR="007740CA" w:rsidRPr="00B22CA9">
        <w:rPr>
          <w:rFonts w:ascii="Times New Roman" w:hAnsi="Times New Roman" w:cs="Times New Roman"/>
          <w:sz w:val="24"/>
          <w:szCs w:val="24"/>
          <w:lang w:val="es-ES"/>
        </w:rPr>
        <w:t xml:space="preserve"> y, en este caso, la coerción</w:t>
      </w:r>
      <w:r w:rsidR="003B6E8D" w:rsidRPr="00B22CA9">
        <w:rPr>
          <w:rStyle w:val="Refdenotaalpie"/>
          <w:rFonts w:ascii="Times New Roman" w:hAnsi="Times New Roman" w:cs="Times New Roman"/>
          <w:sz w:val="24"/>
          <w:szCs w:val="24"/>
          <w:lang w:val="es-ES"/>
        </w:rPr>
        <w:footnoteReference w:id="41"/>
      </w:r>
      <w:r w:rsidR="003B6E8D" w:rsidRPr="00B22CA9">
        <w:rPr>
          <w:rFonts w:ascii="Times New Roman" w:hAnsi="Times New Roman" w:cs="Times New Roman"/>
          <w:sz w:val="24"/>
          <w:szCs w:val="24"/>
          <w:lang w:val="es-ES"/>
        </w:rPr>
        <w:t>.</w:t>
      </w:r>
      <w:r w:rsidR="00235855" w:rsidRPr="00B22CA9">
        <w:rPr>
          <w:rFonts w:ascii="Times New Roman" w:hAnsi="Times New Roman" w:cs="Times New Roman"/>
          <w:sz w:val="24"/>
          <w:szCs w:val="24"/>
          <w:lang w:val="es-ES"/>
        </w:rPr>
        <w:t xml:space="preserve"> </w:t>
      </w:r>
      <w:r w:rsidR="007740CA" w:rsidRPr="00B22CA9">
        <w:rPr>
          <w:rFonts w:ascii="Times New Roman" w:hAnsi="Times New Roman" w:cs="Times New Roman"/>
          <w:sz w:val="24"/>
          <w:szCs w:val="24"/>
          <w:lang w:val="es-ES"/>
        </w:rPr>
        <w:t>Y d</w:t>
      </w:r>
      <w:r w:rsidR="00235855" w:rsidRPr="00B22CA9">
        <w:rPr>
          <w:rFonts w:ascii="Times New Roman" w:hAnsi="Times New Roman" w:cs="Times New Roman"/>
          <w:sz w:val="24"/>
          <w:szCs w:val="24"/>
          <w:lang w:val="es-ES"/>
        </w:rPr>
        <w:t xml:space="preserve">ado el </w:t>
      </w:r>
      <w:r w:rsidR="007740CA" w:rsidRPr="00B22CA9">
        <w:rPr>
          <w:rFonts w:ascii="Times New Roman" w:hAnsi="Times New Roman" w:cs="Times New Roman"/>
          <w:sz w:val="24"/>
          <w:szCs w:val="24"/>
          <w:lang w:val="es-ES"/>
        </w:rPr>
        <w:t xml:space="preserve">fuerte </w:t>
      </w:r>
      <w:r w:rsidR="00FD7E4B" w:rsidRPr="00B22CA9">
        <w:rPr>
          <w:rFonts w:ascii="Times New Roman" w:hAnsi="Times New Roman" w:cs="Times New Roman"/>
          <w:sz w:val="24"/>
          <w:szCs w:val="24"/>
          <w:lang w:val="es-ES"/>
        </w:rPr>
        <w:t>componente</w:t>
      </w:r>
      <w:r w:rsidR="00235855" w:rsidRPr="00B22CA9">
        <w:rPr>
          <w:rFonts w:ascii="Times New Roman" w:hAnsi="Times New Roman" w:cs="Times New Roman"/>
          <w:sz w:val="24"/>
          <w:szCs w:val="24"/>
          <w:lang w:val="es-ES"/>
        </w:rPr>
        <w:t xml:space="preserve"> político del procedimiento por incumplimiento, </w:t>
      </w:r>
      <w:r w:rsidR="007740CA" w:rsidRPr="00B22CA9">
        <w:rPr>
          <w:rFonts w:ascii="Times New Roman" w:hAnsi="Times New Roman" w:cs="Times New Roman"/>
          <w:sz w:val="24"/>
          <w:szCs w:val="24"/>
          <w:lang w:val="es-ES"/>
        </w:rPr>
        <w:t>con el protagonismo de la Comisión</w:t>
      </w:r>
      <w:r w:rsidR="00235855" w:rsidRPr="00B22CA9">
        <w:rPr>
          <w:rFonts w:ascii="Times New Roman" w:hAnsi="Times New Roman" w:cs="Times New Roman"/>
          <w:sz w:val="24"/>
          <w:szCs w:val="24"/>
          <w:lang w:val="es-ES"/>
        </w:rPr>
        <w:t xml:space="preserve">, la </w:t>
      </w:r>
      <w:r w:rsidR="006E7C1E" w:rsidRPr="00B22CA9">
        <w:rPr>
          <w:rFonts w:ascii="Times New Roman" w:hAnsi="Times New Roman" w:cs="Times New Roman"/>
          <w:sz w:val="24"/>
          <w:szCs w:val="24"/>
          <w:lang w:val="es-ES"/>
        </w:rPr>
        <w:t>observancia de los límites de</w:t>
      </w:r>
      <w:r w:rsidR="007740CA" w:rsidRPr="00B22CA9">
        <w:rPr>
          <w:rFonts w:ascii="Times New Roman" w:hAnsi="Times New Roman" w:cs="Times New Roman"/>
          <w:sz w:val="24"/>
          <w:szCs w:val="24"/>
          <w:lang w:val="es-ES"/>
        </w:rPr>
        <w:t>b</w:t>
      </w:r>
      <w:r w:rsidR="006E7C1E" w:rsidRPr="00B22CA9">
        <w:rPr>
          <w:rFonts w:ascii="Times New Roman" w:hAnsi="Times New Roman" w:cs="Times New Roman"/>
          <w:sz w:val="24"/>
          <w:szCs w:val="24"/>
          <w:lang w:val="es-ES"/>
        </w:rPr>
        <w:t>e ser de lo más estricta.</w:t>
      </w:r>
      <w:r w:rsidR="003B6E8D" w:rsidRPr="00B22CA9">
        <w:rPr>
          <w:rFonts w:ascii="Times New Roman" w:hAnsi="Times New Roman" w:cs="Times New Roman"/>
          <w:sz w:val="24"/>
          <w:szCs w:val="24"/>
          <w:lang w:val="es-ES"/>
        </w:rPr>
        <w:t xml:space="preserve">   </w:t>
      </w:r>
      <w:r w:rsidR="00752696" w:rsidRPr="00B22CA9">
        <w:rPr>
          <w:rFonts w:ascii="Times New Roman" w:hAnsi="Times New Roman" w:cs="Times New Roman"/>
          <w:sz w:val="24"/>
          <w:szCs w:val="24"/>
          <w:lang w:val="es-ES"/>
        </w:rPr>
        <w:t xml:space="preserve">  </w:t>
      </w:r>
      <w:r w:rsidR="00382CD1" w:rsidRPr="00B22CA9">
        <w:rPr>
          <w:rFonts w:ascii="Times New Roman" w:hAnsi="Times New Roman" w:cs="Times New Roman"/>
          <w:sz w:val="24"/>
          <w:szCs w:val="24"/>
          <w:lang w:val="es-ES"/>
        </w:rPr>
        <w:t xml:space="preserve"> </w:t>
      </w:r>
    </w:p>
    <w:p w:rsidR="00382CD1" w:rsidRPr="00B22CA9" w:rsidRDefault="00C57656" w:rsidP="003D57DC">
      <w:pPr>
        <w:pStyle w:val="Prrafodelista"/>
        <w:numPr>
          <w:ilvl w:val="0"/>
          <w:numId w:val="5"/>
        </w:numPr>
        <w:spacing w:line="240" w:lineRule="auto"/>
        <w:jc w:val="both"/>
        <w:rPr>
          <w:rFonts w:ascii="Times New Roman" w:hAnsi="Times New Roman" w:cs="Times New Roman"/>
          <w:b/>
          <w:sz w:val="24"/>
          <w:szCs w:val="24"/>
          <w:lang w:val="es-ES"/>
        </w:rPr>
      </w:pPr>
      <w:r w:rsidRPr="00B22CA9">
        <w:rPr>
          <w:rFonts w:ascii="Times New Roman" w:hAnsi="Times New Roman" w:cs="Times New Roman"/>
          <w:b/>
          <w:sz w:val="24"/>
          <w:szCs w:val="24"/>
          <w:lang w:val="es-ES"/>
        </w:rPr>
        <w:t>Aspectos procesales</w:t>
      </w:r>
      <w:r w:rsidR="00BB3C4A" w:rsidRPr="00B22CA9">
        <w:rPr>
          <w:rFonts w:ascii="Times New Roman" w:hAnsi="Times New Roman" w:cs="Times New Roman"/>
          <w:b/>
          <w:sz w:val="24"/>
          <w:szCs w:val="24"/>
          <w:lang w:val="es-ES"/>
        </w:rPr>
        <w:t xml:space="preserve">, </w:t>
      </w:r>
      <w:r w:rsidRPr="00B22CA9">
        <w:rPr>
          <w:rFonts w:ascii="Times New Roman" w:hAnsi="Times New Roman" w:cs="Times New Roman"/>
          <w:b/>
          <w:sz w:val="24"/>
          <w:szCs w:val="24"/>
          <w:lang w:val="es-ES"/>
        </w:rPr>
        <w:t xml:space="preserve">estructura y </w:t>
      </w:r>
      <w:r w:rsidR="00382CD1" w:rsidRPr="00B22CA9">
        <w:rPr>
          <w:rFonts w:ascii="Times New Roman" w:hAnsi="Times New Roman" w:cs="Times New Roman"/>
          <w:b/>
          <w:sz w:val="24"/>
          <w:szCs w:val="24"/>
          <w:lang w:val="es-ES"/>
        </w:rPr>
        <w:t>práctica del procedimiento por incumplimiento</w:t>
      </w:r>
      <w:r w:rsidR="00FD7E4B" w:rsidRPr="00B22CA9">
        <w:rPr>
          <w:rFonts w:ascii="Times New Roman" w:hAnsi="Times New Roman" w:cs="Times New Roman"/>
          <w:b/>
          <w:sz w:val="24"/>
          <w:szCs w:val="24"/>
          <w:lang w:val="es-ES"/>
        </w:rPr>
        <w:t>:</w:t>
      </w:r>
      <w:r w:rsidR="00382CD1" w:rsidRPr="00B22CA9">
        <w:rPr>
          <w:rFonts w:ascii="Times New Roman" w:hAnsi="Times New Roman" w:cs="Times New Roman"/>
          <w:b/>
          <w:sz w:val="24"/>
          <w:szCs w:val="24"/>
          <w:lang w:val="es-ES"/>
        </w:rPr>
        <w:t xml:space="preserve"> dificultades para su consideración como </w:t>
      </w:r>
      <w:r w:rsidR="0084489E" w:rsidRPr="00B22CA9">
        <w:rPr>
          <w:rFonts w:ascii="Times New Roman" w:hAnsi="Times New Roman" w:cs="Times New Roman"/>
          <w:b/>
          <w:sz w:val="24"/>
          <w:szCs w:val="24"/>
          <w:lang w:val="es-ES"/>
        </w:rPr>
        <w:t>instrumento</w:t>
      </w:r>
      <w:r w:rsidR="00382CD1" w:rsidRPr="00B22CA9">
        <w:rPr>
          <w:rFonts w:ascii="Times New Roman" w:hAnsi="Times New Roman" w:cs="Times New Roman"/>
          <w:b/>
          <w:sz w:val="24"/>
          <w:szCs w:val="24"/>
          <w:lang w:val="es-ES"/>
        </w:rPr>
        <w:t xml:space="preserve"> de garantía de los derechos fundamentales</w:t>
      </w:r>
      <w:r w:rsidR="00E56692" w:rsidRPr="00B22CA9">
        <w:rPr>
          <w:rFonts w:ascii="Times New Roman" w:hAnsi="Times New Roman" w:cs="Times New Roman"/>
          <w:b/>
          <w:sz w:val="24"/>
          <w:szCs w:val="24"/>
          <w:lang w:val="es-ES"/>
        </w:rPr>
        <w:t xml:space="preserve"> </w:t>
      </w:r>
    </w:p>
    <w:p w:rsidR="00D92AEF" w:rsidRPr="00B22CA9" w:rsidRDefault="006E0D4D" w:rsidP="007F11DF">
      <w:pPr>
        <w:spacing w:line="240" w:lineRule="auto"/>
        <w:ind w:firstLine="720"/>
        <w:jc w:val="both"/>
        <w:rPr>
          <w:rFonts w:ascii="Times New Roman" w:hAnsi="Times New Roman" w:cs="Times New Roman"/>
          <w:sz w:val="24"/>
          <w:szCs w:val="24"/>
          <w:lang w:val="es-ES"/>
        </w:rPr>
      </w:pPr>
      <w:r w:rsidRPr="00B22CA9">
        <w:rPr>
          <w:rFonts w:ascii="Times New Roman" w:hAnsi="Times New Roman" w:cs="Times New Roman"/>
          <w:sz w:val="24"/>
          <w:szCs w:val="24"/>
          <w:lang w:val="es-ES"/>
        </w:rPr>
        <w:lastRenderedPageBreak/>
        <w:t>En este análisis abstracto, u</w:t>
      </w:r>
      <w:r w:rsidR="00455ED8" w:rsidRPr="00B22CA9">
        <w:rPr>
          <w:rFonts w:ascii="Times New Roman" w:hAnsi="Times New Roman" w:cs="Times New Roman"/>
          <w:sz w:val="24"/>
          <w:szCs w:val="24"/>
          <w:lang w:val="es-ES"/>
        </w:rPr>
        <w:t>n</w:t>
      </w:r>
      <w:r w:rsidR="00315353" w:rsidRPr="00B22CA9">
        <w:rPr>
          <w:rFonts w:ascii="Times New Roman" w:hAnsi="Times New Roman" w:cs="Times New Roman"/>
          <w:sz w:val="24"/>
          <w:szCs w:val="24"/>
          <w:lang w:val="es-ES"/>
        </w:rPr>
        <w:t xml:space="preserve">a revisión de ciertos aspectos </w:t>
      </w:r>
      <w:r w:rsidR="00455ED8" w:rsidRPr="00B22CA9">
        <w:rPr>
          <w:rFonts w:ascii="Times New Roman" w:hAnsi="Times New Roman" w:cs="Times New Roman"/>
          <w:sz w:val="24"/>
          <w:szCs w:val="24"/>
          <w:lang w:val="es-ES"/>
        </w:rPr>
        <w:t xml:space="preserve">del procedimiento desde el punto de vista de los derechos fundamentales, </w:t>
      </w:r>
      <w:r w:rsidR="00471760" w:rsidRPr="00B22CA9">
        <w:rPr>
          <w:rFonts w:ascii="Times New Roman" w:hAnsi="Times New Roman" w:cs="Times New Roman"/>
          <w:sz w:val="24"/>
          <w:szCs w:val="24"/>
          <w:lang w:val="es-ES"/>
        </w:rPr>
        <w:t>o de sus</w:t>
      </w:r>
      <w:r w:rsidR="00455ED8" w:rsidRPr="00B22CA9">
        <w:rPr>
          <w:rFonts w:ascii="Times New Roman" w:hAnsi="Times New Roman" w:cs="Times New Roman"/>
          <w:sz w:val="24"/>
          <w:szCs w:val="24"/>
          <w:lang w:val="es-ES"/>
        </w:rPr>
        <w:t xml:space="preserve"> virtualidades para darles garantía, </w:t>
      </w:r>
      <w:r w:rsidR="00315353" w:rsidRPr="00B22CA9">
        <w:rPr>
          <w:rFonts w:ascii="Times New Roman" w:hAnsi="Times New Roman" w:cs="Times New Roman"/>
          <w:sz w:val="24"/>
          <w:szCs w:val="24"/>
          <w:lang w:val="es-ES"/>
        </w:rPr>
        <w:t>pondría de relieve</w:t>
      </w:r>
      <w:r w:rsidR="00455ED8" w:rsidRPr="00B22CA9">
        <w:rPr>
          <w:rFonts w:ascii="Times New Roman" w:hAnsi="Times New Roman" w:cs="Times New Roman"/>
          <w:sz w:val="24"/>
          <w:szCs w:val="24"/>
          <w:lang w:val="es-ES"/>
        </w:rPr>
        <w:t xml:space="preserve"> particularidades</w:t>
      </w:r>
      <w:r w:rsidR="00315353" w:rsidRPr="00B22CA9">
        <w:rPr>
          <w:rFonts w:ascii="Times New Roman" w:hAnsi="Times New Roman" w:cs="Times New Roman"/>
          <w:sz w:val="24"/>
          <w:szCs w:val="24"/>
          <w:lang w:val="es-ES"/>
        </w:rPr>
        <w:t xml:space="preserve"> de importancia</w:t>
      </w:r>
      <w:r w:rsidR="00455ED8" w:rsidRPr="00B22CA9">
        <w:rPr>
          <w:rFonts w:ascii="Times New Roman" w:hAnsi="Times New Roman" w:cs="Times New Roman"/>
          <w:sz w:val="24"/>
          <w:szCs w:val="24"/>
          <w:lang w:val="es-ES"/>
        </w:rPr>
        <w:t xml:space="preserve">. La primera, como se ha anticipado, está relacionada con la legitimación procesal y con </w:t>
      </w:r>
      <w:r w:rsidRPr="00B22CA9">
        <w:rPr>
          <w:rFonts w:ascii="Times New Roman" w:hAnsi="Times New Roman" w:cs="Times New Roman"/>
          <w:sz w:val="24"/>
          <w:szCs w:val="24"/>
          <w:lang w:val="es-ES"/>
        </w:rPr>
        <w:t>una</w:t>
      </w:r>
      <w:r w:rsidR="00455ED8" w:rsidRPr="00B22CA9">
        <w:rPr>
          <w:rFonts w:ascii="Times New Roman" w:hAnsi="Times New Roman" w:cs="Times New Roman"/>
          <w:sz w:val="24"/>
          <w:szCs w:val="24"/>
          <w:lang w:val="es-ES"/>
        </w:rPr>
        <w:t xml:space="preserve"> práctica</w:t>
      </w:r>
      <w:r w:rsidR="00471760" w:rsidRPr="00B22CA9">
        <w:rPr>
          <w:rFonts w:ascii="Times New Roman" w:hAnsi="Times New Roman" w:cs="Times New Roman"/>
          <w:sz w:val="24"/>
          <w:szCs w:val="24"/>
          <w:lang w:val="es-ES"/>
        </w:rPr>
        <w:t xml:space="preserve"> en la que</w:t>
      </w:r>
      <w:r w:rsidRPr="00B22CA9">
        <w:rPr>
          <w:rFonts w:ascii="Times New Roman" w:hAnsi="Times New Roman" w:cs="Times New Roman"/>
          <w:sz w:val="24"/>
          <w:szCs w:val="24"/>
          <w:lang w:val="es-ES"/>
        </w:rPr>
        <w:t>, sin</w:t>
      </w:r>
      <w:r w:rsidR="00455ED8" w:rsidRPr="00B22CA9">
        <w:rPr>
          <w:rFonts w:ascii="Times New Roman" w:hAnsi="Times New Roman" w:cs="Times New Roman"/>
          <w:sz w:val="24"/>
          <w:szCs w:val="24"/>
          <w:lang w:val="es-ES"/>
        </w:rPr>
        <w:t xml:space="preserve"> apenas denuncias por incumplimiento </w:t>
      </w:r>
      <w:r w:rsidR="00471760" w:rsidRPr="00B22CA9">
        <w:rPr>
          <w:rFonts w:ascii="Times New Roman" w:hAnsi="Times New Roman" w:cs="Times New Roman"/>
          <w:sz w:val="24"/>
          <w:szCs w:val="24"/>
          <w:lang w:val="es-ES"/>
        </w:rPr>
        <w:t xml:space="preserve">entre </w:t>
      </w:r>
      <w:r w:rsidR="00455ED8" w:rsidRPr="00B22CA9">
        <w:rPr>
          <w:rFonts w:ascii="Times New Roman" w:hAnsi="Times New Roman" w:cs="Times New Roman"/>
          <w:sz w:val="24"/>
          <w:szCs w:val="24"/>
          <w:lang w:val="es-ES"/>
        </w:rPr>
        <w:t>Estado</w:t>
      </w:r>
      <w:r w:rsidR="00471760" w:rsidRPr="00B22CA9">
        <w:rPr>
          <w:rFonts w:ascii="Times New Roman" w:hAnsi="Times New Roman" w:cs="Times New Roman"/>
          <w:sz w:val="24"/>
          <w:szCs w:val="24"/>
          <w:lang w:val="es-ES"/>
        </w:rPr>
        <w:t>s</w:t>
      </w:r>
      <w:r w:rsidR="00455ED8" w:rsidRPr="00B22CA9">
        <w:rPr>
          <w:rFonts w:ascii="Times New Roman" w:hAnsi="Times New Roman" w:cs="Times New Roman"/>
          <w:sz w:val="24"/>
          <w:szCs w:val="24"/>
          <w:lang w:val="es-ES"/>
        </w:rPr>
        <w:t xml:space="preserve"> miembro</w:t>
      </w:r>
      <w:r w:rsidR="00471760" w:rsidRPr="00B22CA9">
        <w:rPr>
          <w:rFonts w:ascii="Times New Roman" w:hAnsi="Times New Roman" w:cs="Times New Roman"/>
          <w:sz w:val="24"/>
          <w:szCs w:val="24"/>
          <w:lang w:val="es-ES"/>
        </w:rPr>
        <w:t>s</w:t>
      </w:r>
      <w:r w:rsidRPr="00B22CA9">
        <w:rPr>
          <w:rFonts w:ascii="Times New Roman" w:hAnsi="Times New Roman" w:cs="Times New Roman"/>
          <w:sz w:val="24"/>
          <w:szCs w:val="24"/>
          <w:lang w:val="es-ES"/>
        </w:rPr>
        <w:t>, l</w:t>
      </w:r>
      <w:r w:rsidR="00455ED8" w:rsidRPr="00B22CA9">
        <w:rPr>
          <w:rFonts w:ascii="Times New Roman" w:hAnsi="Times New Roman" w:cs="Times New Roman"/>
          <w:sz w:val="24"/>
          <w:szCs w:val="24"/>
          <w:lang w:val="es-ES"/>
        </w:rPr>
        <w:t xml:space="preserve">a Comisión </w:t>
      </w:r>
      <w:r w:rsidR="00471760" w:rsidRPr="00B22CA9">
        <w:rPr>
          <w:rFonts w:ascii="Times New Roman" w:hAnsi="Times New Roman" w:cs="Times New Roman"/>
          <w:sz w:val="24"/>
          <w:szCs w:val="24"/>
          <w:lang w:val="es-ES"/>
        </w:rPr>
        <w:t xml:space="preserve">monopoliza </w:t>
      </w:r>
      <w:r w:rsidR="00455ED8" w:rsidRPr="00B22CA9">
        <w:rPr>
          <w:rFonts w:ascii="Times New Roman" w:hAnsi="Times New Roman" w:cs="Times New Roman"/>
          <w:sz w:val="24"/>
          <w:szCs w:val="24"/>
          <w:lang w:val="es-ES"/>
        </w:rPr>
        <w:t>la iniciativa</w:t>
      </w:r>
      <w:r w:rsidRPr="00B22CA9">
        <w:rPr>
          <w:rFonts w:ascii="Times New Roman" w:hAnsi="Times New Roman" w:cs="Times New Roman"/>
          <w:sz w:val="24"/>
          <w:szCs w:val="24"/>
          <w:lang w:val="es-ES"/>
        </w:rPr>
        <w:t>. M</w:t>
      </w:r>
      <w:r w:rsidR="00471760" w:rsidRPr="00B22CA9">
        <w:rPr>
          <w:rFonts w:ascii="Times New Roman" w:hAnsi="Times New Roman" w:cs="Times New Roman"/>
          <w:sz w:val="24"/>
          <w:szCs w:val="24"/>
          <w:lang w:val="es-ES"/>
        </w:rPr>
        <w:t>ediante e</w:t>
      </w:r>
      <w:r w:rsidR="005B0627" w:rsidRPr="00B22CA9">
        <w:rPr>
          <w:rFonts w:ascii="Times New Roman" w:hAnsi="Times New Roman" w:cs="Times New Roman"/>
          <w:sz w:val="24"/>
          <w:szCs w:val="24"/>
          <w:lang w:val="es-ES"/>
        </w:rPr>
        <w:t>s</w:t>
      </w:r>
      <w:r w:rsidR="00471760" w:rsidRPr="00B22CA9">
        <w:rPr>
          <w:rFonts w:ascii="Times New Roman" w:hAnsi="Times New Roman" w:cs="Times New Roman"/>
          <w:sz w:val="24"/>
          <w:szCs w:val="24"/>
          <w:lang w:val="es-ES"/>
        </w:rPr>
        <w:t>a</w:t>
      </w:r>
      <w:r w:rsidR="005B0627" w:rsidRPr="00B22CA9">
        <w:rPr>
          <w:rFonts w:ascii="Times New Roman" w:hAnsi="Times New Roman" w:cs="Times New Roman"/>
          <w:sz w:val="24"/>
          <w:szCs w:val="24"/>
          <w:lang w:val="es-ES"/>
        </w:rPr>
        <w:t xml:space="preserve"> iniciativa</w:t>
      </w:r>
      <w:r w:rsidR="00471760" w:rsidRPr="00B22CA9">
        <w:rPr>
          <w:rFonts w:ascii="Times New Roman" w:hAnsi="Times New Roman" w:cs="Times New Roman"/>
          <w:sz w:val="24"/>
          <w:szCs w:val="24"/>
          <w:lang w:val="es-ES"/>
        </w:rPr>
        <w:t xml:space="preserve"> realiza</w:t>
      </w:r>
      <w:r w:rsidRPr="00B22CA9">
        <w:rPr>
          <w:rFonts w:ascii="Times New Roman" w:hAnsi="Times New Roman" w:cs="Times New Roman"/>
          <w:sz w:val="24"/>
          <w:szCs w:val="24"/>
          <w:lang w:val="es-ES"/>
        </w:rPr>
        <w:t>, en parte,</w:t>
      </w:r>
      <w:r w:rsidR="00471760" w:rsidRPr="00B22CA9">
        <w:rPr>
          <w:rFonts w:ascii="Times New Roman" w:hAnsi="Times New Roman" w:cs="Times New Roman"/>
          <w:sz w:val="24"/>
          <w:szCs w:val="24"/>
          <w:lang w:val="es-ES"/>
        </w:rPr>
        <w:t xml:space="preserve"> </w:t>
      </w:r>
      <w:r w:rsidR="00315353" w:rsidRPr="00B22CA9">
        <w:rPr>
          <w:rFonts w:ascii="Times New Roman" w:hAnsi="Times New Roman" w:cs="Times New Roman"/>
          <w:sz w:val="24"/>
          <w:szCs w:val="24"/>
          <w:lang w:val="es-ES"/>
        </w:rPr>
        <w:t xml:space="preserve">su misión de </w:t>
      </w:r>
      <w:r w:rsidR="00471760" w:rsidRPr="00B22CA9">
        <w:rPr>
          <w:rFonts w:ascii="Times New Roman" w:hAnsi="Times New Roman" w:cs="Times New Roman"/>
          <w:sz w:val="24"/>
          <w:szCs w:val="24"/>
          <w:lang w:val="es-ES"/>
        </w:rPr>
        <w:t xml:space="preserve">hacer </w:t>
      </w:r>
      <w:r w:rsidR="00315353" w:rsidRPr="00B22CA9">
        <w:rPr>
          <w:rFonts w:ascii="Times New Roman" w:hAnsi="Times New Roman" w:cs="Times New Roman"/>
          <w:sz w:val="24"/>
          <w:szCs w:val="24"/>
          <w:lang w:val="es-ES"/>
        </w:rPr>
        <w:t>respet</w:t>
      </w:r>
      <w:r w:rsidR="00471760" w:rsidRPr="00B22CA9">
        <w:rPr>
          <w:rFonts w:ascii="Times New Roman" w:hAnsi="Times New Roman" w:cs="Times New Roman"/>
          <w:sz w:val="24"/>
          <w:szCs w:val="24"/>
          <w:lang w:val="es-ES"/>
        </w:rPr>
        <w:t>ar</w:t>
      </w:r>
      <w:r w:rsidR="00315353" w:rsidRPr="00B22CA9">
        <w:rPr>
          <w:rFonts w:ascii="Times New Roman" w:hAnsi="Times New Roman" w:cs="Times New Roman"/>
          <w:sz w:val="24"/>
          <w:szCs w:val="24"/>
          <w:lang w:val="es-ES"/>
        </w:rPr>
        <w:t xml:space="preserve"> los Tratados e impuls</w:t>
      </w:r>
      <w:r w:rsidR="00471760" w:rsidRPr="00B22CA9">
        <w:rPr>
          <w:rFonts w:ascii="Times New Roman" w:hAnsi="Times New Roman" w:cs="Times New Roman"/>
          <w:sz w:val="24"/>
          <w:szCs w:val="24"/>
          <w:lang w:val="es-ES"/>
        </w:rPr>
        <w:t>ar</w:t>
      </w:r>
      <w:r w:rsidR="00315353" w:rsidRPr="00B22CA9">
        <w:rPr>
          <w:rFonts w:ascii="Times New Roman" w:hAnsi="Times New Roman" w:cs="Times New Roman"/>
          <w:sz w:val="24"/>
          <w:szCs w:val="24"/>
          <w:lang w:val="es-ES"/>
        </w:rPr>
        <w:t xml:space="preserve"> la integración</w:t>
      </w:r>
      <w:r w:rsidR="00455ED8" w:rsidRPr="00B22CA9">
        <w:rPr>
          <w:rFonts w:ascii="Times New Roman" w:hAnsi="Times New Roman" w:cs="Times New Roman"/>
          <w:sz w:val="24"/>
          <w:szCs w:val="24"/>
          <w:lang w:val="es-ES"/>
        </w:rPr>
        <w:t xml:space="preserve">. </w:t>
      </w:r>
      <w:r w:rsidR="00476F53" w:rsidRPr="00B22CA9">
        <w:rPr>
          <w:rFonts w:ascii="Times New Roman" w:hAnsi="Times New Roman" w:cs="Times New Roman"/>
          <w:sz w:val="24"/>
          <w:szCs w:val="24"/>
          <w:lang w:val="es-ES"/>
        </w:rPr>
        <w:t>E</w:t>
      </w:r>
      <w:r w:rsidR="00455ED8" w:rsidRPr="00B22CA9">
        <w:rPr>
          <w:rFonts w:ascii="Times New Roman" w:hAnsi="Times New Roman" w:cs="Times New Roman"/>
          <w:sz w:val="24"/>
          <w:szCs w:val="24"/>
          <w:lang w:val="es-ES"/>
        </w:rPr>
        <w:t xml:space="preserve">n el incumplimiento el componente político de la controversia es determinante, cosa que no ocurre, </w:t>
      </w:r>
      <w:r w:rsidRPr="00B22CA9">
        <w:rPr>
          <w:rFonts w:ascii="Times New Roman" w:hAnsi="Times New Roman" w:cs="Times New Roman"/>
          <w:sz w:val="24"/>
          <w:szCs w:val="24"/>
          <w:lang w:val="es-ES"/>
        </w:rPr>
        <w:t xml:space="preserve">con </w:t>
      </w:r>
      <w:r w:rsidR="00455ED8" w:rsidRPr="00B22CA9">
        <w:rPr>
          <w:rFonts w:ascii="Times New Roman" w:hAnsi="Times New Roman" w:cs="Times New Roman"/>
          <w:sz w:val="24"/>
          <w:szCs w:val="24"/>
          <w:lang w:val="es-ES"/>
        </w:rPr>
        <w:t>excepciones, en el curso de una remisión prejudicial</w:t>
      </w:r>
      <w:r w:rsidR="00455ED8" w:rsidRPr="00B22CA9">
        <w:rPr>
          <w:rStyle w:val="Refdenotaalpie"/>
          <w:rFonts w:ascii="Times New Roman" w:hAnsi="Times New Roman" w:cs="Times New Roman"/>
          <w:sz w:val="24"/>
          <w:szCs w:val="24"/>
          <w:lang w:val="es-ES"/>
        </w:rPr>
        <w:footnoteReference w:id="42"/>
      </w:r>
      <w:r w:rsidR="00455ED8" w:rsidRPr="00B22CA9">
        <w:rPr>
          <w:rFonts w:ascii="Times New Roman" w:hAnsi="Times New Roman" w:cs="Times New Roman"/>
          <w:sz w:val="24"/>
          <w:szCs w:val="24"/>
          <w:lang w:val="es-ES"/>
        </w:rPr>
        <w:t xml:space="preserve">.  </w:t>
      </w:r>
    </w:p>
    <w:p w:rsidR="00EA1164" w:rsidRPr="00B22CA9" w:rsidRDefault="00315353" w:rsidP="007F11DF">
      <w:pPr>
        <w:spacing w:line="240" w:lineRule="auto"/>
        <w:ind w:firstLine="720"/>
        <w:jc w:val="both"/>
        <w:rPr>
          <w:rFonts w:ascii="Times New Roman" w:hAnsi="Times New Roman" w:cs="Times New Roman"/>
          <w:sz w:val="24"/>
          <w:szCs w:val="24"/>
          <w:lang w:val="es-ES"/>
        </w:rPr>
      </w:pPr>
      <w:r w:rsidRPr="00B22CA9">
        <w:rPr>
          <w:rFonts w:ascii="Times New Roman" w:hAnsi="Times New Roman" w:cs="Times New Roman"/>
          <w:sz w:val="24"/>
          <w:szCs w:val="24"/>
          <w:lang w:val="es-ES"/>
        </w:rPr>
        <w:t>En efecto, e</w:t>
      </w:r>
      <w:r w:rsidR="00D92AEF" w:rsidRPr="00B22CA9">
        <w:rPr>
          <w:rFonts w:ascii="Times New Roman" w:hAnsi="Times New Roman" w:cs="Times New Roman"/>
          <w:sz w:val="24"/>
          <w:szCs w:val="24"/>
          <w:lang w:val="es-ES"/>
        </w:rPr>
        <w:t xml:space="preserve">l procedimiento de incumplimiento </w:t>
      </w:r>
      <w:r w:rsidR="00471760" w:rsidRPr="00B22CA9">
        <w:rPr>
          <w:rFonts w:ascii="Times New Roman" w:hAnsi="Times New Roman" w:cs="Times New Roman"/>
          <w:sz w:val="24"/>
          <w:szCs w:val="24"/>
          <w:lang w:val="es-ES"/>
        </w:rPr>
        <w:t>pone a</w:t>
      </w:r>
      <w:r w:rsidRPr="00B22CA9">
        <w:rPr>
          <w:rFonts w:ascii="Times New Roman" w:hAnsi="Times New Roman" w:cs="Times New Roman"/>
          <w:sz w:val="24"/>
          <w:szCs w:val="24"/>
          <w:lang w:val="es-ES"/>
        </w:rPr>
        <w:t xml:space="preserve"> </w:t>
      </w:r>
      <w:r w:rsidR="00455ED8" w:rsidRPr="00B22CA9">
        <w:rPr>
          <w:rFonts w:ascii="Times New Roman" w:hAnsi="Times New Roman" w:cs="Times New Roman"/>
          <w:sz w:val="24"/>
          <w:szCs w:val="24"/>
          <w:lang w:val="es-ES"/>
        </w:rPr>
        <w:t xml:space="preserve">una </w:t>
      </w:r>
      <w:r w:rsidR="00E32202" w:rsidRPr="00B22CA9">
        <w:rPr>
          <w:rFonts w:ascii="Times New Roman" w:hAnsi="Times New Roman" w:cs="Times New Roman"/>
          <w:sz w:val="24"/>
          <w:szCs w:val="24"/>
          <w:lang w:val="es-ES"/>
        </w:rPr>
        <w:t>i</w:t>
      </w:r>
      <w:r w:rsidR="00455ED8" w:rsidRPr="00B22CA9">
        <w:rPr>
          <w:rFonts w:ascii="Times New Roman" w:hAnsi="Times New Roman" w:cs="Times New Roman"/>
          <w:sz w:val="24"/>
          <w:szCs w:val="24"/>
          <w:lang w:val="es-ES"/>
        </w:rPr>
        <w:t xml:space="preserve">nstitución </w:t>
      </w:r>
      <w:r w:rsidR="00CF4F02" w:rsidRPr="00B22CA9">
        <w:rPr>
          <w:rFonts w:ascii="Times New Roman" w:hAnsi="Times New Roman" w:cs="Times New Roman"/>
          <w:sz w:val="24"/>
          <w:szCs w:val="24"/>
          <w:lang w:val="es-ES"/>
        </w:rPr>
        <w:t>de la Unión</w:t>
      </w:r>
      <w:r w:rsidR="00455ED8" w:rsidRPr="00B22CA9">
        <w:rPr>
          <w:rFonts w:ascii="Times New Roman" w:hAnsi="Times New Roman" w:cs="Times New Roman"/>
          <w:sz w:val="24"/>
          <w:szCs w:val="24"/>
          <w:lang w:val="es-ES"/>
        </w:rPr>
        <w:t xml:space="preserve"> frente a un Estado miembro</w:t>
      </w:r>
      <w:r w:rsidR="00D92AEF" w:rsidRPr="00B22CA9">
        <w:rPr>
          <w:rFonts w:ascii="Times New Roman" w:hAnsi="Times New Roman" w:cs="Times New Roman"/>
          <w:sz w:val="24"/>
          <w:szCs w:val="24"/>
          <w:lang w:val="es-ES"/>
        </w:rPr>
        <w:t xml:space="preserve">. </w:t>
      </w:r>
      <w:r w:rsidR="00CF4F02" w:rsidRPr="00B22CA9">
        <w:rPr>
          <w:rFonts w:ascii="Times New Roman" w:hAnsi="Times New Roman" w:cs="Times New Roman"/>
          <w:sz w:val="24"/>
          <w:szCs w:val="24"/>
          <w:lang w:val="es-ES"/>
        </w:rPr>
        <w:t>Y, como puede intuirse</w:t>
      </w:r>
      <w:r w:rsidR="00010D20" w:rsidRPr="00B22CA9">
        <w:rPr>
          <w:rFonts w:ascii="Times New Roman" w:hAnsi="Times New Roman" w:cs="Times New Roman"/>
          <w:sz w:val="24"/>
          <w:szCs w:val="24"/>
          <w:lang w:val="es-ES"/>
        </w:rPr>
        <w:t>, el proceso</w:t>
      </w:r>
      <w:r w:rsidR="00CF4F02" w:rsidRPr="00B22CA9">
        <w:rPr>
          <w:rFonts w:ascii="Times New Roman" w:hAnsi="Times New Roman" w:cs="Times New Roman"/>
          <w:sz w:val="24"/>
          <w:szCs w:val="24"/>
          <w:lang w:val="es-ES"/>
        </w:rPr>
        <w:t xml:space="preserve"> de incumplimiento</w:t>
      </w:r>
      <w:r w:rsidR="00010D20" w:rsidRPr="00B22CA9">
        <w:rPr>
          <w:rFonts w:ascii="Times New Roman" w:hAnsi="Times New Roman" w:cs="Times New Roman"/>
          <w:sz w:val="24"/>
          <w:szCs w:val="24"/>
          <w:lang w:val="es-ES"/>
        </w:rPr>
        <w:t xml:space="preserve"> no </w:t>
      </w:r>
      <w:r w:rsidR="00CF4F02" w:rsidRPr="00B22CA9">
        <w:rPr>
          <w:rFonts w:ascii="Times New Roman" w:hAnsi="Times New Roman" w:cs="Times New Roman"/>
          <w:sz w:val="24"/>
          <w:szCs w:val="24"/>
          <w:lang w:val="es-ES"/>
        </w:rPr>
        <w:t>funciona sobre la base de</w:t>
      </w:r>
      <w:r w:rsidR="00010D20" w:rsidRPr="00B22CA9">
        <w:rPr>
          <w:rFonts w:ascii="Times New Roman" w:hAnsi="Times New Roman" w:cs="Times New Roman"/>
          <w:sz w:val="24"/>
          <w:szCs w:val="24"/>
          <w:lang w:val="es-ES"/>
        </w:rPr>
        <w:t xml:space="preserve"> </w:t>
      </w:r>
      <w:r w:rsidR="00D92AEF" w:rsidRPr="00B22CA9">
        <w:rPr>
          <w:rFonts w:ascii="Times New Roman" w:hAnsi="Times New Roman" w:cs="Times New Roman"/>
          <w:sz w:val="24"/>
          <w:szCs w:val="24"/>
          <w:lang w:val="es-ES"/>
        </w:rPr>
        <w:t>l</w:t>
      </w:r>
      <w:r w:rsidR="00010D20" w:rsidRPr="00B22CA9">
        <w:rPr>
          <w:rFonts w:ascii="Times New Roman" w:hAnsi="Times New Roman" w:cs="Times New Roman"/>
          <w:sz w:val="24"/>
          <w:szCs w:val="24"/>
          <w:lang w:val="es-ES"/>
        </w:rPr>
        <w:t xml:space="preserve">os equilibrios propios de un </w:t>
      </w:r>
      <w:r w:rsidR="00D92AEF" w:rsidRPr="00B22CA9">
        <w:rPr>
          <w:rFonts w:ascii="Times New Roman" w:hAnsi="Times New Roman" w:cs="Times New Roman"/>
          <w:sz w:val="24"/>
          <w:szCs w:val="24"/>
          <w:lang w:val="es-ES"/>
        </w:rPr>
        <w:t>esquema</w:t>
      </w:r>
      <w:r w:rsidR="00010D20" w:rsidRPr="00B22CA9">
        <w:rPr>
          <w:rFonts w:ascii="Times New Roman" w:hAnsi="Times New Roman" w:cs="Times New Roman"/>
          <w:sz w:val="24"/>
          <w:szCs w:val="24"/>
          <w:lang w:val="es-ES"/>
        </w:rPr>
        <w:t xml:space="preserve"> de separación</w:t>
      </w:r>
      <w:r w:rsidR="00471760" w:rsidRPr="00B22CA9">
        <w:rPr>
          <w:rFonts w:ascii="Times New Roman" w:hAnsi="Times New Roman" w:cs="Times New Roman"/>
          <w:sz w:val="24"/>
          <w:szCs w:val="24"/>
          <w:lang w:val="es-ES"/>
        </w:rPr>
        <w:t xml:space="preserve"> federal</w:t>
      </w:r>
      <w:r w:rsidR="00010D20" w:rsidRPr="00B22CA9">
        <w:rPr>
          <w:rFonts w:ascii="Times New Roman" w:hAnsi="Times New Roman" w:cs="Times New Roman"/>
          <w:sz w:val="24"/>
          <w:szCs w:val="24"/>
          <w:lang w:val="es-ES"/>
        </w:rPr>
        <w:t xml:space="preserve"> de poderes</w:t>
      </w:r>
      <w:r w:rsidR="00CF4F02" w:rsidRPr="00B22CA9">
        <w:rPr>
          <w:rFonts w:ascii="Times New Roman" w:hAnsi="Times New Roman" w:cs="Times New Roman"/>
          <w:sz w:val="24"/>
          <w:szCs w:val="24"/>
          <w:lang w:val="es-ES"/>
        </w:rPr>
        <w:t xml:space="preserve">, </w:t>
      </w:r>
      <w:r w:rsidR="00471760" w:rsidRPr="00B22CA9">
        <w:rPr>
          <w:rFonts w:ascii="Times New Roman" w:hAnsi="Times New Roman" w:cs="Times New Roman"/>
          <w:sz w:val="24"/>
          <w:szCs w:val="24"/>
          <w:lang w:val="es-ES"/>
        </w:rPr>
        <w:t xml:space="preserve">sencillamente porque no </w:t>
      </w:r>
      <w:r w:rsidR="00D92AEF" w:rsidRPr="00B22CA9">
        <w:rPr>
          <w:rFonts w:ascii="Times New Roman" w:hAnsi="Times New Roman" w:cs="Times New Roman"/>
          <w:sz w:val="24"/>
          <w:szCs w:val="24"/>
          <w:lang w:val="es-ES"/>
        </w:rPr>
        <w:t xml:space="preserve">existe separación </w:t>
      </w:r>
      <w:r w:rsidR="00471760" w:rsidRPr="00B22CA9">
        <w:rPr>
          <w:rFonts w:ascii="Times New Roman" w:hAnsi="Times New Roman" w:cs="Times New Roman"/>
          <w:sz w:val="24"/>
          <w:szCs w:val="24"/>
          <w:lang w:val="es-ES"/>
        </w:rPr>
        <w:t xml:space="preserve">federal </w:t>
      </w:r>
      <w:r w:rsidR="00D92AEF" w:rsidRPr="00B22CA9">
        <w:rPr>
          <w:rFonts w:ascii="Times New Roman" w:hAnsi="Times New Roman" w:cs="Times New Roman"/>
          <w:sz w:val="24"/>
          <w:szCs w:val="24"/>
          <w:lang w:val="es-ES"/>
        </w:rPr>
        <w:t>de poderes en el sistema de relación entre Estados y Unión. Existen equilibrios, atribución de facultades</w:t>
      </w:r>
      <w:r w:rsidR="00CF4F02" w:rsidRPr="00B22CA9">
        <w:rPr>
          <w:rFonts w:ascii="Times New Roman" w:hAnsi="Times New Roman" w:cs="Times New Roman"/>
          <w:sz w:val="24"/>
          <w:szCs w:val="24"/>
          <w:lang w:val="es-ES"/>
        </w:rPr>
        <w:t xml:space="preserve"> a la Unión</w:t>
      </w:r>
      <w:r w:rsidR="00D92AEF" w:rsidRPr="00B22CA9">
        <w:rPr>
          <w:rFonts w:ascii="Times New Roman" w:hAnsi="Times New Roman" w:cs="Times New Roman"/>
          <w:sz w:val="24"/>
          <w:szCs w:val="24"/>
          <w:lang w:val="es-ES"/>
        </w:rPr>
        <w:t xml:space="preserve"> y reservas de competencia</w:t>
      </w:r>
      <w:r w:rsidR="00CF4F02" w:rsidRPr="00B22CA9">
        <w:rPr>
          <w:rFonts w:ascii="Times New Roman" w:hAnsi="Times New Roman" w:cs="Times New Roman"/>
          <w:sz w:val="24"/>
          <w:szCs w:val="24"/>
          <w:lang w:val="es-ES"/>
        </w:rPr>
        <w:t xml:space="preserve"> a los Estados,</w:t>
      </w:r>
      <w:r w:rsidR="00D92AEF" w:rsidRPr="00B22CA9">
        <w:rPr>
          <w:rFonts w:ascii="Times New Roman" w:hAnsi="Times New Roman" w:cs="Times New Roman"/>
          <w:sz w:val="24"/>
          <w:szCs w:val="24"/>
          <w:lang w:val="es-ES"/>
        </w:rPr>
        <w:t xml:space="preserve"> trabadas</w:t>
      </w:r>
      <w:r w:rsidR="00CF4F02" w:rsidRPr="00B22CA9">
        <w:rPr>
          <w:rFonts w:ascii="Times New Roman" w:hAnsi="Times New Roman" w:cs="Times New Roman"/>
          <w:sz w:val="24"/>
          <w:szCs w:val="24"/>
          <w:lang w:val="es-ES"/>
        </w:rPr>
        <w:t xml:space="preserve"> estas</w:t>
      </w:r>
      <w:r w:rsidR="00D92AEF" w:rsidRPr="00B22CA9">
        <w:rPr>
          <w:rFonts w:ascii="Times New Roman" w:hAnsi="Times New Roman" w:cs="Times New Roman"/>
          <w:sz w:val="24"/>
          <w:szCs w:val="24"/>
          <w:lang w:val="es-ES"/>
        </w:rPr>
        <w:t xml:space="preserve"> en los diferentes procesos de toma de deci</w:t>
      </w:r>
      <w:r w:rsidR="0054296F" w:rsidRPr="00B22CA9">
        <w:rPr>
          <w:rFonts w:ascii="Times New Roman" w:hAnsi="Times New Roman" w:cs="Times New Roman"/>
          <w:sz w:val="24"/>
          <w:szCs w:val="24"/>
          <w:lang w:val="es-ES"/>
        </w:rPr>
        <w:t>si</w:t>
      </w:r>
      <w:r w:rsidR="00D92AEF" w:rsidRPr="00B22CA9">
        <w:rPr>
          <w:rFonts w:ascii="Times New Roman" w:hAnsi="Times New Roman" w:cs="Times New Roman"/>
          <w:sz w:val="24"/>
          <w:szCs w:val="24"/>
          <w:lang w:val="es-ES"/>
        </w:rPr>
        <w:t>ón</w:t>
      </w:r>
      <w:r w:rsidR="00CF4F02" w:rsidRPr="00B22CA9">
        <w:rPr>
          <w:rFonts w:ascii="Times New Roman" w:hAnsi="Times New Roman" w:cs="Times New Roman"/>
          <w:sz w:val="24"/>
          <w:szCs w:val="24"/>
          <w:lang w:val="es-ES"/>
        </w:rPr>
        <w:t xml:space="preserve"> a través de</w:t>
      </w:r>
      <w:r w:rsidR="00D92AEF" w:rsidRPr="00B22CA9">
        <w:rPr>
          <w:rFonts w:ascii="Times New Roman" w:hAnsi="Times New Roman" w:cs="Times New Roman"/>
          <w:sz w:val="24"/>
          <w:szCs w:val="24"/>
          <w:lang w:val="es-ES"/>
        </w:rPr>
        <w:t xml:space="preserve"> </w:t>
      </w:r>
      <w:r w:rsidR="00CF4F02" w:rsidRPr="00B22CA9">
        <w:rPr>
          <w:rFonts w:ascii="Times New Roman" w:hAnsi="Times New Roman" w:cs="Times New Roman"/>
          <w:sz w:val="24"/>
          <w:szCs w:val="24"/>
          <w:lang w:val="es-ES"/>
        </w:rPr>
        <w:t>técnicas</w:t>
      </w:r>
      <w:r w:rsidR="00A05484" w:rsidRPr="00B22CA9">
        <w:rPr>
          <w:rFonts w:ascii="Times New Roman" w:hAnsi="Times New Roman" w:cs="Times New Roman"/>
          <w:sz w:val="24"/>
          <w:szCs w:val="24"/>
          <w:lang w:val="es-ES"/>
        </w:rPr>
        <w:t xml:space="preserve"> diversas</w:t>
      </w:r>
      <w:r w:rsidR="00CF4F02" w:rsidRPr="00B22CA9">
        <w:rPr>
          <w:rFonts w:ascii="Times New Roman" w:hAnsi="Times New Roman" w:cs="Times New Roman"/>
          <w:sz w:val="24"/>
          <w:szCs w:val="24"/>
          <w:lang w:val="es-ES"/>
        </w:rPr>
        <w:t xml:space="preserve">: </w:t>
      </w:r>
      <w:r w:rsidR="00D92AEF" w:rsidRPr="00B22CA9">
        <w:rPr>
          <w:rFonts w:ascii="Times New Roman" w:hAnsi="Times New Roman" w:cs="Times New Roman"/>
          <w:sz w:val="24"/>
          <w:szCs w:val="24"/>
          <w:lang w:val="es-ES"/>
        </w:rPr>
        <w:t xml:space="preserve">las mayorías </w:t>
      </w:r>
      <w:r w:rsidR="00494E90" w:rsidRPr="00B22CA9">
        <w:rPr>
          <w:rFonts w:ascii="Times New Roman" w:hAnsi="Times New Roman" w:cs="Times New Roman"/>
          <w:sz w:val="24"/>
          <w:szCs w:val="24"/>
          <w:lang w:val="es-ES"/>
        </w:rPr>
        <w:t>reforzadas</w:t>
      </w:r>
      <w:r w:rsidR="00D92AEF" w:rsidRPr="00B22CA9">
        <w:rPr>
          <w:rFonts w:ascii="Times New Roman" w:hAnsi="Times New Roman" w:cs="Times New Roman"/>
          <w:sz w:val="24"/>
          <w:szCs w:val="24"/>
          <w:lang w:val="es-ES"/>
        </w:rPr>
        <w:t xml:space="preserve"> y las minorías de bloqueo en el Consejo</w:t>
      </w:r>
      <w:r w:rsidR="00CF4F02" w:rsidRPr="00B22CA9">
        <w:rPr>
          <w:rFonts w:ascii="Times New Roman" w:hAnsi="Times New Roman" w:cs="Times New Roman"/>
          <w:sz w:val="24"/>
          <w:szCs w:val="24"/>
          <w:lang w:val="es-ES"/>
        </w:rPr>
        <w:t>;</w:t>
      </w:r>
      <w:r w:rsidR="00D92AEF" w:rsidRPr="00B22CA9">
        <w:rPr>
          <w:rFonts w:ascii="Times New Roman" w:hAnsi="Times New Roman" w:cs="Times New Roman"/>
          <w:sz w:val="24"/>
          <w:szCs w:val="24"/>
          <w:lang w:val="es-ES"/>
        </w:rPr>
        <w:t xml:space="preserve"> la participación del Parlamento Europeo en el procedimiento legislativo</w:t>
      </w:r>
      <w:r w:rsidR="00CF4F02" w:rsidRPr="00B22CA9">
        <w:rPr>
          <w:rFonts w:ascii="Times New Roman" w:hAnsi="Times New Roman" w:cs="Times New Roman"/>
          <w:sz w:val="24"/>
          <w:szCs w:val="24"/>
          <w:lang w:val="es-ES"/>
        </w:rPr>
        <w:t>;</w:t>
      </w:r>
      <w:r w:rsidR="00D92AEF" w:rsidRPr="00B22CA9">
        <w:rPr>
          <w:rFonts w:ascii="Times New Roman" w:hAnsi="Times New Roman" w:cs="Times New Roman"/>
          <w:sz w:val="24"/>
          <w:szCs w:val="24"/>
          <w:lang w:val="es-ES"/>
        </w:rPr>
        <w:t xml:space="preserve"> la superposición del Consejo Europeo </w:t>
      </w:r>
      <w:r w:rsidR="00CF4F02" w:rsidRPr="00B22CA9">
        <w:rPr>
          <w:rFonts w:ascii="Times New Roman" w:hAnsi="Times New Roman" w:cs="Times New Roman"/>
          <w:sz w:val="24"/>
          <w:szCs w:val="24"/>
          <w:lang w:val="es-ES"/>
        </w:rPr>
        <w:t xml:space="preserve">y su tutela indirecta de </w:t>
      </w:r>
      <w:r w:rsidR="00D92AEF" w:rsidRPr="00B22CA9">
        <w:rPr>
          <w:rFonts w:ascii="Times New Roman" w:hAnsi="Times New Roman" w:cs="Times New Roman"/>
          <w:sz w:val="24"/>
          <w:szCs w:val="24"/>
          <w:lang w:val="es-ES"/>
        </w:rPr>
        <w:t>la actividad de la Comisión</w:t>
      </w:r>
      <w:r w:rsidR="00CF4F02" w:rsidRPr="00B22CA9">
        <w:rPr>
          <w:rFonts w:ascii="Times New Roman" w:hAnsi="Times New Roman" w:cs="Times New Roman"/>
          <w:sz w:val="24"/>
          <w:szCs w:val="24"/>
          <w:lang w:val="es-ES"/>
        </w:rPr>
        <w:t>;</w:t>
      </w:r>
      <w:r w:rsidR="00D92AEF" w:rsidRPr="00B22CA9">
        <w:rPr>
          <w:rFonts w:ascii="Times New Roman" w:hAnsi="Times New Roman" w:cs="Times New Roman"/>
          <w:sz w:val="24"/>
          <w:szCs w:val="24"/>
          <w:lang w:val="es-ES"/>
        </w:rPr>
        <w:t xml:space="preserve"> y la ac</w:t>
      </w:r>
      <w:r w:rsidR="00CF4F02" w:rsidRPr="00B22CA9">
        <w:rPr>
          <w:rFonts w:ascii="Times New Roman" w:hAnsi="Times New Roman" w:cs="Times New Roman"/>
          <w:sz w:val="24"/>
          <w:szCs w:val="24"/>
          <w:lang w:val="es-ES"/>
        </w:rPr>
        <w:t>ción</w:t>
      </w:r>
      <w:r w:rsidR="00D92AEF" w:rsidRPr="00B22CA9">
        <w:rPr>
          <w:rFonts w:ascii="Times New Roman" w:hAnsi="Times New Roman" w:cs="Times New Roman"/>
          <w:sz w:val="24"/>
          <w:szCs w:val="24"/>
          <w:lang w:val="es-ES"/>
        </w:rPr>
        <w:t xml:space="preserve"> de impulso político y normativo de esta</w:t>
      </w:r>
      <w:r w:rsidR="00010D20" w:rsidRPr="00B22CA9">
        <w:rPr>
          <w:rFonts w:ascii="Times New Roman" w:hAnsi="Times New Roman" w:cs="Times New Roman"/>
          <w:sz w:val="24"/>
          <w:szCs w:val="24"/>
          <w:lang w:val="es-ES"/>
        </w:rPr>
        <w:t xml:space="preserve">. </w:t>
      </w:r>
      <w:r w:rsidR="00CF4F02" w:rsidRPr="00B22CA9">
        <w:rPr>
          <w:rFonts w:ascii="Times New Roman" w:hAnsi="Times New Roman" w:cs="Times New Roman"/>
          <w:sz w:val="24"/>
          <w:szCs w:val="24"/>
          <w:lang w:val="es-ES"/>
        </w:rPr>
        <w:t xml:space="preserve">En tal contexto, una denuncia por infracción de derechos fundamentales no se basa ni en el juego de unas minorías </w:t>
      </w:r>
      <w:r w:rsidR="00010D20" w:rsidRPr="00B22CA9">
        <w:rPr>
          <w:rFonts w:ascii="Times New Roman" w:hAnsi="Times New Roman" w:cs="Times New Roman"/>
          <w:sz w:val="24"/>
          <w:szCs w:val="24"/>
          <w:lang w:val="es-ES"/>
        </w:rPr>
        <w:t xml:space="preserve">defendiendo una comprensión de los derechos frente a mayorías ni </w:t>
      </w:r>
      <w:r w:rsidR="00CF4F02" w:rsidRPr="00B22CA9">
        <w:rPr>
          <w:rFonts w:ascii="Times New Roman" w:hAnsi="Times New Roman" w:cs="Times New Roman"/>
          <w:sz w:val="24"/>
          <w:szCs w:val="24"/>
          <w:lang w:val="es-ES"/>
        </w:rPr>
        <w:t xml:space="preserve">en el </w:t>
      </w:r>
      <w:r w:rsidR="00010D20" w:rsidRPr="00B22CA9">
        <w:rPr>
          <w:rFonts w:ascii="Times New Roman" w:hAnsi="Times New Roman" w:cs="Times New Roman"/>
          <w:sz w:val="24"/>
          <w:szCs w:val="24"/>
          <w:lang w:val="es-ES"/>
        </w:rPr>
        <w:t xml:space="preserve">de un gobierno federal reclamando el respeto a las cláusulas iusfundamentales de la Constitución. Se trata de una institución con una misión específica, la integración, que defiende los derechos fundamentales en la medida en que sirven a esta, </w:t>
      </w:r>
      <w:r w:rsidR="00CF4F02" w:rsidRPr="00B22CA9">
        <w:rPr>
          <w:rFonts w:ascii="Times New Roman" w:hAnsi="Times New Roman" w:cs="Times New Roman"/>
          <w:sz w:val="24"/>
          <w:szCs w:val="24"/>
          <w:lang w:val="es-ES"/>
        </w:rPr>
        <w:t xml:space="preserve">en la medida en que </w:t>
      </w:r>
      <w:r w:rsidR="00010D20" w:rsidRPr="00B22CA9">
        <w:rPr>
          <w:rFonts w:ascii="Times New Roman" w:hAnsi="Times New Roman" w:cs="Times New Roman"/>
          <w:sz w:val="24"/>
          <w:szCs w:val="24"/>
          <w:lang w:val="es-ES"/>
        </w:rPr>
        <w:t xml:space="preserve">están vinculados al ejercicio de competencias atribuidas y </w:t>
      </w:r>
      <w:r w:rsidR="00CF4F02" w:rsidRPr="00B22CA9">
        <w:rPr>
          <w:rFonts w:ascii="Times New Roman" w:hAnsi="Times New Roman" w:cs="Times New Roman"/>
          <w:sz w:val="24"/>
          <w:szCs w:val="24"/>
          <w:lang w:val="es-ES"/>
        </w:rPr>
        <w:t xml:space="preserve">en la medida en que </w:t>
      </w:r>
      <w:r w:rsidR="00010D20" w:rsidRPr="00B22CA9">
        <w:rPr>
          <w:rFonts w:ascii="Times New Roman" w:hAnsi="Times New Roman" w:cs="Times New Roman"/>
          <w:sz w:val="24"/>
          <w:szCs w:val="24"/>
          <w:lang w:val="es-ES"/>
        </w:rPr>
        <w:t>su garantía es fundamental para mantener la cohesión en el espacio constitucional europeo.</w:t>
      </w:r>
      <w:r w:rsidR="0034367F" w:rsidRPr="00B22CA9">
        <w:rPr>
          <w:rFonts w:ascii="Times New Roman" w:hAnsi="Times New Roman" w:cs="Times New Roman"/>
          <w:sz w:val="24"/>
          <w:szCs w:val="24"/>
          <w:lang w:val="es-ES"/>
        </w:rPr>
        <w:t xml:space="preserve"> </w:t>
      </w:r>
    </w:p>
    <w:p w:rsidR="00816958" w:rsidRPr="00B22CA9" w:rsidRDefault="0034367F" w:rsidP="007F11DF">
      <w:pPr>
        <w:spacing w:line="240" w:lineRule="auto"/>
        <w:ind w:firstLine="720"/>
        <w:jc w:val="both"/>
        <w:rPr>
          <w:rFonts w:ascii="Times New Roman" w:hAnsi="Times New Roman" w:cs="Times New Roman"/>
          <w:sz w:val="24"/>
          <w:szCs w:val="24"/>
          <w:lang w:val="es-ES"/>
        </w:rPr>
      </w:pPr>
      <w:r w:rsidRPr="00B22CA9">
        <w:rPr>
          <w:rFonts w:ascii="Times New Roman" w:hAnsi="Times New Roman" w:cs="Times New Roman"/>
          <w:sz w:val="24"/>
          <w:szCs w:val="24"/>
          <w:lang w:val="es-ES"/>
        </w:rPr>
        <w:t xml:space="preserve">Para que el procedimiento de incumplimiento adoptase una caracterización </w:t>
      </w:r>
      <w:r w:rsidR="00EA1164" w:rsidRPr="00B22CA9">
        <w:rPr>
          <w:rFonts w:ascii="Times New Roman" w:hAnsi="Times New Roman" w:cs="Times New Roman"/>
          <w:sz w:val="24"/>
          <w:szCs w:val="24"/>
          <w:lang w:val="es-ES"/>
        </w:rPr>
        <w:t>autónoma</w:t>
      </w:r>
      <w:r w:rsidRPr="00B22CA9">
        <w:rPr>
          <w:rFonts w:ascii="Times New Roman" w:hAnsi="Times New Roman" w:cs="Times New Roman"/>
          <w:sz w:val="24"/>
          <w:szCs w:val="24"/>
          <w:lang w:val="es-ES"/>
        </w:rPr>
        <w:t xml:space="preserve"> como mecanismo de garantía de los derechos fundamentales, habría que </w:t>
      </w:r>
      <w:r w:rsidR="00EA1164" w:rsidRPr="00B22CA9">
        <w:rPr>
          <w:rFonts w:ascii="Times New Roman" w:hAnsi="Times New Roman" w:cs="Times New Roman"/>
          <w:sz w:val="24"/>
          <w:szCs w:val="24"/>
          <w:lang w:val="es-ES"/>
        </w:rPr>
        <w:t>reconsiderar la</w:t>
      </w:r>
      <w:r w:rsidR="00A05484" w:rsidRPr="00B22CA9">
        <w:rPr>
          <w:rFonts w:ascii="Times New Roman" w:hAnsi="Times New Roman" w:cs="Times New Roman"/>
          <w:sz w:val="24"/>
          <w:szCs w:val="24"/>
          <w:lang w:val="es-ES"/>
        </w:rPr>
        <w:t xml:space="preserve"> propia</w:t>
      </w:r>
      <w:r w:rsidRPr="00B22CA9">
        <w:rPr>
          <w:rFonts w:ascii="Times New Roman" w:hAnsi="Times New Roman" w:cs="Times New Roman"/>
          <w:sz w:val="24"/>
          <w:szCs w:val="24"/>
          <w:lang w:val="es-ES"/>
        </w:rPr>
        <w:t xml:space="preserve"> caracte</w:t>
      </w:r>
      <w:r w:rsidR="00A05484" w:rsidRPr="00B22CA9">
        <w:rPr>
          <w:rFonts w:ascii="Times New Roman" w:hAnsi="Times New Roman" w:cs="Times New Roman"/>
          <w:sz w:val="24"/>
          <w:szCs w:val="24"/>
          <w:lang w:val="es-ES"/>
        </w:rPr>
        <w:t>rización de la Comisión,</w:t>
      </w:r>
      <w:r w:rsidRPr="00B22CA9">
        <w:rPr>
          <w:rFonts w:ascii="Times New Roman" w:hAnsi="Times New Roman" w:cs="Times New Roman"/>
          <w:sz w:val="24"/>
          <w:szCs w:val="24"/>
          <w:lang w:val="es-ES"/>
        </w:rPr>
        <w:t xml:space="preserve"> repensar su papel dentro de los equilibrios entre Unión y Estados y entre instituciones</w:t>
      </w:r>
      <w:r w:rsidR="00EA1164" w:rsidRPr="00B22CA9">
        <w:rPr>
          <w:rFonts w:ascii="Times New Roman" w:hAnsi="Times New Roman" w:cs="Times New Roman"/>
          <w:sz w:val="24"/>
          <w:szCs w:val="24"/>
          <w:lang w:val="es-ES"/>
        </w:rPr>
        <w:t>. O bien</w:t>
      </w:r>
      <w:r w:rsidRPr="00B22CA9">
        <w:rPr>
          <w:rFonts w:ascii="Times New Roman" w:hAnsi="Times New Roman" w:cs="Times New Roman"/>
          <w:sz w:val="24"/>
          <w:szCs w:val="24"/>
          <w:lang w:val="es-ES"/>
        </w:rPr>
        <w:t xml:space="preserve"> </w:t>
      </w:r>
      <w:r w:rsidR="00EA1164" w:rsidRPr="00B22CA9">
        <w:rPr>
          <w:rFonts w:ascii="Times New Roman" w:hAnsi="Times New Roman" w:cs="Times New Roman"/>
          <w:sz w:val="24"/>
          <w:szCs w:val="24"/>
          <w:lang w:val="es-ES"/>
        </w:rPr>
        <w:t xml:space="preserve">sería preciso </w:t>
      </w:r>
      <w:r w:rsidRPr="00B22CA9">
        <w:rPr>
          <w:rFonts w:ascii="Times New Roman" w:hAnsi="Times New Roman" w:cs="Times New Roman"/>
          <w:sz w:val="24"/>
          <w:szCs w:val="24"/>
          <w:lang w:val="es-ES"/>
        </w:rPr>
        <w:t>a</w:t>
      </w:r>
      <w:r w:rsidR="00EA1164" w:rsidRPr="00B22CA9">
        <w:rPr>
          <w:rFonts w:ascii="Times New Roman" w:hAnsi="Times New Roman" w:cs="Times New Roman"/>
          <w:sz w:val="24"/>
          <w:szCs w:val="24"/>
          <w:lang w:val="es-ES"/>
        </w:rPr>
        <w:t>mpliar</w:t>
      </w:r>
      <w:r w:rsidRPr="00B22CA9">
        <w:rPr>
          <w:rFonts w:ascii="Times New Roman" w:hAnsi="Times New Roman" w:cs="Times New Roman"/>
          <w:sz w:val="24"/>
          <w:szCs w:val="24"/>
          <w:lang w:val="es-ES"/>
        </w:rPr>
        <w:t xml:space="preserve"> la legitimación activa </w:t>
      </w:r>
      <w:r w:rsidR="00EA1164" w:rsidRPr="00B22CA9">
        <w:rPr>
          <w:rFonts w:ascii="Times New Roman" w:hAnsi="Times New Roman" w:cs="Times New Roman"/>
          <w:sz w:val="24"/>
          <w:szCs w:val="24"/>
          <w:lang w:val="es-ES"/>
        </w:rPr>
        <w:t xml:space="preserve">para impulsar una demanda por incumplimiento </w:t>
      </w:r>
      <w:r w:rsidRPr="00B22CA9">
        <w:rPr>
          <w:rFonts w:ascii="Times New Roman" w:hAnsi="Times New Roman" w:cs="Times New Roman"/>
          <w:sz w:val="24"/>
          <w:szCs w:val="24"/>
          <w:lang w:val="es-ES"/>
        </w:rPr>
        <w:t>a otro tipo de actores</w:t>
      </w:r>
      <w:r w:rsidR="00EA1164" w:rsidRPr="00B22CA9">
        <w:rPr>
          <w:rFonts w:ascii="Times New Roman" w:hAnsi="Times New Roman" w:cs="Times New Roman"/>
          <w:sz w:val="24"/>
          <w:szCs w:val="24"/>
          <w:lang w:val="es-ES"/>
        </w:rPr>
        <w:t xml:space="preserve">, </w:t>
      </w:r>
      <w:r w:rsidR="00A05484" w:rsidRPr="00B22CA9">
        <w:rPr>
          <w:rFonts w:ascii="Times New Roman" w:hAnsi="Times New Roman" w:cs="Times New Roman"/>
          <w:sz w:val="24"/>
          <w:szCs w:val="24"/>
          <w:lang w:val="es-ES"/>
        </w:rPr>
        <w:t>superando</w:t>
      </w:r>
      <w:r w:rsidR="00EA1164" w:rsidRPr="00B22CA9">
        <w:rPr>
          <w:rFonts w:ascii="Times New Roman" w:hAnsi="Times New Roman" w:cs="Times New Roman"/>
          <w:sz w:val="24"/>
          <w:szCs w:val="24"/>
          <w:lang w:val="es-ES"/>
        </w:rPr>
        <w:t xml:space="preserve"> los problemas técnicos que esto conllevaría en relación con la fase precontenciosa. </w:t>
      </w:r>
      <w:r w:rsidR="00A05484" w:rsidRPr="00B22CA9">
        <w:rPr>
          <w:rFonts w:ascii="Times New Roman" w:hAnsi="Times New Roman" w:cs="Times New Roman"/>
          <w:sz w:val="24"/>
          <w:szCs w:val="24"/>
          <w:lang w:val="es-ES"/>
        </w:rPr>
        <w:t>A</w:t>
      </w:r>
      <w:r w:rsidR="00515CE5" w:rsidRPr="00B22CA9">
        <w:rPr>
          <w:rFonts w:ascii="Times New Roman" w:hAnsi="Times New Roman" w:cs="Times New Roman"/>
          <w:sz w:val="24"/>
          <w:szCs w:val="24"/>
          <w:lang w:val="es-ES"/>
        </w:rPr>
        <w:t>mb</w:t>
      </w:r>
      <w:r w:rsidR="00EA1164" w:rsidRPr="00B22CA9">
        <w:rPr>
          <w:rFonts w:ascii="Times New Roman" w:hAnsi="Times New Roman" w:cs="Times New Roman"/>
          <w:sz w:val="24"/>
          <w:szCs w:val="24"/>
          <w:lang w:val="es-ES"/>
        </w:rPr>
        <w:t>o</w:t>
      </w:r>
      <w:r w:rsidR="00515CE5" w:rsidRPr="00B22CA9">
        <w:rPr>
          <w:rFonts w:ascii="Times New Roman" w:hAnsi="Times New Roman" w:cs="Times New Roman"/>
          <w:sz w:val="24"/>
          <w:szCs w:val="24"/>
          <w:lang w:val="es-ES"/>
        </w:rPr>
        <w:t>s c</w:t>
      </w:r>
      <w:r w:rsidR="00EA1164" w:rsidRPr="00B22CA9">
        <w:rPr>
          <w:rFonts w:ascii="Times New Roman" w:hAnsi="Times New Roman" w:cs="Times New Roman"/>
          <w:sz w:val="24"/>
          <w:szCs w:val="24"/>
          <w:lang w:val="es-ES"/>
        </w:rPr>
        <w:t>ambios</w:t>
      </w:r>
      <w:r w:rsidR="00515CE5" w:rsidRPr="00B22CA9">
        <w:rPr>
          <w:rFonts w:ascii="Times New Roman" w:hAnsi="Times New Roman" w:cs="Times New Roman"/>
          <w:sz w:val="24"/>
          <w:szCs w:val="24"/>
          <w:lang w:val="es-ES"/>
        </w:rPr>
        <w:t xml:space="preserve"> a la vez</w:t>
      </w:r>
      <w:r w:rsidR="00A05484" w:rsidRPr="00B22CA9">
        <w:rPr>
          <w:rFonts w:ascii="Times New Roman" w:hAnsi="Times New Roman" w:cs="Times New Roman"/>
          <w:sz w:val="24"/>
          <w:szCs w:val="24"/>
          <w:lang w:val="es-ES"/>
        </w:rPr>
        <w:t xml:space="preserve"> sería la tercera propuesta</w:t>
      </w:r>
      <w:r w:rsidR="00515CE5" w:rsidRPr="00B22CA9">
        <w:rPr>
          <w:rFonts w:ascii="Times New Roman" w:hAnsi="Times New Roman" w:cs="Times New Roman"/>
          <w:sz w:val="24"/>
          <w:szCs w:val="24"/>
          <w:lang w:val="es-ES"/>
        </w:rPr>
        <w:t xml:space="preserve">. La apertura a otros actores podría concretarse en </w:t>
      </w:r>
      <w:r w:rsidR="00DE264C" w:rsidRPr="00B22CA9">
        <w:rPr>
          <w:rFonts w:ascii="Times New Roman" w:hAnsi="Times New Roman" w:cs="Times New Roman"/>
          <w:sz w:val="24"/>
          <w:szCs w:val="24"/>
          <w:lang w:val="es-ES"/>
        </w:rPr>
        <w:t>algún</w:t>
      </w:r>
      <w:r w:rsidR="00515CE5" w:rsidRPr="00B22CA9">
        <w:rPr>
          <w:rFonts w:ascii="Times New Roman" w:hAnsi="Times New Roman" w:cs="Times New Roman"/>
          <w:sz w:val="24"/>
          <w:szCs w:val="24"/>
          <w:lang w:val="es-ES"/>
        </w:rPr>
        <w:t xml:space="preserve"> órgano constitucional, como </w:t>
      </w:r>
      <w:r w:rsidR="00EA1164" w:rsidRPr="00B22CA9">
        <w:rPr>
          <w:rFonts w:ascii="Times New Roman" w:hAnsi="Times New Roman" w:cs="Times New Roman"/>
          <w:sz w:val="24"/>
          <w:szCs w:val="24"/>
          <w:lang w:val="es-ES"/>
        </w:rPr>
        <w:t>una</w:t>
      </w:r>
      <w:r w:rsidR="00515CE5" w:rsidRPr="00B22CA9">
        <w:rPr>
          <w:rFonts w:ascii="Times New Roman" w:hAnsi="Times New Roman" w:cs="Times New Roman"/>
          <w:sz w:val="24"/>
          <w:szCs w:val="24"/>
          <w:lang w:val="es-ES"/>
        </w:rPr>
        <w:t xml:space="preserve"> defensoría del pueblo</w:t>
      </w:r>
      <w:r w:rsidR="00EA1164" w:rsidRPr="00B22CA9">
        <w:rPr>
          <w:rFonts w:ascii="Times New Roman" w:hAnsi="Times New Roman" w:cs="Times New Roman"/>
          <w:sz w:val="24"/>
          <w:szCs w:val="24"/>
          <w:lang w:val="es-ES"/>
        </w:rPr>
        <w:t xml:space="preserve"> fuerte</w:t>
      </w:r>
      <w:r w:rsidR="00515CE5" w:rsidRPr="00B22CA9">
        <w:rPr>
          <w:rFonts w:ascii="Times New Roman" w:hAnsi="Times New Roman" w:cs="Times New Roman"/>
          <w:sz w:val="24"/>
          <w:szCs w:val="24"/>
          <w:lang w:val="es-ES"/>
        </w:rPr>
        <w:t>, o, un ideal difícil de instrumentalizar, en los particulares como verdaderos titulares de los derechos</w:t>
      </w:r>
      <w:r w:rsidR="000C7D04" w:rsidRPr="00B22CA9">
        <w:rPr>
          <w:rStyle w:val="Refdenotaalpie"/>
          <w:rFonts w:ascii="Times New Roman" w:hAnsi="Times New Roman" w:cs="Times New Roman"/>
          <w:sz w:val="24"/>
          <w:szCs w:val="24"/>
          <w:lang w:val="es-ES"/>
        </w:rPr>
        <w:footnoteReference w:id="43"/>
      </w:r>
      <w:r w:rsidRPr="00B22CA9">
        <w:rPr>
          <w:rFonts w:ascii="Times New Roman" w:hAnsi="Times New Roman" w:cs="Times New Roman"/>
          <w:sz w:val="24"/>
          <w:szCs w:val="24"/>
          <w:lang w:val="es-ES"/>
        </w:rPr>
        <w:t>.</w:t>
      </w:r>
      <w:r w:rsidR="00010D20" w:rsidRPr="00B22CA9">
        <w:rPr>
          <w:rFonts w:ascii="Times New Roman" w:hAnsi="Times New Roman" w:cs="Times New Roman"/>
          <w:sz w:val="24"/>
          <w:szCs w:val="24"/>
          <w:lang w:val="es-ES"/>
        </w:rPr>
        <w:t xml:space="preserve">   </w:t>
      </w:r>
    </w:p>
    <w:p w:rsidR="00816958" w:rsidRPr="00B22CA9" w:rsidRDefault="00A05484" w:rsidP="007F11DF">
      <w:pPr>
        <w:spacing w:line="240" w:lineRule="auto"/>
        <w:ind w:firstLine="720"/>
        <w:jc w:val="both"/>
        <w:rPr>
          <w:rFonts w:ascii="Times New Roman" w:hAnsi="Times New Roman" w:cs="Times New Roman"/>
          <w:sz w:val="24"/>
          <w:szCs w:val="24"/>
          <w:lang w:val="es-ES"/>
        </w:rPr>
      </w:pPr>
      <w:r w:rsidRPr="00B22CA9">
        <w:rPr>
          <w:rFonts w:ascii="Times New Roman" w:hAnsi="Times New Roman" w:cs="Times New Roman"/>
          <w:sz w:val="24"/>
          <w:szCs w:val="24"/>
          <w:lang w:val="es-ES"/>
        </w:rPr>
        <w:t>O</w:t>
      </w:r>
      <w:r w:rsidR="00DC4E47" w:rsidRPr="00B22CA9">
        <w:rPr>
          <w:rFonts w:ascii="Times New Roman" w:hAnsi="Times New Roman" w:cs="Times New Roman"/>
          <w:sz w:val="24"/>
          <w:szCs w:val="24"/>
          <w:lang w:val="es-ES"/>
        </w:rPr>
        <w:t>tras</w:t>
      </w:r>
      <w:r w:rsidR="00D92AEF" w:rsidRPr="00B22CA9">
        <w:rPr>
          <w:rFonts w:ascii="Times New Roman" w:hAnsi="Times New Roman" w:cs="Times New Roman"/>
          <w:sz w:val="24"/>
          <w:szCs w:val="24"/>
          <w:lang w:val="es-ES"/>
        </w:rPr>
        <w:t xml:space="preserve"> peculiaridad</w:t>
      </w:r>
      <w:r w:rsidR="00DC4E47" w:rsidRPr="00B22CA9">
        <w:rPr>
          <w:rFonts w:ascii="Times New Roman" w:hAnsi="Times New Roman" w:cs="Times New Roman"/>
          <w:sz w:val="24"/>
          <w:szCs w:val="24"/>
          <w:lang w:val="es-ES"/>
        </w:rPr>
        <w:t>es</w:t>
      </w:r>
      <w:r w:rsidR="00EA1164" w:rsidRPr="00B22CA9">
        <w:rPr>
          <w:rFonts w:ascii="Times New Roman" w:hAnsi="Times New Roman" w:cs="Times New Roman"/>
          <w:sz w:val="24"/>
          <w:szCs w:val="24"/>
          <w:lang w:val="es-ES"/>
        </w:rPr>
        <w:t xml:space="preserve"> del procedimiento por incumplimiento</w:t>
      </w:r>
      <w:r w:rsidR="00DC4E47" w:rsidRPr="00B22CA9">
        <w:rPr>
          <w:rFonts w:ascii="Times New Roman" w:hAnsi="Times New Roman" w:cs="Times New Roman"/>
          <w:sz w:val="24"/>
          <w:szCs w:val="24"/>
          <w:lang w:val="es-ES"/>
        </w:rPr>
        <w:t xml:space="preserve"> </w:t>
      </w:r>
      <w:r w:rsidRPr="00B22CA9">
        <w:rPr>
          <w:rFonts w:ascii="Times New Roman" w:hAnsi="Times New Roman" w:cs="Times New Roman"/>
          <w:sz w:val="24"/>
          <w:szCs w:val="24"/>
          <w:lang w:val="es-ES"/>
        </w:rPr>
        <w:t>también lastran</w:t>
      </w:r>
      <w:r w:rsidR="00DC4E47" w:rsidRPr="00B22CA9">
        <w:rPr>
          <w:rFonts w:ascii="Times New Roman" w:hAnsi="Times New Roman" w:cs="Times New Roman"/>
          <w:sz w:val="24"/>
          <w:szCs w:val="24"/>
          <w:lang w:val="es-ES"/>
        </w:rPr>
        <w:t xml:space="preserve"> su instrumentalización para dar garantía a los derechos. En</w:t>
      </w:r>
      <w:r w:rsidR="00D92AEF" w:rsidRPr="00B22CA9">
        <w:rPr>
          <w:rFonts w:ascii="Times New Roman" w:hAnsi="Times New Roman" w:cs="Times New Roman"/>
          <w:sz w:val="24"/>
          <w:szCs w:val="24"/>
          <w:lang w:val="es-ES"/>
        </w:rPr>
        <w:t xml:space="preserve"> relación con la </w:t>
      </w:r>
      <w:r w:rsidR="00EA1164" w:rsidRPr="00B22CA9">
        <w:rPr>
          <w:rFonts w:ascii="Times New Roman" w:hAnsi="Times New Roman" w:cs="Times New Roman"/>
          <w:sz w:val="24"/>
          <w:szCs w:val="24"/>
          <w:lang w:val="es-ES"/>
        </w:rPr>
        <w:t>dimensión política</w:t>
      </w:r>
      <w:r w:rsidR="00D92AEF" w:rsidRPr="00B22CA9">
        <w:rPr>
          <w:rFonts w:ascii="Times New Roman" w:hAnsi="Times New Roman" w:cs="Times New Roman"/>
          <w:sz w:val="24"/>
          <w:szCs w:val="24"/>
          <w:lang w:val="es-ES"/>
        </w:rPr>
        <w:t xml:space="preserve"> y con la práctica del </w:t>
      </w:r>
      <w:r w:rsidR="00EA1164" w:rsidRPr="00B22CA9">
        <w:rPr>
          <w:rFonts w:ascii="Times New Roman" w:hAnsi="Times New Roman" w:cs="Times New Roman"/>
          <w:sz w:val="24"/>
          <w:szCs w:val="24"/>
          <w:lang w:val="es-ES"/>
        </w:rPr>
        <w:t>mismo</w:t>
      </w:r>
      <w:r w:rsidR="00DC4E47" w:rsidRPr="00B22CA9">
        <w:rPr>
          <w:rFonts w:ascii="Times New Roman" w:hAnsi="Times New Roman" w:cs="Times New Roman"/>
          <w:sz w:val="24"/>
          <w:szCs w:val="24"/>
          <w:lang w:val="es-ES"/>
        </w:rPr>
        <w:t xml:space="preserve">, </w:t>
      </w:r>
      <w:r w:rsidR="00EA1164" w:rsidRPr="00B22CA9">
        <w:rPr>
          <w:rFonts w:ascii="Times New Roman" w:hAnsi="Times New Roman" w:cs="Times New Roman"/>
          <w:sz w:val="24"/>
          <w:szCs w:val="24"/>
          <w:lang w:val="es-ES"/>
        </w:rPr>
        <w:t>la</w:t>
      </w:r>
      <w:r w:rsidR="00D92AEF" w:rsidRPr="00B22CA9">
        <w:rPr>
          <w:rFonts w:ascii="Times New Roman" w:hAnsi="Times New Roman" w:cs="Times New Roman"/>
          <w:sz w:val="24"/>
          <w:szCs w:val="24"/>
          <w:lang w:val="es-ES"/>
        </w:rPr>
        <w:t xml:space="preserve"> d</w:t>
      </w:r>
      <w:r w:rsidR="00816958" w:rsidRPr="00B22CA9">
        <w:rPr>
          <w:rFonts w:ascii="Times New Roman" w:hAnsi="Times New Roman" w:cs="Times New Roman"/>
          <w:sz w:val="24"/>
          <w:szCs w:val="24"/>
          <w:lang w:val="es-ES"/>
        </w:rPr>
        <w:t>iscrecionalidad de la</w:t>
      </w:r>
      <w:r w:rsidR="00EA1164" w:rsidRPr="00B22CA9">
        <w:rPr>
          <w:rFonts w:ascii="Times New Roman" w:hAnsi="Times New Roman" w:cs="Times New Roman"/>
          <w:sz w:val="24"/>
          <w:szCs w:val="24"/>
          <w:lang w:val="es-ES"/>
        </w:rPr>
        <w:t xml:space="preserve"> que goza la</w:t>
      </w:r>
      <w:r w:rsidR="00816958" w:rsidRPr="00B22CA9">
        <w:rPr>
          <w:rFonts w:ascii="Times New Roman" w:hAnsi="Times New Roman" w:cs="Times New Roman"/>
          <w:sz w:val="24"/>
          <w:szCs w:val="24"/>
          <w:lang w:val="es-ES"/>
        </w:rPr>
        <w:t xml:space="preserve"> Comisión</w:t>
      </w:r>
      <w:r w:rsidR="00D92AEF" w:rsidRPr="00B22CA9">
        <w:rPr>
          <w:rFonts w:ascii="Times New Roman" w:hAnsi="Times New Roman" w:cs="Times New Roman"/>
          <w:sz w:val="24"/>
          <w:szCs w:val="24"/>
          <w:lang w:val="es-ES"/>
        </w:rPr>
        <w:t xml:space="preserve"> a la hora de perseguir dete</w:t>
      </w:r>
      <w:r w:rsidR="00EA6435" w:rsidRPr="00B22CA9">
        <w:rPr>
          <w:rFonts w:ascii="Times New Roman" w:hAnsi="Times New Roman" w:cs="Times New Roman"/>
          <w:sz w:val="24"/>
          <w:szCs w:val="24"/>
          <w:lang w:val="es-ES"/>
        </w:rPr>
        <w:t>rminadas infracciones de d</w:t>
      </w:r>
      <w:r w:rsidR="00D92AEF" w:rsidRPr="00B22CA9">
        <w:rPr>
          <w:rFonts w:ascii="Times New Roman" w:hAnsi="Times New Roman" w:cs="Times New Roman"/>
          <w:sz w:val="24"/>
          <w:szCs w:val="24"/>
          <w:lang w:val="es-ES"/>
        </w:rPr>
        <w:t>erecho de la Unión</w:t>
      </w:r>
      <w:r w:rsidR="00DC4E47" w:rsidRPr="00B22CA9">
        <w:rPr>
          <w:rFonts w:ascii="Times New Roman" w:hAnsi="Times New Roman" w:cs="Times New Roman"/>
          <w:sz w:val="24"/>
          <w:szCs w:val="24"/>
          <w:lang w:val="es-ES"/>
        </w:rPr>
        <w:t xml:space="preserve"> es un efectivo demérito</w:t>
      </w:r>
      <w:r w:rsidR="00EA1164" w:rsidRPr="00B22CA9">
        <w:rPr>
          <w:rFonts w:ascii="Times New Roman" w:hAnsi="Times New Roman" w:cs="Times New Roman"/>
          <w:sz w:val="24"/>
          <w:szCs w:val="24"/>
          <w:lang w:val="es-ES"/>
        </w:rPr>
        <w:t>. Resulta evidente que la idea de discrecionalidad</w:t>
      </w:r>
      <w:r w:rsidR="00D92AEF" w:rsidRPr="00B22CA9">
        <w:rPr>
          <w:rFonts w:ascii="Times New Roman" w:hAnsi="Times New Roman" w:cs="Times New Roman"/>
          <w:sz w:val="24"/>
          <w:szCs w:val="24"/>
          <w:lang w:val="es-ES"/>
        </w:rPr>
        <w:t xml:space="preserve"> no </w:t>
      </w:r>
      <w:r w:rsidR="006553BC" w:rsidRPr="00B22CA9">
        <w:rPr>
          <w:rFonts w:ascii="Times New Roman" w:hAnsi="Times New Roman" w:cs="Times New Roman"/>
          <w:sz w:val="24"/>
          <w:szCs w:val="24"/>
          <w:lang w:val="es-ES"/>
        </w:rPr>
        <w:t xml:space="preserve">ofrece garantía </w:t>
      </w:r>
      <w:r w:rsidR="00EA1164" w:rsidRPr="00B22CA9">
        <w:rPr>
          <w:rFonts w:ascii="Times New Roman" w:hAnsi="Times New Roman" w:cs="Times New Roman"/>
          <w:sz w:val="24"/>
          <w:szCs w:val="24"/>
          <w:lang w:val="es-ES"/>
        </w:rPr>
        <w:t>alguna para</w:t>
      </w:r>
      <w:r w:rsidR="006861DD" w:rsidRPr="00B22CA9">
        <w:rPr>
          <w:rFonts w:ascii="Times New Roman" w:hAnsi="Times New Roman" w:cs="Times New Roman"/>
          <w:sz w:val="24"/>
          <w:szCs w:val="24"/>
          <w:lang w:val="es-ES"/>
        </w:rPr>
        <w:t xml:space="preserve"> la efectiva</w:t>
      </w:r>
      <w:r w:rsidR="006553BC" w:rsidRPr="00B22CA9">
        <w:rPr>
          <w:rFonts w:ascii="Times New Roman" w:hAnsi="Times New Roman" w:cs="Times New Roman"/>
          <w:sz w:val="24"/>
          <w:szCs w:val="24"/>
          <w:lang w:val="es-ES"/>
        </w:rPr>
        <w:t xml:space="preserve"> defensa de los derechos fundamentales </w:t>
      </w:r>
      <w:r w:rsidR="006F18E8" w:rsidRPr="00B22CA9">
        <w:rPr>
          <w:rFonts w:ascii="Times New Roman" w:hAnsi="Times New Roman" w:cs="Times New Roman"/>
          <w:sz w:val="24"/>
          <w:szCs w:val="24"/>
          <w:lang w:val="es-ES"/>
        </w:rPr>
        <w:t>de la Unión</w:t>
      </w:r>
      <w:r w:rsidR="006861DD" w:rsidRPr="00B22CA9">
        <w:rPr>
          <w:rFonts w:ascii="Times New Roman" w:hAnsi="Times New Roman" w:cs="Times New Roman"/>
          <w:sz w:val="24"/>
          <w:szCs w:val="24"/>
          <w:lang w:val="es-ES"/>
        </w:rPr>
        <w:t>,</w:t>
      </w:r>
      <w:r w:rsidR="006F18E8" w:rsidRPr="00B22CA9">
        <w:rPr>
          <w:rFonts w:ascii="Times New Roman" w:hAnsi="Times New Roman" w:cs="Times New Roman"/>
          <w:sz w:val="24"/>
          <w:szCs w:val="24"/>
          <w:lang w:val="es-ES"/>
        </w:rPr>
        <w:t xml:space="preserve"> </w:t>
      </w:r>
      <w:r w:rsidR="006553BC" w:rsidRPr="00B22CA9">
        <w:rPr>
          <w:rFonts w:ascii="Times New Roman" w:hAnsi="Times New Roman" w:cs="Times New Roman"/>
          <w:sz w:val="24"/>
          <w:szCs w:val="24"/>
          <w:lang w:val="es-ES"/>
        </w:rPr>
        <w:t>en caso de infracción</w:t>
      </w:r>
      <w:r w:rsidR="006F18E8" w:rsidRPr="00B22CA9">
        <w:rPr>
          <w:rFonts w:ascii="Times New Roman" w:hAnsi="Times New Roman" w:cs="Times New Roman"/>
          <w:sz w:val="24"/>
          <w:szCs w:val="24"/>
          <w:lang w:val="es-ES"/>
        </w:rPr>
        <w:t xml:space="preserve"> de los mismos</w:t>
      </w:r>
      <w:r w:rsidR="006553BC" w:rsidRPr="00B22CA9">
        <w:rPr>
          <w:rFonts w:ascii="Times New Roman" w:hAnsi="Times New Roman" w:cs="Times New Roman"/>
          <w:sz w:val="24"/>
          <w:szCs w:val="24"/>
          <w:lang w:val="es-ES"/>
        </w:rPr>
        <w:t xml:space="preserve"> en un Estado miembro</w:t>
      </w:r>
      <w:r w:rsidR="00EA1164" w:rsidRPr="00B22CA9">
        <w:rPr>
          <w:rFonts w:ascii="Times New Roman" w:hAnsi="Times New Roman" w:cs="Times New Roman"/>
          <w:sz w:val="24"/>
          <w:szCs w:val="24"/>
          <w:lang w:val="es-ES"/>
        </w:rPr>
        <w:t>, y casi resulta contradictoria con ella</w:t>
      </w:r>
      <w:r w:rsidR="00816958" w:rsidRPr="00B22CA9">
        <w:rPr>
          <w:rFonts w:ascii="Times New Roman" w:hAnsi="Times New Roman" w:cs="Times New Roman"/>
          <w:sz w:val="24"/>
          <w:szCs w:val="24"/>
          <w:lang w:val="es-ES"/>
        </w:rPr>
        <w:t>.</w:t>
      </w:r>
      <w:r w:rsidR="0048661D" w:rsidRPr="00B22CA9">
        <w:rPr>
          <w:rFonts w:ascii="Times New Roman" w:hAnsi="Times New Roman" w:cs="Times New Roman"/>
          <w:sz w:val="24"/>
          <w:szCs w:val="24"/>
          <w:lang w:val="es-ES"/>
        </w:rPr>
        <w:t xml:space="preserve"> </w:t>
      </w:r>
      <w:r w:rsidR="00EA1164" w:rsidRPr="00B22CA9">
        <w:rPr>
          <w:rFonts w:ascii="Times New Roman" w:hAnsi="Times New Roman" w:cs="Times New Roman"/>
          <w:sz w:val="24"/>
          <w:szCs w:val="24"/>
          <w:lang w:val="es-ES"/>
        </w:rPr>
        <w:t>Si e</w:t>
      </w:r>
      <w:r w:rsidR="0048661D" w:rsidRPr="00B22CA9">
        <w:rPr>
          <w:rFonts w:ascii="Times New Roman" w:hAnsi="Times New Roman" w:cs="Times New Roman"/>
          <w:sz w:val="24"/>
          <w:szCs w:val="24"/>
          <w:lang w:val="es-ES"/>
        </w:rPr>
        <w:t>s</w:t>
      </w:r>
      <w:r w:rsidR="007176C0" w:rsidRPr="00B22CA9">
        <w:rPr>
          <w:rFonts w:ascii="Times New Roman" w:hAnsi="Times New Roman" w:cs="Times New Roman"/>
          <w:sz w:val="24"/>
          <w:szCs w:val="24"/>
          <w:lang w:val="es-ES"/>
        </w:rPr>
        <w:t>a defensa se ha</w:t>
      </w:r>
      <w:r w:rsidR="00EA1164" w:rsidRPr="00B22CA9">
        <w:rPr>
          <w:rFonts w:ascii="Times New Roman" w:hAnsi="Times New Roman" w:cs="Times New Roman"/>
          <w:sz w:val="24"/>
          <w:szCs w:val="24"/>
          <w:lang w:val="es-ES"/>
        </w:rPr>
        <w:t>ce o no</w:t>
      </w:r>
      <w:r w:rsidR="007176C0" w:rsidRPr="00B22CA9">
        <w:rPr>
          <w:rFonts w:ascii="Times New Roman" w:hAnsi="Times New Roman" w:cs="Times New Roman"/>
          <w:sz w:val="24"/>
          <w:szCs w:val="24"/>
          <w:lang w:val="es-ES"/>
        </w:rPr>
        <w:t xml:space="preserve"> dependiendo de apreciaciones de la </w:t>
      </w:r>
      <w:r w:rsidR="007176C0" w:rsidRPr="00B22CA9">
        <w:rPr>
          <w:rFonts w:ascii="Times New Roman" w:hAnsi="Times New Roman" w:cs="Times New Roman"/>
          <w:sz w:val="24"/>
          <w:szCs w:val="24"/>
          <w:lang w:val="es-ES"/>
        </w:rPr>
        <w:lastRenderedPageBreak/>
        <w:t>Comisión</w:t>
      </w:r>
      <w:r w:rsidR="00EA1164" w:rsidRPr="00B22CA9">
        <w:rPr>
          <w:rFonts w:ascii="Times New Roman" w:hAnsi="Times New Roman" w:cs="Times New Roman"/>
          <w:sz w:val="24"/>
          <w:szCs w:val="24"/>
          <w:lang w:val="es-ES"/>
        </w:rPr>
        <w:t>, los derechos fundamentales pueden ser una moneda de cambio. A</w:t>
      </w:r>
      <w:r w:rsidR="007176C0" w:rsidRPr="00B22CA9">
        <w:rPr>
          <w:rFonts w:ascii="Times New Roman" w:hAnsi="Times New Roman" w:cs="Times New Roman"/>
          <w:sz w:val="24"/>
          <w:szCs w:val="24"/>
          <w:lang w:val="es-ES"/>
        </w:rPr>
        <w:t xml:space="preserve"> excepción de las cuestiones técnicas relacionadas con la transposición de directivas</w:t>
      </w:r>
      <w:r w:rsidR="00EA1164" w:rsidRPr="00B22CA9">
        <w:rPr>
          <w:rFonts w:ascii="Times New Roman" w:hAnsi="Times New Roman" w:cs="Times New Roman"/>
          <w:sz w:val="24"/>
          <w:szCs w:val="24"/>
          <w:lang w:val="es-ES"/>
        </w:rPr>
        <w:t>, cuestiones</w:t>
      </w:r>
      <w:r w:rsidR="006F18E8" w:rsidRPr="00B22CA9">
        <w:rPr>
          <w:rFonts w:ascii="Times New Roman" w:hAnsi="Times New Roman" w:cs="Times New Roman"/>
          <w:sz w:val="24"/>
          <w:szCs w:val="24"/>
          <w:lang w:val="es-ES"/>
        </w:rPr>
        <w:t xml:space="preserve"> que sean obvias como los plazos</w:t>
      </w:r>
      <w:r w:rsidR="007176C0" w:rsidRPr="00B22CA9">
        <w:rPr>
          <w:rFonts w:ascii="Times New Roman" w:hAnsi="Times New Roman" w:cs="Times New Roman"/>
          <w:sz w:val="24"/>
          <w:szCs w:val="24"/>
          <w:lang w:val="es-ES"/>
        </w:rPr>
        <w:t xml:space="preserve">, </w:t>
      </w:r>
      <w:r w:rsidR="00EA1164" w:rsidRPr="00B22CA9">
        <w:rPr>
          <w:rFonts w:ascii="Times New Roman" w:hAnsi="Times New Roman" w:cs="Times New Roman"/>
          <w:sz w:val="24"/>
          <w:szCs w:val="24"/>
          <w:lang w:val="es-ES"/>
        </w:rPr>
        <w:t xml:space="preserve">la decisión de impulsar un recurso por incumplimiento para proteger los derechos fundamentales, o de no hacerlo, </w:t>
      </w:r>
      <w:r w:rsidR="007176C0" w:rsidRPr="00B22CA9">
        <w:rPr>
          <w:rFonts w:ascii="Times New Roman" w:hAnsi="Times New Roman" w:cs="Times New Roman"/>
          <w:sz w:val="24"/>
          <w:szCs w:val="24"/>
          <w:lang w:val="es-ES"/>
        </w:rPr>
        <w:t>apenas t</w:t>
      </w:r>
      <w:r w:rsidRPr="00B22CA9">
        <w:rPr>
          <w:rFonts w:ascii="Times New Roman" w:hAnsi="Times New Roman" w:cs="Times New Roman"/>
          <w:sz w:val="24"/>
          <w:szCs w:val="24"/>
          <w:lang w:val="es-ES"/>
        </w:rPr>
        <w:t>iene</w:t>
      </w:r>
      <w:r w:rsidR="007176C0" w:rsidRPr="00B22CA9">
        <w:rPr>
          <w:rFonts w:ascii="Times New Roman" w:hAnsi="Times New Roman" w:cs="Times New Roman"/>
          <w:sz w:val="24"/>
          <w:szCs w:val="24"/>
          <w:lang w:val="es-ES"/>
        </w:rPr>
        <w:t xml:space="preserve"> por qué ser </w:t>
      </w:r>
      <w:r w:rsidR="00EA1164" w:rsidRPr="00B22CA9">
        <w:rPr>
          <w:rFonts w:ascii="Times New Roman" w:hAnsi="Times New Roman" w:cs="Times New Roman"/>
          <w:sz w:val="24"/>
          <w:szCs w:val="24"/>
          <w:lang w:val="es-ES"/>
        </w:rPr>
        <w:t>motivada</w:t>
      </w:r>
      <w:r w:rsidR="007176C0" w:rsidRPr="00B22CA9">
        <w:rPr>
          <w:rFonts w:ascii="Times New Roman" w:hAnsi="Times New Roman" w:cs="Times New Roman"/>
          <w:sz w:val="24"/>
          <w:szCs w:val="24"/>
          <w:lang w:val="es-ES"/>
        </w:rPr>
        <w:t>.</w:t>
      </w:r>
      <w:r w:rsidR="006F18E8" w:rsidRPr="00B22CA9">
        <w:rPr>
          <w:rFonts w:ascii="Times New Roman" w:hAnsi="Times New Roman" w:cs="Times New Roman"/>
          <w:sz w:val="24"/>
          <w:szCs w:val="24"/>
          <w:lang w:val="es-ES"/>
        </w:rPr>
        <w:t xml:space="preserve"> </w:t>
      </w:r>
      <w:r w:rsidR="00EA1164" w:rsidRPr="00B22CA9">
        <w:rPr>
          <w:rFonts w:ascii="Times New Roman" w:hAnsi="Times New Roman" w:cs="Times New Roman"/>
          <w:sz w:val="24"/>
          <w:szCs w:val="24"/>
          <w:lang w:val="es-ES"/>
        </w:rPr>
        <w:t xml:space="preserve">Políticamente, </w:t>
      </w:r>
      <w:r w:rsidR="00DC4E47" w:rsidRPr="00B22CA9">
        <w:rPr>
          <w:rFonts w:ascii="Times New Roman" w:hAnsi="Times New Roman" w:cs="Times New Roman"/>
          <w:sz w:val="24"/>
          <w:szCs w:val="24"/>
          <w:lang w:val="es-ES"/>
        </w:rPr>
        <w:t>además</w:t>
      </w:r>
      <w:r w:rsidR="00EA1164" w:rsidRPr="00B22CA9">
        <w:rPr>
          <w:rFonts w:ascii="Times New Roman" w:hAnsi="Times New Roman" w:cs="Times New Roman"/>
          <w:sz w:val="24"/>
          <w:szCs w:val="24"/>
          <w:lang w:val="es-ES"/>
        </w:rPr>
        <w:t xml:space="preserve">, </w:t>
      </w:r>
      <w:r w:rsidR="00DC4E47" w:rsidRPr="00B22CA9">
        <w:rPr>
          <w:rFonts w:ascii="Times New Roman" w:hAnsi="Times New Roman" w:cs="Times New Roman"/>
          <w:sz w:val="24"/>
          <w:szCs w:val="24"/>
          <w:lang w:val="es-ES"/>
        </w:rPr>
        <w:t>la falta de transparencia (</w:t>
      </w:r>
      <w:proofErr w:type="spellStart"/>
      <w:r w:rsidR="00DC4E47" w:rsidRPr="00B22CA9">
        <w:rPr>
          <w:rFonts w:ascii="Times New Roman" w:hAnsi="Times New Roman" w:cs="Times New Roman"/>
          <w:sz w:val="24"/>
          <w:szCs w:val="24"/>
          <w:lang w:val="es-ES"/>
        </w:rPr>
        <w:t>Prete</w:t>
      </w:r>
      <w:proofErr w:type="spellEnd"/>
      <w:r w:rsidR="00DC4E47" w:rsidRPr="00B22CA9">
        <w:rPr>
          <w:rFonts w:ascii="Times New Roman" w:hAnsi="Times New Roman" w:cs="Times New Roman"/>
          <w:sz w:val="24"/>
          <w:szCs w:val="24"/>
          <w:lang w:val="es-ES"/>
        </w:rPr>
        <w:t xml:space="preserve">, 2017: 350), el carácter confidencial y la </w:t>
      </w:r>
      <w:r w:rsidR="006F18E8" w:rsidRPr="00B22CA9">
        <w:rPr>
          <w:rFonts w:ascii="Times New Roman" w:hAnsi="Times New Roman" w:cs="Times New Roman"/>
          <w:sz w:val="24"/>
          <w:szCs w:val="24"/>
          <w:lang w:val="es-ES"/>
        </w:rPr>
        <w:t xml:space="preserve">reserva que rodea a toda la fase precontenciosa, de la cual apenas </w:t>
      </w:r>
      <w:r w:rsidR="0054296F" w:rsidRPr="00B22CA9">
        <w:rPr>
          <w:rFonts w:ascii="Times New Roman" w:hAnsi="Times New Roman" w:cs="Times New Roman"/>
          <w:sz w:val="24"/>
          <w:szCs w:val="24"/>
          <w:lang w:val="es-ES"/>
        </w:rPr>
        <w:t xml:space="preserve">si </w:t>
      </w:r>
      <w:r w:rsidR="006F18E8" w:rsidRPr="00B22CA9">
        <w:rPr>
          <w:rFonts w:ascii="Times New Roman" w:hAnsi="Times New Roman" w:cs="Times New Roman"/>
          <w:sz w:val="24"/>
          <w:szCs w:val="24"/>
          <w:lang w:val="es-ES"/>
        </w:rPr>
        <w:t xml:space="preserve">se da noticia a través de notas de prensa </w:t>
      </w:r>
      <w:r w:rsidR="00DC4E47" w:rsidRPr="00B22CA9">
        <w:rPr>
          <w:rFonts w:ascii="Times New Roman" w:hAnsi="Times New Roman" w:cs="Times New Roman"/>
          <w:sz w:val="24"/>
          <w:szCs w:val="24"/>
          <w:lang w:val="es-ES"/>
        </w:rPr>
        <w:t xml:space="preserve">para facilitar las negociaciones con el presunto infractor </w:t>
      </w:r>
      <w:r w:rsidR="006F18E8" w:rsidRPr="00B22CA9">
        <w:rPr>
          <w:rFonts w:ascii="Times New Roman" w:hAnsi="Times New Roman" w:cs="Times New Roman"/>
          <w:sz w:val="24"/>
          <w:szCs w:val="24"/>
          <w:lang w:val="es-ES"/>
        </w:rPr>
        <w:t>(</w:t>
      </w:r>
      <w:proofErr w:type="spellStart"/>
      <w:r w:rsidR="006F18E8" w:rsidRPr="00B22CA9">
        <w:rPr>
          <w:rFonts w:ascii="Times New Roman" w:hAnsi="Times New Roman" w:cs="Times New Roman"/>
          <w:sz w:val="24"/>
          <w:szCs w:val="24"/>
          <w:lang w:val="es-ES"/>
        </w:rPr>
        <w:t>Koops</w:t>
      </w:r>
      <w:proofErr w:type="spellEnd"/>
      <w:r w:rsidR="006F18E8" w:rsidRPr="00B22CA9">
        <w:rPr>
          <w:rFonts w:ascii="Times New Roman" w:hAnsi="Times New Roman" w:cs="Times New Roman"/>
          <w:sz w:val="24"/>
          <w:szCs w:val="24"/>
          <w:lang w:val="es-ES"/>
        </w:rPr>
        <w:t>, 2014: 132), no es apropiada para un proc</w:t>
      </w:r>
      <w:r w:rsidR="00DC4E47" w:rsidRPr="00B22CA9">
        <w:rPr>
          <w:rFonts w:ascii="Times New Roman" w:hAnsi="Times New Roman" w:cs="Times New Roman"/>
          <w:sz w:val="24"/>
          <w:szCs w:val="24"/>
          <w:lang w:val="es-ES"/>
        </w:rPr>
        <w:t xml:space="preserve">edimiento de protección </w:t>
      </w:r>
      <w:r w:rsidR="006F18E8" w:rsidRPr="00B22CA9">
        <w:rPr>
          <w:rFonts w:ascii="Times New Roman" w:hAnsi="Times New Roman" w:cs="Times New Roman"/>
          <w:sz w:val="24"/>
          <w:szCs w:val="24"/>
          <w:lang w:val="es-ES"/>
        </w:rPr>
        <w:t xml:space="preserve">de derechos fundamentales.  </w:t>
      </w:r>
      <w:r w:rsidR="007176C0" w:rsidRPr="00B22CA9">
        <w:rPr>
          <w:rFonts w:ascii="Times New Roman" w:hAnsi="Times New Roman" w:cs="Times New Roman"/>
          <w:sz w:val="24"/>
          <w:szCs w:val="24"/>
          <w:lang w:val="es-ES"/>
        </w:rPr>
        <w:t xml:space="preserve">  </w:t>
      </w:r>
    </w:p>
    <w:p w:rsidR="00A21302" w:rsidRPr="00B22CA9" w:rsidRDefault="00C905E3" w:rsidP="007F11DF">
      <w:pPr>
        <w:spacing w:line="240" w:lineRule="auto"/>
        <w:ind w:firstLine="720"/>
        <w:jc w:val="both"/>
        <w:rPr>
          <w:rFonts w:ascii="Times New Roman" w:hAnsi="Times New Roman" w:cs="Times New Roman"/>
          <w:sz w:val="24"/>
          <w:szCs w:val="24"/>
          <w:lang w:val="es-ES"/>
        </w:rPr>
      </w:pPr>
      <w:r w:rsidRPr="00B22CA9">
        <w:rPr>
          <w:rFonts w:ascii="Times New Roman" w:hAnsi="Times New Roman" w:cs="Times New Roman"/>
          <w:sz w:val="24"/>
          <w:szCs w:val="24"/>
          <w:lang w:val="es-ES"/>
        </w:rPr>
        <w:t>Aún en relación con el papel de la Comisión</w:t>
      </w:r>
      <w:r w:rsidR="00DC4E47" w:rsidRPr="00B22CA9">
        <w:rPr>
          <w:rFonts w:ascii="Times New Roman" w:hAnsi="Times New Roman" w:cs="Times New Roman"/>
          <w:sz w:val="24"/>
          <w:szCs w:val="24"/>
          <w:lang w:val="es-ES"/>
        </w:rPr>
        <w:t xml:space="preserve">, hay que volver a llamar la atención sobre </w:t>
      </w:r>
      <w:r w:rsidR="00364AE4" w:rsidRPr="00B22CA9">
        <w:rPr>
          <w:rFonts w:ascii="Times New Roman" w:hAnsi="Times New Roman" w:cs="Times New Roman"/>
          <w:sz w:val="24"/>
          <w:szCs w:val="24"/>
          <w:lang w:val="es-ES"/>
        </w:rPr>
        <w:t xml:space="preserve"> </w:t>
      </w:r>
      <w:r w:rsidR="00DC4E47" w:rsidRPr="00B22CA9">
        <w:rPr>
          <w:rFonts w:ascii="Times New Roman" w:hAnsi="Times New Roman" w:cs="Times New Roman"/>
          <w:sz w:val="24"/>
          <w:szCs w:val="24"/>
          <w:lang w:val="es-ES"/>
        </w:rPr>
        <w:t>esa práctica</w:t>
      </w:r>
      <w:r w:rsidRPr="00B22CA9">
        <w:rPr>
          <w:rFonts w:ascii="Times New Roman" w:hAnsi="Times New Roman" w:cs="Times New Roman"/>
          <w:sz w:val="24"/>
          <w:szCs w:val="24"/>
          <w:lang w:val="es-ES"/>
        </w:rPr>
        <w:t xml:space="preserve"> de la antes Alta autoridad, más o menos frecuente,</w:t>
      </w:r>
      <w:r w:rsidR="00DC4E47" w:rsidRPr="00B22CA9">
        <w:rPr>
          <w:rFonts w:ascii="Times New Roman" w:hAnsi="Times New Roman" w:cs="Times New Roman"/>
          <w:sz w:val="24"/>
          <w:szCs w:val="24"/>
          <w:lang w:val="es-ES"/>
        </w:rPr>
        <w:t xml:space="preserve"> de </w:t>
      </w:r>
      <w:r w:rsidR="00AE4ADB" w:rsidRPr="00B22CA9">
        <w:rPr>
          <w:rFonts w:ascii="Times New Roman" w:hAnsi="Times New Roman" w:cs="Times New Roman"/>
          <w:sz w:val="24"/>
          <w:szCs w:val="24"/>
          <w:lang w:val="es-ES"/>
        </w:rPr>
        <w:t>instrumentaliza</w:t>
      </w:r>
      <w:r w:rsidR="00DC4E47" w:rsidRPr="00B22CA9">
        <w:rPr>
          <w:rFonts w:ascii="Times New Roman" w:hAnsi="Times New Roman" w:cs="Times New Roman"/>
          <w:sz w:val="24"/>
          <w:szCs w:val="24"/>
          <w:lang w:val="es-ES"/>
        </w:rPr>
        <w:t xml:space="preserve">r </w:t>
      </w:r>
      <w:r w:rsidR="00AE4ADB" w:rsidRPr="00B22CA9">
        <w:rPr>
          <w:rFonts w:ascii="Times New Roman" w:hAnsi="Times New Roman" w:cs="Times New Roman"/>
          <w:sz w:val="24"/>
          <w:szCs w:val="24"/>
          <w:lang w:val="es-ES"/>
        </w:rPr>
        <w:t>el procedimiento por incumplimiento como estrategia de i</w:t>
      </w:r>
      <w:r w:rsidR="00816958" w:rsidRPr="00B22CA9">
        <w:rPr>
          <w:rFonts w:ascii="Times New Roman" w:hAnsi="Times New Roman" w:cs="Times New Roman"/>
          <w:sz w:val="24"/>
          <w:szCs w:val="24"/>
          <w:lang w:val="es-ES"/>
        </w:rPr>
        <w:t>ntegración encubierta</w:t>
      </w:r>
      <w:r w:rsidR="00E44566" w:rsidRPr="00B22CA9">
        <w:rPr>
          <w:rFonts w:ascii="Times New Roman" w:hAnsi="Times New Roman" w:cs="Times New Roman"/>
          <w:sz w:val="24"/>
          <w:szCs w:val="24"/>
          <w:lang w:val="es-ES"/>
        </w:rPr>
        <w:t xml:space="preserve"> (</w:t>
      </w:r>
      <w:proofErr w:type="spellStart"/>
      <w:r w:rsidR="00E44566" w:rsidRPr="00B22CA9">
        <w:rPr>
          <w:rFonts w:ascii="Times New Roman" w:hAnsi="Times New Roman" w:cs="Times New Roman"/>
          <w:sz w:val="24"/>
          <w:szCs w:val="24"/>
          <w:lang w:val="es-ES"/>
        </w:rPr>
        <w:t>Héritier</w:t>
      </w:r>
      <w:proofErr w:type="spellEnd"/>
      <w:r w:rsidR="00E44566" w:rsidRPr="00B22CA9">
        <w:rPr>
          <w:rFonts w:ascii="Times New Roman" w:hAnsi="Times New Roman" w:cs="Times New Roman"/>
          <w:sz w:val="24"/>
          <w:szCs w:val="24"/>
          <w:lang w:val="es-ES"/>
        </w:rPr>
        <w:t xml:space="preserve">, 2015: 358). </w:t>
      </w:r>
      <w:r w:rsidR="00AC6531" w:rsidRPr="00B22CA9">
        <w:rPr>
          <w:rFonts w:ascii="Times New Roman" w:hAnsi="Times New Roman" w:cs="Times New Roman"/>
          <w:sz w:val="24"/>
          <w:szCs w:val="24"/>
          <w:lang w:val="es-ES"/>
        </w:rPr>
        <w:t xml:space="preserve">Por una parte, </w:t>
      </w:r>
      <w:r w:rsidR="00E44566" w:rsidRPr="00B22CA9">
        <w:rPr>
          <w:rFonts w:ascii="Times New Roman" w:hAnsi="Times New Roman" w:cs="Times New Roman"/>
          <w:sz w:val="24"/>
          <w:szCs w:val="24"/>
          <w:lang w:val="es-ES"/>
        </w:rPr>
        <w:t>si se trata</w:t>
      </w:r>
      <w:r w:rsidR="00AC6531" w:rsidRPr="00B22CA9">
        <w:rPr>
          <w:rFonts w:ascii="Times New Roman" w:hAnsi="Times New Roman" w:cs="Times New Roman"/>
          <w:sz w:val="24"/>
          <w:szCs w:val="24"/>
          <w:lang w:val="es-ES"/>
        </w:rPr>
        <w:t>se</w:t>
      </w:r>
      <w:r w:rsidR="00E44566" w:rsidRPr="00B22CA9">
        <w:rPr>
          <w:rFonts w:ascii="Times New Roman" w:hAnsi="Times New Roman" w:cs="Times New Roman"/>
          <w:sz w:val="24"/>
          <w:szCs w:val="24"/>
          <w:lang w:val="es-ES"/>
        </w:rPr>
        <w:t xml:space="preserve"> de conseguir que en un Estado miembro se alcance un </w:t>
      </w:r>
      <w:r w:rsidR="00AC6531" w:rsidRPr="00B22CA9">
        <w:rPr>
          <w:rFonts w:ascii="Times New Roman" w:hAnsi="Times New Roman" w:cs="Times New Roman"/>
          <w:sz w:val="24"/>
          <w:szCs w:val="24"/>
          <w:lang w:val="es-ES"/>
        </w:rPr>
        <w:t xml:space="preserve">objetivo de integración relacionado con </w:t>
      </w:r>
      <w:r w:rsidR="00E44566" w:rsidRPr="00B22CA9">
        <w:rPr>
          <w:rFonts w:ascii="Times New Roman" w:hAnsi="Times New Roman" w:cs="Times New Roman"/>
          <w:sz w:val="24"/>
          <w:szCs w:val="24"/>
          <w:lang w:val="es-ES"/>
        </w:rPr>
        <w:t>l</w:t>
      </w:r>
      <w:r w:rsidR="00AC6531" w:rsidRPr="00B22CA9">
        <w:rPr>
          <w:rFonts w:ascii="Times New Roman" w:hAnsi="Times New Roman" w:cs="Times New Roman"/>
          <w:sz w:val="24"/>
          <w:szCs w:val="24"/>
          <w:lang w:val="es-ES"/>
        </w:rPr>
        <w:t>a garantía de l</w:t>
      </w:r>
      <w:r w:rsidR="00E44566" w:rsidRPr="00B22CA9">
        <w:rPr>
          <w:rFonts w:ascii="Times New Roman" w:hAnsi="Times New Roman" w:cs="Times New Roman"/>
          <w:sz w:val="24"/>
          <w:szCs w:val="24"/>
          <w:lang w:val="es-ES"/>
        </w:rPr>
        <w:t>os derechos fundamentales, presentar ante el Tribunal de Justicia una demanda de in</w:t>
      </w:r>
      <w:r w:rsidR="00AC6531" w:rsidRPr="00B22CA9">
        <w:rPr>
          <w:rFonts w:ascii="Times New Roman" w:hAnsi="Times New Roman" w:cs="Times New Roman"/>
          <w:sz w:val="24"/>
          <w:szCs w:val="24"/>
          <w:lang w:val="es-ES"/>
        </w:rPr>
        <w:t>cumplimiento</w:t>
      </w:r>
      <w:r w:rsidR="00E44566" w:rsidRPr="00B22CA9">
        <w:rPr>
          <w:rFonts w:ascii="Times New Roman" w:hAnsi="Times New Roman" w:cs="Times New Roman"/>
          <w:sz w:val="24"/>
          <w:szCs w:val="24"/>
          <w:lang w:val="es-ES"/>
        </w:rPr>
        <w:t xml:space="preserve"> </w:t>
      </w:r>
      <w:r w:rsidR="00AC6531" w:rsidRPr="00B22CA9">
        <w:rPr>
          <w:rFonts w:ascii="Times New Roman" w:hAnsi="Times New Roman" w:cs="Times New Roman"/>
          <w:sz w:val="24"/>
          <w:szCs w:val="24"/>
          <w:lang w:val="es-ES"/>
        </w:rPr>
        <w:t>constituiría</w:t>
      </w:r>
      <w:r w:rsidR="00E44566" w:rsidRPr="00B22CA9">
        <w:rPr>
          <w:rFonts w:ascii="Times New Roman" w:hAnsi="Times New Roman" w:cs="Times New Roman"/>
          <w:sz w:val="24"/>
          <w:szCs w:val="24"/>
          <w:lang w:val="es-ES"/>
        </w:rPr>
        <w:t xml:space="preserve"> un mecanismo útil</w:t>
      </w:r>
      <w:r w:rsidR="00AC6531" w:rsidRPr="00B22CA9">
        <w:rPr>
          <w:rFonts w:ascii="Times New Roman" w:hAnsi="Times New Roman" w:cs="Times New Roman"/>
          <w:sz w:val="24"/>
          <w:szCs w:val="24"/>
          <w:lang w:val="es-ES"/>
        </w:rPr>
        <w:t>. El Tribunal de Luxemburgo podría</w:t>
      </w:r>
      <w:r w:rsidR="00E44566" w:rsidRPr="00B22CA9">
        <w:rPr>
          <w:rFonts w:ascii="Times New Roman" w:hAnsi="Times New Roman" w:cs="Times New Roman"/>
          <w:sz w:val="24"/>
          <w:szCs w:val="24"/>
          <w:lang w:val="es-ES"/>
        </w:rPr>
        <w:t xml:space="preserve"> llegar a fijar reglas específicas de garantía de esos derechos</w:t>
      </w:r>
      <w:r w:rsidR="00AC6531" w:rsidRPr="00B22CA9">
        <w:rPr>
          <w:rFonts w:ascii="Times New Roman" w:hAnsi="Times New Roman" w:cs="Times New Roman"/>
          <w:sz w:val="24"/>
          <w:szCs w:val="24"/>
          <w:lang w:val="es-ES"/>
        </w:rPr>
        <w:t>, con la eficacia y cauces que ello abre, sanciones del 260 TFUE y recurso a los jueces estatales, para obligar al Estado infractor a enmendar la situación lesiva</w:t>
      </w:r>
      <w:r w:rsidR="00E44566" w:rsidRPr="00B22CA9">
        <w:rPr>
          <w:rFonts w:ascii="Times New Roman" w:hAnsi="Times New Roman" w:cs="Times New Roman"/>
          <w:sz w:val="24"/>
          <w:szCs w:val="24"/>
          <w:lang w:val="es-ES"/>
        </w:rPr>
        <w:t xml:space="preserve">. </w:t>
      </w:r>
      <w:r w:rsidR="00AC6531" w:rsidRPr="00B22CA9">
        <w:rPr>
          <w:rFonts w:ascii="Times New Roman" w:hAnsi="Times New Roman" w:cs="Times New Roman"/>
          <w:sz w:val="24"/>
          <w:szCs w:val="24"/>
          <w:lang w:val="es-ES"/>
        </w:rPr>
        <w:t>E</w:t>
      </w:r>
      <w:r w:rsidR="00E44566" w:rsidRPr="00B22CA9">
        <w:rPr>
          <w:rFonts w:ascii="Times New Roman" w:hAnsi="Times New Roman" w:cs="Times New Roman"/>
          <w:sz w:val="24"/>
          <w:szCs w:val="24"/>
          <w:lang w:val="es-ES"/>
        </w:rPr>
        <w:t>s</w:t>
      </w:r>
      <w:r w:rsidR="00AC6531" w:rsidRPr="00B22CA9">
        <w:rPr>
          <w:rFonts w:ascii="Times New Roman" w:hAnsi="Times New Roman" w:cs="Times New Roman"/>
          <w:sz w:val="24"/>
          <w:szCs w:val="24"/>
          <w:lang w:val="es-ES"/>
        </w:rPr>
        <w:t>t</w:t>
      </w:r>
      <w:r w:rsidR="00E44566" w:rsidRPr="00B22CA9">
        <w:rPr>
          <w:rFonts w:ascii="Times New Roman" w:hAnsi="Times New Roman" w:cs="Times New Roman"/>
          <w:sz w:val="24"/>
          <w:szCs w:val="24"/>
          <w:lang w:val="es-ES"/>
        </w:rPr>
        <w:t xml:space="preserve">o no significaría que la denuncia </w:t>
      </w:r>
      <w:r w:rsidR="00AC6531" w:rsidRPr="00B22CA9">
        <w:rPr>
          <w:rFonts w:ascii="Times New Roman" w:hAnsi="Times New Roman" w:cs="Times New Roman"/>
          <w:sz w:val="24"/>
          <w:szCs w:val="24"/>
          <w:lang w:val="es-ES"/>
        </w:rPr>
        <w:t xml:space="preserve">o la resolución del TJUE </w:t>
      </w:r>
      <w:r w:rsidR="00E44566" w:rsidRPr="00B22CA9">
        <w:rPr>
          <w:rFonts w:ascii="Times New Roman" w:hAnsi="Times New Roman" w:cs="Times New Roman"/>
          <w:sz w:val="24"/>
          <w:szCs w:val="24"/>
          <w:lang w:val="es-ES"/>
        </w:rPr>
        <w:t>pud</w:t>
      </w:r>
      <w:r w:rsidR="00AC6531" w:rsidRPr="00B22CA9">
        <w:rPr>
          <w:rFonts w:ascii="Times New Roman" w:hAnsi="Times New Roman" w:cs="Times New Roman"/>
          <w:sz w:val="24"/>
          <w:szCs w:val="24"/>
          <w:lang w:val="es-ES"/>
        </w:rPr>
        <w:t>ieran</w:t>
      </w:r>
      <w:r w:rsidR="00E44566" w:rsidRPr="00B22CA9">
        <w:rPr>
          <w:rFonts w:ascii="Times New Roman" w:hAnsi="Times New Roman" w:cs="Times New Roman"/>
          <w:sz w:val="24"/>
          <w:szCs w:val="24"/>
          <w:lang w:val="es-ES"/>
        </w:rPr>
        <w:t xml:space="preserve"> desvinculars</w:t>
      </w:r>
      <w:r w:rsidR="00EA6435" w:rsidRPr="00B22CA9">
        <w:rPr>
          <w:rFonts w:ascii="Times New Roman" w:hAnsi="Times New Roman" w:cs="Times New Roman"/>
          <w:sz w:val="24"/>
          <w:szCs w:val="24"/>
          <w:lang w:val="es-ES"/>
        </w:rPr>
        <w:t>e del ámbito de aplicación del d</w:t>
      </w:r>
      <w:r w:rsidR="00E44566" w:rsidRPr="00B22CA9">
        <w:rPr>
          <w:rFonts w:ascii="Times New Roman" w:hAnsi="Times New Roman" w:cs="Times New Roman"/>
          <w:sz w:val="24"/>
          <w:szCs w:val="24"/>
          <w:lang w:val="es-ES"/>
        </w:rPr>
        <w:t>erecho de la Unión</w:t>
      </w:r>
      <w:r w:rsidR="00502BA9" w:rsidRPr="00B22CA9">
        <w:rPr>
          <w:rFonts w:ascii="Times New Roman" w:hAnsi="Times New Roman" w:cs="Times New Roman"/>
          <w:sz w:val="24"/>
          <w:szCs w:val="24"/>
          <w:lang w:val="es-ES"/>
        </w:rPr>
        <w:t>, remitiendo a lo dicho sobre la vinculación de los derechos fundamentales a la atribución de competencias. Sí significaría, y sin embargo, que a través de una sentencia de incumplimiento el TJUE</w:t>
      </w:r>
      <w:r w:rsidR="00E44566" w:rsidRPr="00B22CA9">
        <w:rPr>
          <w:rFonts w:ascii="Times New Roman" w:hAnsi="Times New Roman" w:cs="Times New Roman"/>
          <w:sz w:val="24"/>
          <w:szCs w:val="24"/>
          <w:lang w:val="es-ES"/>
        </w:rPr>
        <w:t xml:space="preserve"> ayudaría a concretar reglas de aplicación de las normas iusfundamentales a situaciones concretas d</w:t>
      </w:r>
      <w:r w:rsidR="002377A5" w:rsidRPr="00B22CA9">
        <w:rPr>
          <w:rFonts w:ascii="Times New Roman" w:hAnsi="Times New Roman" w:cs="Times New Roman"/>
          <w:sz w:val="24"/>
          <w:szCs w:val="24"/>
          <w:lang w:val="es-ES"/>
        </w:rPr>
        <w:t>e transposición o ejecución de d</w:t>
      </w:r>
      <w:r w:rsidR="00E44566" w:rsidRPr="00B22CA9">
        <w:rPr>
          <w:rFonts w:ascii="Times New Roman" w:hAnsi="Times New Roman" w:cs="Times New Roman"/>
          <w:sz w:val="24"/>
          <w:szCs w:val="24"/>
          <w:lang w:val="es-ES"/>
        </w:rPr>
        <w:t xml:space="preserve">erecho </w:t>
      </w:r>
      <w:r w:rsidR="002377A5" w:rsidRPr="00B22CA9">
        <w:rPr>
          <w:rFonts w:ascii="Times New Roman" w:hAnsi="Times New Roman" w:cs="Times New Roman"/>
          <w:sz w:val="24"/>
          <w:szCs w:val="24"/>
          <w:lang w:val="es-ES"/>
        </w:rPr>
        <w:t>de la UE</w:t>
      </w:r>
      <w:r w:rsidR="00E44566" w:rsidRPr="00B22CA9">
        <w:rPr>
          <w:rFonts w:ascii="Times New Roman" w:hAnsi="Times New Roman" w:cs="Times New Roman"/>
          <w:sz w:val="24"/>
          <w:szCs w:val="24"/>
          <w:lang w:val="es-ES"/>
        </w:rPr>
        <w:t xml:space="preserve">. </w:t>
      </w:r>
      <w:r w:rsidR="00AC6531" w:rsidRPr="00B22CA9">
        <w:rPr>
          <w:rFonts w:ascii="Times New Roman" w:hAnsi="Times New Roman" w:cs="Times New Roman"/>
          <w:sz w:val="24"/>
          <w:szCs w:val="24"/>
          <w:lang w:val="es-ES"/>
        </w:rPr>
        <w:t>Por otra parte, y no obstante, m</w:t>
      </w:r>
      <w:r w:rsidR="00E44566" w:rsidRPr="00B22CA9">
        <w:rPr>
          <w:rFonts w:ascii="Times New Roman" w:hAnsi="Times New Roman" w:cs="Times New Roman"/>
          <w:sz w:val="24"/>
          <w:szCs w:val="24"/>
          <w:lang w:val="es-ES"/>
        </w:rPr>
        <w:t>ás d</w:t>
      </w:r>
      <w:r w:rsidR="00C60F92" w:rsidRPr="00B22CA9">
        <w:rPr>
          <w:rFonts w:ascii="Times New Roman" w:hAnsi="Times New Roman" w:cs="Times New Roman"/>
          <w:sz w:val="24"/>
          <w:szCs w:val="24"/>
          <w:lang w:val="es-ES"/>
        </w:rPr>
        <w:t>elicado</w:t>
      </w:r>
      <w:r w:rsidR="00E44566" w:rsidRPr="00B22CA9">
        <w:rPr>
          <w:rFonts w:ascii="Times New Roman" w:hAnsi="Times New Roman" w:cs="Times New Roman"/>
          <w:sz w:val="24"/>
          <w:szCs w:val="24"/>
          <w:lang w:val="es-ES"/>
        </w:rPr>
        <w:t xml:space="preserve"> </w:t>
      </w:r>
      <w:r w:rsidR="005B632B" w:rsidRPr="00B22CA9">
        <w:rPr>
          <w:rFonts w:ascii="Times New Roman" w:hAnsi="Times New Roman" w:cs="Times New Roman"/>
          <w:sz w:val="24"/>
          <w:szCs w:val="24"/>
          <w:lang w:val="es-ES"/>
        </w:rPr>
        <w:t xml:space="preserve">para el TJUE </w:t>
      </w:r>
      <w:r w:rsidR="00E44566" w:rsidRPr="00B22CA9">
        <w:rPr>
          <w:rFonts w:ascii="Times New Roman" w:hAnsi="Times New Roman" w:cs="Times New Roman"/>
          <w:sz w:val="24"/>
          <w:szCs w:val="24"/>
          <w:lang w:val="es-ES"/>
        </w:rPr>
        <w:t>sería</w:t>
      </w:r>
      <w:r w:rsidR="005B632B" w:rsidRPr="00B22CA9">
        <w:rPr>
          <w:rFonts w:ascii="Times New Roman" w:hAnsi="Times New Roman" w:cs="Times New Roman"/>
          <w:sz w:val="24"/>
          <w:szCs w:val="24"/>
          <w:lang w:val="es-ES"/>
        </w:rPr>
        <w:t xml:space="preserve"> actuar a favor de la efectividad </w:t>
      </w:r>
      <w:r w:rsidR="00C60F92" w:rsidRPr="00B22CA9">
        <w:rPr>
          <w:rFonts w:ascii="Times New Roman" w:hAnsi="Times New Roman" w:cs="Times New Roman"/>
          <w:sz w:val="24"/>
          <w:szCs w:val="24"/>
          <w:lang w:val="es-ES"/>
        </w:rPr>
        <w:t>de</w:t>
      </w:r>
      <w:r w:rsidR="005B632B" w:rsidRPr="00B22CA9">
        <w:rPr>
          <w:rFonts w:ascii="Times New Roman" w:hAnsi="Times New Roman" w:cs="Times New Roman"/>
          <w:sz w:val="24"/>
          <w:szCs w:val="24"/>
          <w:lang w:val="es-ES"/>
        </w:rPr>
        <w:t xml:space="preserve"> los derechos en</w:t>
      </w:r>
      <w:r w:rsidR="00E44566" w:rsidRPr="00B22CA9">
        <w:rPr>
          <w:rFonts w:ascii="Times New Roman" w:hAnsi="Times New Roman" w:cs="Times New Roman"/>
          <w:sz w:val="24"/>
          <w:szCs w:val="24"/>
          <w:lang w:val="es-ES"/>
        </w:rPr>
        <w:t xml:space="preserve"> </w:t>
      </w:r>
      <w:r w:rsidR="00AC6531" w:rsidRPr="00B22CA9">
        <w:rPr>
          <w:rFonts w:ascii="Times New Roman" w:hAnsi="Times New Roman" w:cs="Times New Roman"/>
          <w:sz w:val="24"/>
          <w:szCs w:val="24"/>
          <w:lang w:val="es-ES"/>
        </w:rPr>
        <w:t>un escenario</w:t>
      </w:r>
      <w:r w:rsidR="008E6827" w:rsidRPr="00B22CA9">
        <w:rPr>
          <w:rFonts w:ascii="Times New Roman" w:hAnsi="Times New Roman" w:cs="Times New Roman"/>
          <w:sz w:val="24"/>
          <w:szCs w:val="24"/>
          <w:lang w:val="es-ES"/>
        </w:rPr>
        <w:t xml:space="preserve"> </w:t>
      </w:r>
      <w:r w:rsidR="00C60F92" w:rsidRPr="00B22CA9">
        <w:rPr>
          <w:rFonts w:ascii="Times New Roman" w:hAnsi="Times New Roman" w:cs="Times New Roman"/>
          <w:sz w:val="24"/>
          <w:szCs w:val="24"/>
          <w:lang w:val="es-ES"/>
        </w:rPr>
        <w:t xml:space="preserve">como los que </w:t>
      </w:r>
      <w:r w:rsidR="008E6827" w:rsidRPr="00B22CA9">
        <w:rPr>
          <w:rFonts w:ascii="Times New Roman" w:hAnsi="Times New Roman" w:cs="Times New Roman"/>
          <w:sz w:val="24"/>
          <w:szCs w:val="24"/>
          <w:lang w:val="es-ES"/>
        </w:rPr>
        <w:t>a veces sirve</w:t>
      </w:r>
      <w:r w:rsidR="00C60F92" w:rsidRPr="00B22CA9">
        <w:rPr>
          <w:rFonts w:ascii="Times New Roman" w:hAnsi="Times New Roman" w:cs="Times New Roman"/>
          <w:sz w:val="24"/>
          <w:szCs w:val="24"/>
          <w:lang w:val="es-ES"/>
        </w:rPr>
        <w:t>n</w:t>
      </w:r>
      <w:r w:rsidR="008E6827" w:rsidRPr="00B22CA9">
        <w:rPr>
          <w:rFonts w:ascii="Times New Roman" w:hAnsi="Times New Roman" w:cs="Times New Roman"/>
          <w:sz w:val="24"/>
          <w:szCs w:val="24"/>
          <w:lang w:val="es-ES"/>
        </w:rPr>
        <w:t xml:space="preserve"> para</w:t>
      </w:r>
      <w:r w:rsidR="00AC6531" w:rsidRPr="00B22CA9">
        <w:rPr>
          <w:rFonts w:ascii="Times New Roman" w:hAnsi="Times New Roman" w:cs="Times New Roman"/>
          <w:sz w:val="24"/>
          <w:szCs w:val="24"/>
          <w:lang w:val="es-ES"/>
        </w:rPr>
        <w:t xml:space="preserve"> ámbitos de integración determinados por competencias atribuidas</w:t>
      </w:r>
      <w:r w:rsidR="00C60F92" w:rsidRPr="00B22CA9">
        <w:rPr>
          <w:rFonts w:ascii="Times New Roman" w:hAnsi="Times New Roman" w:cs="Times New Roman"/>
          <w:sz w:val="24"/>
          <w:szCs w:val="24"/>
          <w:lang w:val="es-ES"/>
        </w:rPr>
        <w:t>, por ejemplo cuando la contravención se refiere a libertades económicas y se opera directamente desde el Tratado, sin derecho derivado de desarrollo (</w:t>
      </w:r>
      <w:proofErr w:type="spellStart"/>
      <w:r w:rsidR="00C60F92" w:rsidRPr="00B22CA9">
        <w:rPr>
          <w:rFonts w:ascii="Times New Roman" w:hAnsi="Times New Roman" w:cs="Times New Roman"/>
          <w:sz w:val="24"/>
          <w:szCs w:val="24"/>
          <w:lang w:val="es-ES"/>
        </w:rPr>
        <w:t>Héritier</w:t>
      </w:r>
      <w:proofErr w:type="spellEnd"/>
      <w:r w:rsidR="00C60F92" w:rsidRPr="00B22CA9">
        <w:rPr>
          <w:rFonts w:ascii="Times New Roman" w:hAnsi="Times New Roman" w:cs="Times New Roman"/>
          <w:sz w:val="24"/>
          <w:szCs w:val="24"/>
          <w:lang w:val="es-ES"/>
        </w:rPr>
        <w:t>, 2015: 362)</w:t>
      </w:r>
      <w:r w:rsidR="005B632B" w:rsidRPr="00B22CA9">
        <w:rPr>
          <w:rFonts w:ascii="Times New Roman" w:hAnsi="Times New Roman" w:cs="Times New Roman"/>
          <w:sz w:val="24"/>
          <w:szCs w:val="24"/>
          <w:lang w:val="es-ES"/>
        </w:rPr>
        <w:t>. Se trataría de</w:t>
      </w:r>
      <w:r w:rsidR="00C60F92" w:rsidRPr="00B22CA9">
        <w:rPr>
          <w:rFonts w:ascii="Times New Roman" w:hAnsi="Times New Roman" w:cs="Times New Roman"/>
          <w:sz w:val="24"/>
          <w:szCs w:val="24"/>
          <w:lang w:val="es-ES"/>
        </w:rPr>
        <w:t xml:space="preserve"> un</w:t>
      </w:r>
      <w:r w:rsidR="005B632B" w:rsidRPr="00B22CA9">
        <w:rPr>
          <w:rFonts w:ascii="Times New Roman" w:hAnsi="Times New Roman" w:cs="Times New Roman"/>
          <w:sz w:val="24"/>
          <w:szCs w:val="24"/>
          <w:lang w:val="es-ES"/>
        </w:rPr>
        <w:t xml:space="preserve"> escenario</w:t>
      </w:r>
      <w:r w:rsidR="00C60F92" w:rsidRPr="00B22CA9">
        <w:rPr>
          <w:rFonts w:ascii="Times New Roman" w:hAnsi="Times New Roman" w:cs="Times New Roman"/>
          <w:sz w:val="24"/>
          <w:szCs w:val="24"/>
          <w:lang w:val="es-ES"/>
        </w:rPr>
        <w:t>-tipo</w:t>
      </w:r>
      <w:r w:rsidR="005B632B" w:rsidRPr="00B22CA9">
        <w:rPr>
          <w:rFonts w:ascii="Times New Roman" w:hAnsi="Times New Roman" w:cs="Times New Roman"/>
          <w:sz w:val="24"/>
          <w:szCs w:val="24"/>
          <w:lang w:val="es-ES"/>
        </w:rPr>
        <w:t xml:space="preserve"> en el que</w:t>
      </w:r>
      <w:r w:rsidR="00E44566" w:rsidRPr="00B22CA9">
        <w:rPr>
          <w:rFonts w:ascii="Times New Roman" w:hAnsi="Times New Roman" w:cs="Times New Roman"/>
          <w:sz w:val="24"/>
          <w:szCs w:val="24"/>
          <w:lang w:val="es-ES"/>
        </w:rPr>
        <w:t>,</w:t>
      </w:r>
      <w:r w:rsidR="00AC6531" w:rsidRPr="00B22CA9">
        <w:rPr>
          <w:rFonts w:ascii="Times New Roman" w:hAnsi="Times New Roman" w:cs="Times New Roman"/>
          <w:sz w:val="24"/>
          <w:szCs w:val="24"/>
          <w:lang w:val="es-ES"/>
        </w:rPr>
        <w:t xml:space="preserve"> </w:t>
      </w:r>
      <w:r w:rsidR="00E44566" w:rsidRPr="00B22CA9">
        <w:rPr>
          <w:rFonts w:ascii="Times New Roman" w:hAnsi="Times New Roman" w:cs="Times New Roman"/>
          <w:sz w:val="24"/>
          <w:szCs w:val="24"/>
          <w:lang w:val="es-ES"/>
        </w:rPr>
        <w:t xml:space="preserve">desde una directriz de </w:t>
      </w:r>
      <w:proofErr w:type="spellStart"/>
      <w:r w:rsidR="00E44566" w:rsidRPr="00B22CA9">
        <w:rPr>
          <w:rFonts w:ascii="Times New Roman" w:hAnsi="Times New Roman" w:cs="Times New Roman"/>
          <w:i/>
          <w:sz w:val="24"/>
          <w:szCs w:val="24"/>
          <w:lang w:val="es-ES"/>
        </w:rPr>
        <w:t>soft</w:t>
      </w:r>
      <w:proofErr w:type="spellEnd"/>
      <w:r w:rsidR="00E44566" w:rsidRPr="00B22CA9">
        <w:rPr>
          <w:rFonts w:ascii="Times New Roman" w:hAnsi="Times New Roman" w:cs="Times New Roman"/>
          <w:i/>
          <w:sz w:val="24"/>
          <w:szCs w:val="24"/>
          <w:lang w:val="es-ES"/>
        </w:rPr>
        <w:t xml:space="preserve"> </w:t>
      </w:r>
      <w:proofErr w:type="spellStart"/>
      <w:r w:rsidR="00E44566" w:rsidRPr="00B22CA9">
        <w:rPr>
          <w:rFonts w:ascii="Times New Roman" w:hAnsi="Times New Roman" w:cs="Times New Roman"/>
          <w:i/>
          <w:sz w:val="24"/>
          <w:szCs w:val="24"/>
          <w:lang w:val="es-ES"/>
        </w:rPr>
        <w:t>law</w:t>
      </w:r>
      <w:proofErr w:type="spellEnd"/>
      <w:r w:rsidR="00073912" w:rsidRPr="00B22CA9">
        <w:rPr>
          <w:rStyle w:val="Refdenotaalpie"/>
          <w:rFonts w:ascii="Times New Roman" w:hAnsi="Times New Roman" w:cs="Times New Roman"/>
          <w:i/>
          <w:sz w:val="24"/>
          <w:szCs w:val="24"/>
          <w:lang w:val="es-ES"/>
        </w:rPr>
        <w:footnoteReference w:id="44"/>
      </w:r>
      <w:r w:rsidR="00AC6531" w:rsidRPr="00B22CA9">
        <w:rPr>
          <w:rFonts w:ascii="Times New Roman" w:hAnsi="Times New Roman" w:cs="Times New Roman"/>
          <w:sz w:val="24"/>
          <w:szCs w:val="24"/>
          <w:lang w:val="es-ES"/>
        </w:rPr>
        <w:t xml:space="preserve"> </w:t>
      </w:r>
      <w:r w:rsidR="005B632B" w:rsidRPr="00B22CA9">
        <w:rPr>
          <w:rFonts w:ascii="Times New Roman" w:hAnsi="Times New Roman" w:cs="Times New Roman"/>
          <w:sz w:val="24"/>
          <w:szCs w:val="24"/>
          <w:lang w:val="es-ES"/>
        </w:rPr>
        <w:t>de</w:t>
      </w:r>
      <w:r w:rsidR="00AC6531" w:rsidRPr="00B22CA9">
        <w:rPr>
          <w:rFonts w:ascii="Times New Roman" w:hAnsi="Times New Roman" w:cs="Times New Roman"/>
          <w:sz w:val="24"/>
          <w:szCs w:val="24"/>
          <w:lang w:val="es-ES"/>
        </w:rPr>
        <w:t xml:space="preserve"> </w:t>
      </w:r>
      <w:r w:rsidR="00E44566" w:rsidRPr="00B22CA9">
        <w:rPr>
          <w:rFonts w:ascii="Times New Roman" w:hAnsi="Times New Roman" w:cs="Times New Roman"/>
          <w:sz w:val="24"/>
          <w:szCs w:val="24"/>
          <w:lang w:val="es-ES"/>
        </w:rPr>
        <w:t>la Comisión</w:t>
      </w:r>
      <w:r w:rsidR="008E6827" w:rsidRPr="00B22CA9">
        <w:rPr>
          <w:rFonts w:ascii="Times New Roman" w:hAnsi="Times New Roman" w:cs="Times New Roman"/>
          <w:sz w:val="24"/>
          <w:szCs w:val="24"/>
          <w:lang w:val="es-ES"/>
        </w:rPr>
        <w:t>,</w:t>
      </w:r>
      <w:r w:rsidR="005B632B" w:rsidRPr="00B22CA9">
        <w:rPr>
          <w:rFonts w:ascii="Times New Roman" w:hAnsi="Times New Roman" w:cs="Times New Roman"/>
          <w:sz w:val="24"/>
          <w:szCs w:val="24"/>
          <w:lang w:val="es-ES"/>
        </w:rPr>
        <w:t xml:space="preserve"> con el fin principal de promover la garantía de los derechos en los Estados miembros, </w:t>
      </w:r>
      <w:r w:rsidR="00E44566" w:rsidRPr="00B22CA9">
        <w:rPr>
          <w:rFonts w:ascii="Times New Roman" w:hAnsi="Times New Roman" w:cs="Times New Roman"/>
          <w:sz w:val="24"/>
          <w:szCs w:val="24"/>
          <w:lang w:val="es-ES"/>
        </w:rPr>
        <w:t xml:space="preserve">el Tribunal </w:t>
      </w:r>
      <w:r w:rsidR="005B632B" w:rsidRPr="00B22CA9">
        <w:rPr>
          <w:rFonts w:ascii="Times New Roman" w:hAnsi="Times New Roman" w:cs="Times New Roman"/>
          <w:sz w:val="24"/>
          <w:szCs w:val="24"/>
          <w:lang w:val="es-ES"/>
        </w:rPr>
        <w:t>llegara</w:t>
      </w:r>
      <w:r w:rsidR="00AC6531" w:rsidRPr="00B22CA9">
        <w:rPr>
          <w:rFonts w:ascii="Times New Roman" w:hAnsi="Times New Roman" w:cs="Times New Roman"/>
          <w:sz w:val="24"/>
          <w:szCs w:val="24"/>
          <w:lang w:val="es-ES"/>
        </w:rPr>
        <w:t xml:space="preserve"> a </w:t>
      </w:r>
      <w:r w:rsidR="00E44566" w:rsidRPr="00B22CA9">
        <w:rPr>
          <w:rFonts w:ascii="Times New Roman" w:hAnsi="Times New Roman" w:cs="Times New Roman"/>
          <w:sz w:val="24"/>
          <w:szCs w:val="24"/>
          <w:lang w:val="es-ES"/>
        </w:rPr>
        <w:t xml:space="preserve">declarar un incumplimiento </w:t>
      </w:r>
      <w:r w:rsidR="00C60F92" w:rsidRPr="00B22CA9">
        <w:rPr>
          <w:rFonts w:ascii="Times New Roman" w:hAnsi="Times New Roman" w:cs="Times New Roman"/>
          <w:sz w:val="24"/>
          <w:szCs w:val="24"/>
          <w:lang w:val="es-ES"/>
        </w:rPr>
        <w:t xml:space="preserve">por </w:t>
      </w:r>
      <w:r w:rsidR="00E44566" w:rsidRPr="00B22CA9">
        <w:rPr>
          <w:rFonts w:ascii="Times New Roman" w:hAnsi="Times New Roman" w:cs="Times New Roman"/>
          <w:sz w:val="24"/>
          <w:szCs w:val="24"/>
          <w:lang w:val="es-ES"/>
        </w:rPr>
        <w:t>contraven</w:t>
      </w:r>
      <w:r w:rsidR="00C60F92" w:rsidRPr="00B22CA9">
        <w:rPr>
          <w:rFonts w:ascii="Times New Roman" w:hAnsi="Times New Roman" w:cs="Times New Roman"/>
          <w:sz w:val="24"/>
          <w:szCs w:val="24"/>
          <w:lang w:val="es-ES"/>
        </w:rPr>
        <w:t>ir</w:t>
      </w:r>
      <w:r w:rsidR="00E44566" w:rsidRPr="00B22CA9">
        <w:rPr>
          <w:rFonts w:ascii="Times New Roman" w:hAnsi="Times New Roman" w:cs="Times New Roman"/>
          <w:sz w:val="24"/>
          <w:szCs w:val="24"/>
          <w:lang w:val="es-ES"/>
        </w:rPr>
        <w:t xml:space="preserve"> </w:t>
      </w:r>
      <w:r w:rsidR="00C60F92" w:rsidRPr="00B22CA9">
        <w:rPr>
          <w:rFonts w:ascii="Times New Roman" w:hAnsi="Times New Roman" w:cs="Times New Roman"/>
          <w:sz w:val="24"/>
          <w:szCs w:val="24"/>
          <w:lang w:val="es-ES"/>
        </w:rPr>
        <w:t>un</w:t>
      </w:r>
      <w:r w:rsidR="00E44566" w:rsidRPr="00B22CA9">
        <w:rPr>
          <w:rFonts w:ascii="Times New Roman" w:hAnsi="Times New Roman" w:cs="Times New Roman"/>
          <w:sz w:val="24"/>
          <w:szCs w:val="24"/>
          <w:lang w:val="es-ES"/>
        </w:rPr>
        <w:t xml:space="preserve"> derecho de la Carta</w:t>
      </w:r>
      <w:r w:rsidR="00C60F92" w:rsidRPr="00B22CA9">
        <w:rPr>
          <w:rFonts w:ascii="Times New Roman" w:hAnsi="Times New Roman" w:cs="Times New Roman"/>
          <w:sz w:val="24"/>
          <w:szCs w:val="24"/>
          <w:lang w:val="es-ES"/>
        </w:rPr>
        <w:t xml:space="preserve"> sin justificar conexiones adicionales con derecho vigente de la Unión</w:t>
      </w:r>
      <w:r w:rsidR="00E44566" w:rsidRPr="00B22CA9">
        <w:rPr>
          <w:rFonts w:ascii="Times New Roman" w:hAnsi="Times New Roman" w:cs="Times New Roman"/>
          <w:sz w:val="24"/>
          <w:szCs w:val="24"/>
          <w:lang w:val="es-ES"/>
        </w:rPr>
        <w:t>.</w:t>
      </w:r>
      <w:r w:rsidR="00364AE4" w:rsidRPr="00B22CA9">
        <w:rPr>
          <w:rFonts w:ascii="Times New Roman" w:hAnsi="Times New Roman" w:cs="Times New Roman"/>
          <w:sz w:val="24"/>
          <w:szCs w:val="24"/>
          <w:lang w:val="es-ES"/>
        </w:rPr>
        <w:t xml:space="preserve">  </w:t>
      </w:r>
    </w:p>
    <w:p w:rsidR="00455ED8" w:rsidRPr="00B22CA9" w:rsidRDefault="005B632B" w:rsidP="007F11DF">
      <w:pPr>
        <w:spacing w:line="240" w:lineRule="auto"/>
        <w:ind w:firstLine="720"/>
        <w:jc w:val="both"/>
        <w:rPr>
          <w:rFonts w:ascii="Times New Roman" w:hAnsi="Times New Roman" w:cs="Times New Roman"/>
          <w:sz w:val="24"/>
          <w:szCs w:val="24"/>
          <w:lang w:val="es-ES"/>
        </w:rPr>
      </w:pPr>
      <w:r w:rsidRPr="00B22CA9">
        <w:rPr>
          <w:rFonts w:ascii="Times New Roman" w:hAnsi="Times New Roman" w:cs="Times New Roman"/>
          <w:sz w:val="24"/>
          <w:szCs w:val="24"/>
          <w:lang w:val="es-ES"/>
        </w:rPr>
        <w:t xml:space="preserve">En definitiva, </w:t>
      </w:r>
      <w:r w:rsidR="00A21302" w:rsidRPr="00B22CA9">
        <w:rPr>
          <w:rFonts w:ascii="Times New Roman" w:hAnsi="Times New Roman" w:cs="Times New Roman"/>
          <w:sz w:val="24"/>
          <w:szCs w:val="24"/>
          <w:lang w:val="es-ES"/>
        </w:rPr>
        <w:t>s</w:t>
      </w:r>
      <w:r w:rsidR="00364AE4" w:rsidRPr="00B22CA9">
        <w:rPr>
          <w:rFonts w:ascii="Times New Roman" w:hAnsi="Times New Roman" w:cs="Times New Roman"/>
          <w:sz w:val="24"/>
          <w:szCs w:val="24"/>
          <w:lang w:val="es-ES"/>
        </w:rPr>
        <w:t xml:space="preserve">i se utilizase </w:t>
      </w:r>
      <w:r w:rsidR="00C60F92" w:rsidRPr="00B22CA9">
        <w:rPr>
          <w:rFonts w:ascii="Times New Roman" w:hAnsi="Times New Roman" w:cs="Times New Roman"/>
          <w:sz w:val="24"/>
          <w:szCs w:val="24"/>
          <w:lang w:val="es-ES"/>
        </w:rPr>
        <w:t>un</w:t>
      </w:r>
      <w:r w:rsidR="00364AE4" w:rsidRPr="00B22CA9">
        <w:rPr>
          <w:rFonts w:ascii="Times New Roman" w:hAnsi="Times New Roman" w:cs="Times New Roman"/>
          <w:sz w:val="24"/>
          <w:szCs w:val="24"/>
          <w:lang w:val="es-ES"/>
        </w:rPr>
        <w:t>a estrategia</w:t>
      </w:r>
      <w:r w:rsidRPr="00B22CA9">
        <w:rPr>
          <w:rFonts w:ascii="Times New Roman" w:hAnsi="Times New Roman" w:cs="Times New Roman"/>
          <w:sz w:val="24"/>
          <w:szCs w:val="24"/>
          <w:lang w:val="es-ES"/>
        </w:rPr>
        <w:t xml:space="preserve"> </w:t>
      </w:r>
      <w:r w:rsidR="00C60F92" w:rsidRPr="00B22CA9">
        <w:rPr>
          <w:rFonts w:ascii="Times New Roman" w:hAnsi="Times New Roman" w:cs="Times New Roman"/>
          <w:sz w:val="24"/>
          <w:szCs w:val="24"/>
          <w:lang w:val="es-ES"/>
        </w:rPr>
        <w:t xml:space="preserve">tal </w:t>
      </w:r>
      <w:r w:rsidRPr="00B22CA9">
        <w:rPr>
          <w:rFonts w:ascii="Times New Roman" w:hAnsi="Times New Roman" w:cs="Times New Roman"/>
          <w:sz w:val="24"/>
          <w:szCs w:val="24"/>
          <w:lang w:val="es-ES"/>
        </w:rPr>
        <w:t>de integración encubierta</w:t>
      </w:r>
      <w:r w:rsidR="00C60F92" w:rsidRPr="00B22CA9">
        <w:rPr>
          <w:rFonts w:ascii="Times New Roman" w:hAnsi="Times New Roman" w:cs="Times New Roman"/>
          <w:sz w:val="24"/>
          <w:szCs w:val="24"/>
          <w:lang w:val="es-ES"/>
        </w:rPr>
        <w:t>,</w:t>
      </w:r>
      <w:r w:rsidR="00364AE4" w:rsidRPr="00B22CA9">
        <w:rPr>
          <w:rFonts w:ascii="Times New Roman" w:hAnsi="Times New Roman" w:cs="Times New Roman"/>
          <w:sz w:val="24"/>
          <w:szCs w:val="24"/>
          <w:lang w:val="es-ES"/>
        </w:rPr>
        <w:t xml:space="preserve"> llevándola más allá de los parámetros </w:t>
      </w:r>
      <w:r w:rsidR="00C60F92" w:rsidRPr="00B22CA9">
        <w:rPr>
          <w:rFonts w:ascii="Times New Roman" w:hAnsi="Times New Roman" w:cs="Times New Roman"/>
          <w:sz w:val="24"/>
          <w:szCs w:val="24"/>
          <w:lang w:val="es-ES"/>
        </w:rPr>
        <w:t>de la</w:t>
      </w:r>
      <w:r w:rsidR="00364AE4" w:rsidRPr="00B22CA9">
        <w:rPr>
          <w:rFonts w:ascii="Times New Roman" w:hAnsi="Times New Roman" w:cs="Times New Roman"/>
          <w:sz w:val="24"/>
          <w:szCs w:val="24"/>
          <w:lang w:val="es-ES"/>
        </w:rPr>
        <w:t xml:space="preserve"> </w:t>
      </w:r>
      <w:r w:rsidRPr="00B22CA9">
        <w:rPr>
          <w:rFonts w:ascii="Times New Roman" w:hAnsi="Times New Roman" w:cs="Times New Roman"/>
          <w:sz w:val="24"/>
          <w:szCs w:val="24"/>
          <w:lang w:val="es-ES"/>
        </w:rPr>
        <w:t>es</w:t>
      </w:r>
      <w:r w:rsidR="00364AE4" w:rsidRPr="00B22CA9">
        <w:rPr>
          <w:rFonts w:ascii="Times New Roman" w:hAnsi="Times New Roman" w:cs="Times New Roman"/>
          <w:sz w:val="24"/>
          <w:szCs w:val="24"/>
          <w:lang w:val="es-ES"/>
        </w:rPr>
        <w:t>a composición plural del constitucionalismo</w:t>
      </w:r>
      <w:r w:rsidR="00C60F92" w:rsidRPr="00B22CA9">
        <w:rPr>
          <w:rFonts w:ascii="Times New Roman" w:hAnsi="Times New Roman" w:cs="Times New Roman"/>
          <w:sz w:val="24"/>
          <w:szCs w:val="24"/>
          <w:lang w:val="es-ES"/>
        </w:rPr>
        <w:t xml:space="preserve"> de</w:t>
      </w:r>
      <w:r w:rsidR="00364AE4" w:rsidRPr="00B22CA9">
        <w:rPr>
          <w:rFonts w:ascii="Times New Roman" w:hAnsi="Times New Roman" w:cs="Times New Roman"/>
          <w:sz w:val="24"/>
          <w:szCs w:val="24"/>
          <w:lang w:val="es-ES"/>
        </w:rPr>
        <w:t xml:space="preserve"> relación entre Unión y Estados, el resultado </w:t>
      </w:r>
      <w:r w:rsidR="00C60F92" w:rsidRPr="00B22CA9">
        <w:rPr>
          <w:rFonts w:ascii="Times New Roman" w:hAnsi="Times New Roman" w:cs="Times New Roman"/>
          <w:sz w:val="24"/>
          <w:szCs w:val="24"/>
          <w:lang w:val="es-ES"/>
        </w:rPr>
        <w:t xml:space="preserve">se arriesgaría a dar </w:t>
      </w:r>
      <w:r w:rsidR="00364AE4" w:rsidRPr="00B22CA9">
        <w:rPr>
          <w:rFonts w:ascii="Times New Roman" w:hAnsi="Times New Roman" w:cs="Times New Roman"/>
          <w:sz w:val="24"/>
          <w:szCs w:val="24"/>
          <w:lang w:val="es-ES"/>
        </w:rPr>
        <w:t xml:space="preserve">la razón a algunos tribunales constitucionales, </w:t>
      </w:r>
      <w:r w:rsidR="00C60F92" w:rsidRPr="00B22CA9">
        <w:rPr>
          <w:rFonts w:ascii="Times New Roman" w:hAnsi="Times New Roman" w:cs="Times New Roman"/>
          <w:sz w:val="24"/>
          <w:szCs w:val="24"/>
          <w:lang w:val="es-ES"/>
        </w:rPr>
        <w:t>certificando una actuación</w:t>
      </w:r>
      <w:r w:rsidR="00364AE4" w:rsidRPr="00B22CA9">
        <w:rPr>
          <w:rFonts w:ascii="Times New Roman" w:hAnsi="Times New Roman" w:cs="Times New Roman"/>
          <w:sz w:val="24"/>
          <w:szCs w:val="24"/>
          <w:lang w:val="es-ES"/>
        </w:rPr>
        <w:t xml:space="preserve"> </w:t>
      </w:r>
      <w:r w:rsidR="00364AE4" w:rsidRPr="00B22CA9">
        <w:rPr>
          <w:rFonts w:ascii="Times New Roman" w:hAnsi="Times New Roman" w:cs="Times New Roman"/>
          <w:i/>
          <w:sz w:val="24"/>
          <w:szCs w:val="24"/>
          <w:lang w:val="es-ES"/>
        </w:rPr>
        <w:t>ultra vires</w:t>
      </w:r>
      <w:r w:rsidR="00C60F92" w:rsidRPr="00B22CA9">
        <w:rPr>
          <w:rFonts w:ascii="Times New Roman" w:hAnsi="Times New Roman" w:cs="Times New Roman"/>
          <w:sz w:val="24"/>
          <w:szCs w:val="24"/>
          <w:lang w:val="es-ES"/>
        </w:rPr>
        <w:t xml:space="preserve"> de la Unión</w:t>
      </w:r>
      <w:r w:rsidR="00364AE4" w:rsidRPr="00B22CA9">
        <w:rPr>
          <w:rFonts w:ascii="Times New Roman" w:hAnsi="Times New Roman" w:cs="Times New Roman"/>
          <w:sz w:val="24"/>
          <w:szCs w:val="24"/>
          <w:lang w:val="es-ES"/>
        </w:rPr>
        <w:t>.</w:t>
      </w:r>
      <w:r w:rsidR="00A21302" w:rsidRPr="00B22CA9">
        <w:rPr>
          <w:rFonts w:ascii="Times New Roman" w:hAnsi="Times New Roman" w:cs="Times New Roman"/>
          <w:sz w:val="24"/>
          <w:szCs w:val="24"/>
          <w:lang w:val="es-ES"/>
        </w:rPr>
        <w:t xml:space="preserve"> Por tanto, </w:t>
      </w:r>
      <w:r w:rsidR="00C905E3" w:rsidRPr="00B22CA9">
        <w:rPr>
          <w:rFonts w:ascii="Times New Roman" w:hAnsi="Times New Roman" w:cs="Times New Roman"/>
          <w:sz w:val="24"/>
          <w:szCs w:val="24"/>
          <w:lang w:val="es-ES"/>
        </w:rPr>
        <w:t>si bien</w:t>
      </w:r>
      <w:r w:rsidR="00A21302" w:rsidRPr="00B22CA9">
        <w:rPr>
          <w:rFonts w:ascii="Times New Roman" w:hAnsi="Times New Roman" w:cs="Times New Roman"/>
          <w:sz w:val="24"/>
          <w:szCs w:val="24"/>
          <w:lang w:val="es-ES"/>
        </w:rPr>
        <w:t xml:space="preserve"> el procedimiento de incumplimiento</w:t>
      </w:r>
      <w:r w:rsidR="00C905E3" w:rsidRPr="00B22CA9">
        <w:rPr>
          <w:rFonts w:ascii="Times New Roman" w:hAnsi="Times New Roman" w:cs="Times New Roman"/>
          <w:sz w:val="24"/>
          <w:szCs w:val="24"/>
          <w:lang w:val="es-ES"/>
        </w:rPr>
        <w:t xml:space="preserve"> podría</w:t>
      </w:r>
      <w:r w:rsidR="00A21302" w:rsidRPr="00B22CA9">
        <w:rPr>
          <w:rFonts w:ascii="Times New Roman" w:hAnsi="Times New Roman" w:cs="Times New Roman"/>
          <w:sz w:val="24"/>
          <w:szCs w:val="24"/>
          <w:lang w:val="es-ES"/>
        </w:rPr>
        <w:t xml:space="preserve"> adopta</w:t>
      </w:r>
      <w:r w:rsidR="00C905E3" w:rsidRPr="00B22CA9">
        <w:rPr>
          <w:rFonts w:ascii="Times New Roman" w:hAnsi="Times New Roman" w:cs="Times New Roman"/>
          <w:sz w:val="24"/>
          <w:szCs w:val="24"/>
          <w:lang w:val="es-ES"/>
        </w:rPr>
        <w:t>r</w:t>
      </w:r>
      <w:r w:rsidR="00A21302" w:rsidRPr="00B22CA9">
        <w:rPr>
          <w:rFonts w:ascii="Times New Roman" w:hAnsi="Times New Roman" w:cs="Times New Roman"/>
          <w:sz w:val="24"/>
          <w:szCs w:val="24"/>
          <w:lang w:val="es-ES"/>
        </w:rPr>
        <w:t xml:space="preserve"> una caracterización </w:t>
      </w:r>
      <w:r w:rsidRPr="00B22CA9">
        <w:rPr>
          <w:rFonts w:ascii="Times New Roman" w:hAnsi="Times New Roman" w:cs="Times New Roman"/>
          <w:sz w:val="24"/>
          <w:szCs w:val="24"/>
          <w:lang w:val="es-ES"/>
        </w:rPr>
        <w:t>particular</w:t>
      </w:r>
      <w:r w:rsidR="00A21302" w:rsidRPr="00B22CA9">
        <w:rPr>
          <w:rFonts w:ascii="Times New Roman" w:hAnsi="Times New Roman" w:cs="Times New Roman"/>
          <w:sz w:val="24"/>
          <w:szCs w:val="24"/>
          <w:lang w:val="es-ES"/>
        </w:rPr>
        <w:t xml:space="preserve"> como mecanismo de garantía de los derechos fundamentales</w:t>
      </w:r>
      <w:r w:rsidR="00C905E3" w:rsidRPr="00B22CA9">
        <w:rPr>
          <w:rFonts w:ascii="Times New Roman" w:hAnsi="Times New Roman" w:cs="Times New Roman"/>
          <w:sz w:val="24"/>
          <w:szCs w:val="24"/>
          <w:lang w:val="es-ES"/>
        </w:rPr>
        <w:t>,</w:t>
      </w:r>
      <w:r w:rsidR="00A21302" w:rsidRPr="00B22CA9">
        <w:rPr>
          <w:rFonts w:ascii="Times New Roman" w:hAnsi="Times New Roman" w:cs="Times New Roman"/>
          <w:sz w:val="24"/>
          <w:szCs w:val="24"/>
          <w:lang w:val="es-ES"/>
        </w:rPr>
        <w:t xml:space="preserve"> aprovecha</w:t>
      </w:r>
      <w:r w:rsidR="00C905E3" w:rsidRPr="00B22CA9">
        <w:rPr>
          <w:rFonts w:ascii="Times New Roman" w:hAnsi="Times New Roman" w:cs="Times New Roman"/>
          <w:sz w:val="24"/>
          <w:szCs w:val="24"/>
          <w:lang w:val="es-ES"/>
        </w:rPr>
        <w:t>ndo</w:t>
      </w:r>
      <w:r w:rsidR="00A21302" w:rsidRPr="00B22CA9">
        <w:rPr>
          <w:rFonts w:ascii="Times New Roman" w:hAnsi="Times New Roman" w:cs="Times New Roman"/>
          <w:sz w:val="24"/>
          <w:szCs w:val="24"/>
          <w:lang w:val="es-ES"/>
        </w:rPr>
        <w:t xml:space="preserve"> las sinergias ya desarrolladas en torno al mismo</w:t>
      </w:r>
      <w:r w:rsidR="00C60F92" w:rsidRPr="00B22CA9">
        <w:rPr>
          <w:rFonts w:ascii="Times New Roman" w:hAnsi="Times New Roman" w:cs="Times New Roman"/>
          <w:sz w:val="24"/>
          <w:szCs w:val="24"/>
          <w:lang w:val="es-ES"/>
        </w:rPr>
        <w:t xml:space="preserve"> y que sin duda sirven al proyecto de integración</w:t>
      </w:r>
      <w:r w:rsidR="00A21302" w:rsidRPr="00B22CA9">
        <w:rPr>
          <w:rFonts w:ascii="Times New Roman" w:hAnsi="Times New Roman" w:cs="Times New Roman"/>
          <w:sz w:val="24"/>
          <w:szCs w:val="24"/>
          <w:lang w:val="es-ES"/>
        </w:rPr>
        <w:t xml:space="preserve">, </w:t>
      </w:r>
      <w:r w:rsidR="00C905E3" w:rsidRPr="00B22CA9">
        <w:rPr>
          <w:rFonts w:ascii="Times New Roman" w:hAnsi="Times New Roman" w:cs="Times New Roman"/>
          <w:sz w:val="24"/>
          <w:szCs w:val="24"/>
          <w:lang w:val="es-ES"/>
        </w:rPr>
        <w:t>darle</w:t>
      </w:r>
      <w:r w:rsidR="00A21302" w:rsidRPr="00B22CA9">
        <w:rPr>
          <w:rFonts w:ascii="Times New Roman" w:hAnsi="Times New Roman" w:cs="Times New Roman"/>
          <w:sz w:val="24"/>
          <w:szCs w:val="24"/>
          <w:lang w:val="es-ES"/>
        </w:rPr>
        <w:t xml:space="preserve"> una aplicación más extensiva, o más allá de obligaciones jurídicas especificadas en normas de </w:t>
      </w:r>
      <w:r w:rsidR="00CF0808" w:rsidRPr="00B22CA9">
        <w:rPr>
          <w:rFonts w:ascii="Times New Roman" w:hAnsi="Times New Roman" w:cs="Times New Roman"/>
          <w:sz w:val="24"/>
          <w:szCs w:val="24"/>
          <w:lang w:val="es-ES"/>
        </w:rPr>
        <w:t>d</w:t>
      </w:r>
      <w:r w:rsidR="00A21302" w:rsidRPr="00B22CA9">
        <w:rPr>
          <w:rFonts w:ascii="Times New Roman" w:hAnsi="Times New Roman" w:cs="Times New Roman"/>
          <w:sz w:val="24"/>
          <w:szCs w:val="24"/>
          <w:lang w:val="es-ES"/>
        </w:rPr>
        <w:t xml:space="preserve">erecho de la Unión, </w:t>
      </w:r>
      <w:r w:rsidR="00C60F92" w:rsidRPr="00B22CA9">
        <w:rPr>
          <w:rFonts w:ascii="Times New Roman" w:hAnsi="Times New Roman" w:cs="Times New Roman"/>
          <w:sz w:val="24"/>
          <w:szCs w:val="24"/>
          <w:lang w:val="es-ES"/>
        </w:rPr>
        <w:t>obligaría a</w:t>
      </w:r>
      <w:r w:rsidR="00A21302" w:rsidRPr="00B22CA9">
        <w:rPr>
          <w:rFonts w:ascii="Times New Roman" w:hAnsi="Times New Roman" w:cs="Times New Roman"/>
          <w:sz w:val="24"/>
          <w:szCs w:val="24"/>
          <w:lang w:val="es-ES"/>
        </w:rPr>
        <w:t xml:space="preserve"> modificar los parámetros suministrados por el artículo 51 de la Carta. Aprovechar esas sinergias, no obstante, </w:t>
      </w:r>
      <w:r w:rsidR="00C905E3" w:rsidRPr="00B22CA9">
        <w:rPr>
          <w:rFonts w:ascii="Times New Roman" w:hAnsi="Times New Roman" w:cs="Times New Roman"/>
          <w:sz w:val="24"/>
          <w:szCs w:val="24"/>
          <w:lang w:val="es-ES"/>
        </w:rPr>
        <w:t>requeriría</w:t>
      </w:r>
      <w:r w:rsidR="00A21302" w:rsidRPr="00B22CA9">
        <w:rPr>
          <w:rFonts w:ascii="Times New Roman" w:hAnsi="Times New Roman" w:cs="Times New Roman"/>
          <w:sz w:val="24"/>
          <w:szCs w:val="24"/>
          <w:lang w:val="es-ES"/>
        </w:rPr>
        <w:t xml:space="preserve"> mantener inalteradas la posición y facultades de la Comisión en relación con el recurso de incumplimiento, </w:t>
      </w:r>
      <w:r w:rsidR="00C60F92" w:rsidRPr="00B22CA9">
        <w:rPr>
          <w:rFonts w:ascii="Times New Roman" w:hAnsi="Times New Roman" w:cs="Times New Roman"/>
          <w:sz w:val="24"/>
          <w:szCs w:val="24"/>
          <w:lang w:val="es-ES"/>
        </w:rPr>
        <w:t xml:space="preserve">que es lo que es por el impulso de esta, </w:t>
      </w:r>
      <w:r w:rsidR="00A21302" w:rsidRPr="00B22CA9">
        <w:rPr>
          <w:rFonts w:ascii="Times New Roman" w:hAnsi="Times New Roman" w:cs="Times New Roman"/>
          <w:sz w:val="24"/>
          <w:szCs w:val="24"/>
          <w:lang w:val="es-ES"/>
        </w:rPr>
        <w:t xml:space="preserve">lo cual </w:t>
      </w:r>
      <w:r w:rsidR="00C905E3" w:rsidRPr="00B22CA9">
        <w:rPr>
          <w:rFonts w:ascii="Times New Roman" w:hAnsi="Times New Roman" w:cs="Times New Roman"/>
          <w:sz w:val="24"/>
          <w:szCs w:val="24"/>
          <w:lang w:val="es-ES"/>
        </w:rPr>
        <w:t>se pone en contradicción</w:t>
      </w:r>
      <w:r w:rsidR="00C60F92" w:rsidRPr="00B22CA9">
        <w:rPr>
          <w:rFonts w:ascii="Times New Roman" w:hAnsi="Times New Roman" w:cs="Times New Roman"/>
          <w:sz w:val="24"/>
          <w:szCs w:val="24"/>
          <w:lang w:val="es-ES"/>
        </w:rPr>
        <w:t xml:space="preserve"> esta reflexión</w:t>
      </w:r>
      <w:r w:rsidR="00C905E3" w:rsidRPr="00B22CA9">
        <w:rPr>
          <w:rFonts w:ascii="Times New Roman" w:hAnsi="Times New Roman" w:cs="Times New Roman"/>
          <w:sz w:val="24"/>
          <w:szCs w:val="24"/>
          <w:lang w:val="es-ES"/>
        </w:rPr>
        <w:t xml:space="preserve"> </w:t>
      </w:r>
      <w:r w:rsidR="00A21302" w:rsidRPr="00B22CA9">
        <w:rPr>
          <w:rFonts w:ascii="Times New Roman" w:hAnsi="Times New Roman" w:cs="Times New Roman"/>
          <w:sz w:val="24"/>
          <w:szCs w:val="24"/>
          <w:lang w:val="es-ES"/>
        </w:rPr>
        <w:t xml:space="preserve">con </w:t>
      </w:r>
      <w:r w:rsidR="00C60F92" w:rsidRPr="00B22CA9">
        <w:rPr>
          <w:rFonts w:ascii="Times New Roman" w:hAnsi="Times New Roman" w:cs="Times New Roman"/>
          <w:sz w:val="24"/>
          <w:szCs w:val="24"/>
          <w:lang w:val="es-ES"/>
        </w:rPr>
        <w:t xml:space="preserve">algunas de </w:t>
      </w:r>
      <w:r w:rsidR="00A21302" w:rsidRPr="00B22CA9">
        <w:rPr>
          <w:rFonts w:ascii="Times New Roman" w:hAnsi="Times New Roman" w:cs="Times New Roman"/>
          <w:sz w:val="24"/>
          <w:szCs w:val="24"/>
          <w:lang w:val="es-ES"/>
        </w:rPr>
        <w:t xml:space="preserve">las efectuadas </w:t>
      </w:r>
      <w:r w:rsidR="00C905E3" w:rsidRPr="00B22CA9">
        <w:rPr>
          <w:rFonts w:ascii="Times New Roman" w:hAnsi="Times New Roman" w:cs="Times New Roman"/>
          <w:sz w:val="24"/>
          <w:szCs w:val="24"/>
          <w:lang w:val="es-ES"/>
        </w:rPr>
        <w:t>más arriba</w:t>
      </w:r>
      <w:r w:rsidR="00A21302" w:rsidRPr="00B22CA9">
        <w:rPr>
          <w:rFonts w:ascii="Times New Roman" w:hAnsi="Times New Roman" w:cs="Times New Roman"/>
          <w:sz w:val="24"/>
          <w:szCs w:val="24"/>
          <w:lang w:val="es-ES"/>
        </w:rPr>
        <w:t xml:space="preserve">.    </w:t>
      </w:r>
      <w:r w:rsidR="00364AE4" w:rsidRPr="00B22CA9">
        <w:rPr>
          <w:rFonts w:ascii="Times New Roman" w:hAnsi="Times New Roman" w:cs="Times New Roman"/>
          <w:sz w:val="24"/>
          <w:szCs w:val="24"/>
          <w:lang w:val="es-ES"/>
        </w:rPr>
        <w:t xml:space="preserve">  </w:t>
      </w:r>
      <w:r w:rsidR="00E44566" w:rsidRPr="00B22CA9">
        <w:rPr>
          <w:rFonts w:ascii="Times New Roman" w:hAnsi="Times New Roman" w:cs="Times New Roman"/>
          <w:sz w:val="24"/>
          <w:szCs w:val="24"/>
          <w:lang w:val="es-ES"/>
        </w:rPr>
        <w:t xml:space="preserve">  </w:t>
      </w:r>
      <w:r w:rsidR="00455ED8" w:rsidRPr="00B22CA9">
        <w:rPr>
          <w:rFonts w:ascii="Times New Roman" w:hAnsi="Times New Roman" w:cs="Times New Roman"/>
          <w:sz w:val="24"/>
          <w:szCs w:val="24"/>
          <w:lang w:val="es-ES"/>
        </w:rPr>
        <w:t xml:space="preserve"> </w:t>
      </w:r>
    </w:p>
    <w:p w:rsidR="005D5D72" w:rsidRPr="00B22CA9" w:rsidRDefault="00816958" w:rsidP="007F11DF">
      <w:pPr>
        <w:spacing w:line="240" w:lineRule="auto"/>
        <w:jc w:val="both"/>
        <w:rPr>
          <w:rFonts w:ascii="Times New Roman" w:hAnsi="Times New Roman" w:cs="Times New Roman"/>
          <w:sz w:val="24"/>
          <w:szCs w:val="24"/>
          <w:lang w:val="es-ES"/>
        </w:rPr>
      </w:pPr>
      <w:r w:rsidRPr="00B22CA9">
        <w:rPr>
          <w:rFonts w:ascii="Times New Roman" w:hAnsi="Times New Roman" w:cs="Times New Roman"/>
          <w:sz w:val="24"/>
          <w:szCs w:val="24"/>
          <w:lang w:val="es-ES"/>
        </w:rPr>
        <w:lastRenderedPageBreak/>
        <w:tab/>
      </w:r>
      <w:r w:rsidR="00E10619" w:rsidRPr="00B22CA9">
        <w:rPr>
          <w:rFonts w:ascii="Times New Roman" w:hAnsi="Times New Roman" w:cs="Times New Roman"/>
          <w:sz w:val="24"/>
          <w:szCs w:val="24"/>
          <w:lang w:val="es-ES"/>
        </w:rPr>
        <w:t xml:space="preserve">Por fin, en </w:t>
      </w:r>
      <w:r w:rsidR="00C905E3" w:rsidRPr="00B22CA9">
        <w:rPr>
          <w:rFonts w:ascii="Times New Roman" w:hAnsi="Times New Roman" w:cs="Times New Roman"/>
          <w:sz w:val="24"/>
          <w:szCs w:val="24"/>
          <w:lang w:val="es-ES"/>
        </w:rPr>
        <w:t>relación con l</w:t>
      </w:r>
      <w:r w:rsidR="00E10619" w:rsidRPr="00B22CA9">
        <w:rPr>
          <w:rFonts w:ascii="Times New Roman" w:hAnsi="Times New Roman" w:cs="Times New Roman"/>
          <w:sz w:val="24"/>
          <w:szCs w:val="24"/>
          <w:lang w:val="es-ES"/>
        </w:rPr>
        <w:t>a fase contenc</w:t>
      </w:r>
      <w:r w:rsidR="00C905E3" w:rsidRPr="00B22CA9">
        <w:rPr>
          <w:rFonts w:ascii="Times New Roman" w:hAnsi="Times New Roman" w:cs="Times New Roman"/>
          <w:sz w:val="24"/>
          <w:szCs w:val="24"/>
          <w:lang w:val="es-ES"/>
        </w:rPr>
        <w:t>iosa</w:t>
      </w:r>
      <w:r w:rsidR="0077600B" w:rsidRPr="00B22CA9">
        <w:rPr>
          <w:rFonts w:ascii="Times New Roman" w:hAnsi="Times New Roman" w:cs="Times New Roman"/>
          <w:sz w:val="24"/>
          <w:szCs w:val="24"/>
          <w:lang w:val="es-ES"/>
        </w:rPr>
        <w:t>, un aspecto más sería el de la eficacia</w:t>
      </w:r>
      <w:r w:rsidR="00C905E3" w:rsidRPr="00B22CA9">
        <w:rPr>
          <w:rFonts w:ascii="Times New Roman" w:hAnsi="Times New Roman" w:cs="Times New Roman"/>
          <w:sz w:val="24"/>
          <w:szCs w:val="24"/>
          <w:lang w:val="es-ES"/>
        </w:rPr>
        <w:t xml:space="preserve"> de un</w:t>
      </w:r>
      <w:r w:rsidR="00E10619" w:rsidRPr="00B22CA9">
        <w:rPr>
          <w:rFonts w:ascii="Times New Roman" w:hAnsi="Times New Roman" w:cs="Times New Roman"/>
          <w:sz w:val="24"/>
          <w:szCs w:val="24"/>
          <w:lang w:val="es-ES"/>
        </w:rPr>
        <w:t xml:space="preserve"> </w:t>
      </w:r>
      <w:r w:rsidR="00455ED8" w:rsidRPr="00B22CA9">
        <w:rPr>
          <w:rFonts w:ascii="Times New Roman" w:hAnsi="Times New Roman" w:cs="Times New Roman"/>
          <w:sz w:val="24"/>
          <w:szCs w:val="24"/>
          <w:lang w:val="es-ES"/>
        </w:rPr>
        <w:t>posible fallo del Tribunal de Justicia</w:t>
      </w:r>
      <w:r w:rsidR="00E10619" w:rsidRPr="00B22CA9">
        <w:rPr>
          <w:rFonts w:ascii="Times New Roman" w:hAnsi="Times New Roman" w:cs="Times New Roman"/>
          <w:sz w:val="24"/>
          <w:szCs w:val="24"/>
          <w:lang w:val="es-ES"/>
        </w:rPr>
        <w:t xml:space="preserve"> declarando la contravención de los derechos</w:t>
      </w:r>
      <w:r w:rsidR="00C905E3" w:rsidRPr="00B22CA9">
        <w:rPr>
          <w:rFonts w:ascii="Times New Roman" w:hAnsi="Times New Roman" w:cs="Times New Roman"/>
          <w:sz w:val="24"/>
          <w:szCs w:val="24"/>
          <w:lang w:val="es-ES"/>
        </w:rPr>
        <w:t xml:space="preserve"> fundamentales </w:t>
      </w:r>
      <w:r w:rsidR="0077600B" w:rsidRPr="00B22CA9">
        <w:rPr>
          <w:rFonts w:ascii="Times New Roman" w:hAnsi="Times New Roman" w:cs="Times New Roman"/>
          <w:sz w:val="24"/>
          <w:szCs w:val="24"/>
          <w:lang w:val="es-ES"/>
        </w:rPr>
        <w:t>en un</w:t>
      </w:r>
      <w:r w:rsidR="00C905E3" w:rsidRPr="00B22CA9">
        <w:rPr>
          <w:rFonts w:ascii="Times New Roman" w:hAnsi="Times New Roman" w:cs="Times New Roman"/>
          <w:sz w:val="24"/>
          <w:szCs w:val="24"/>
          <w:lang w:val="es-ES"/>
        </w:rPr>
        <w:t xml:space="preserve"> Estado miembro</w:t>
      </w:r>
      <w:r w:rsidR="00E10619" w:rsidRPr="00B22CA9">
        <w:rPr>
          <w:rFonts w:ascii="Times New Roman" w:hAnsi="Times New Roman" w:cs="Times New Roman"/>
          <w:sz w:val="24"/>
          <w:szCs w:val="24"/>
          <w:lang w:val="es-ES"/>
        </w:rPr>
        <w:t xml:space="preserve">. </w:t>
      </w:r>
      <w:r w:rsidR="00C905E3" w:rsidRPr="00B22CA9">
        <w:rPr>
          <w:rFonts w:ascii="Times New Roman" w:hAnsi="Times New Roman" w:cs="Times New Roman"/>
          <w:sz w:val="24"/>
          <w:szCs w:val="24"/>
          <w:lang w:val="es-ES"/>
        </w:rPr>
        <w:t xml:space="preserve">Si se </w:t>
      </w:r>
      <w:r w:rsidR="0077600B" w:rsidRPr="00B22CA9">
        <w:rPr>
          <w:rFonts w:ascii="Times New Roman" w:hAnsi="Times New Roman" w:cs="Times New Roman"/>
          <w:sz w:val="24"/>
          <w:szCs w:val="24"/>
          <w:lang w:val="es-ES"/>
        </w:rPr>
        <w:t xml:space="preserve">la </w:t>
      </w:r>
      <w:r w:rsidR="00C905E3" w:rsidRPr="00B22CA9">
        <w:rPr>
          <w:rFonts w:ascii="Times New Roman" w:hAnsi="Times New Roman" w:cs="Times New Roman"/>
          <w:sz w:val="24"/>
          <w:szCs w:val="24"/>
          <w:lang w:val="es-ES"/>
        </w:rPr>
        <w:t xml:space="preserve">compara con una </w:t>
      </w:r>
      <w:r w:rsidR="00B0645B" w:rsidRPr="00B22CA9">
        <w:rPr>
          <w:rFonts w:ascii="Times New Roman" w:hAnsi="Times New Roman" w:cs="Times New Roman"/>
          <w:sz w:val="24"/>
          <w:szCs w:val="24"/>
          <w:lang w:val="es-ES"/>
        </w:rPr>
        <w:t xml:space="preserve">prejudicial, </w:t>
      </w:r>
      <w:r w:rsidR="00C905E3" w:rsidRPr="00B22CA9">
        <w:rPr>
          <w:rFonts w:ascii="Times New Roman" w:hAnsi="Times New Roman" w:cs="Times New Roman"/>
          <w:sz w:val="24"/>
          <w:szCs w:val="24"/>
          <w:lang w:val="es-ES"/>
        </w:rPr>
        <w:t xml:space="preserve">la de incumplimiento </w:t>
      </w:r>
      <w:r w:rsidR="00E10619" w:rsidRPr="00B22CA9">
        <w:rPr>
          <w:rFonts w:ascii="Times New Roman" w:hAnsi="Times New Roman" w:cs="Times New Roman"/>
          <w:sz w:val="24"/>
          <w:szCs w:val="24"/>
          <w:lang w:val="es-ES"/>
        </w:rPr>
        <w:t>n</w:t>
      </w:r>
      <w:r w:rsidR="00455ED8" w:rsidRPr="00B22CA9">
        <w:rPr>
          <w:rFonts w:ascii="Times New Roman" w:hAnsi="Times New Roman" w:cs="Times New Roman"/>
          <w:sz w:val="24"/>
          <w:szCs w:val="24"/>
          <w:lang w:val="es-ES"/>
        </w:rPr>
        <w:t>o se trataría de una sentencia con efectos sobre un caso particular que</w:t>
      </w:r>
      <w:r w:rsidR="00C905E3" w:rsidRPr="00B22CA9">
        <w:rPr>
          <w:rFonts w:ascii="Times New Roman" w:hAnsi="Times New Roman" w:cs="Times New Roman"/>
          <w:sz w:val="24"/>
          <w:szCs w:val="24"/>
          <w:lang w:val="es-ES"/>
        </w:rPr>
        <w:t>, siguiendo la interpretación del Tribunal de Justicia,</w:t>
      </w:r>
      <w:r w:rsidR="00455ED8" w:rsidRPr="00B22CA9">
        <w:rPr>
          <w:rFonts w:ascii="Times New Roman" w:hAnsi="Times New Roman" w:cs="Times New Roman"/>
          <w:sz w:val="24"/>
          <w:szCs w:val="24"/>
          <w:lang w:val="es-ES"/>
        </w:rPr>
        <w:t xml:space="preserve"> implementaría un juez estatal</w:t>
      </w:r>
      <w:r w:rsidR="00C905E3" w:rsidRPr="00B22CA9">
        <w:rPr>
          <w:rFonts w:ascii="Times New Roman" w:hAnsi="Times New Roman" w:cs="Times New Roman"/>
          <w:sz w:val="24"/>
          <w:szCs w:val="24"/>
          <w:lang w:val="es-ES"/>
        </w:rPr>
        <w:t>. Consistiría</w:t>
      </w:r>
      <w:r w:rsidR="005D5D72" w:rsidRPr="00B22CA9">
        <w:rPr>
          <w:rFonts w:ascii="Times New Roman" w:hAnsi="Times New Roman" w:cs="Times New Roman"/>
          <w:sz w:val="24"/>
          <w:szCs w:val="24"/>
          <w:lang w:val="es-ES"/>
        </w:rPr>
        <w:t xml:space="preserve">, sin embargo, en una </w:t>
      </w:r>
      <w:r w:rsidR="00455ED8" w:rsidRPr="00B22CA9">
        <w:rPr>
          <w:rFonts w:ascii="Times New Roman" w:hAnsi="Times New Roman" w:cs="Times New Roman"/>
          <w:sz w:val="24"/>
          <w:szCs w:val="24"/>
          <w:lang w:val="es-ES"/>
        </w:rPr>
        <w:t xml:space="preserve">resolución </w:t>
      </w:r>
      <w:r w:rsidR="005D5D72" w:rsidRPr="00B22CA9">
        <w:rPr>
          <w:rFonts w:ascii="Times New Roman" w:hAnsi="Times New Roman" w:cs="Times New Roman"/>
          <w:sz w:val="24"/>
          <w:szCs w:val="24"/>
          <w:lang w:val="es-ES"/>
        </w:rPr>
        <w:t>declarativa con un modo</w:t>
      </w:r>
      <w:r w:rsidR="00455ED8" w:rsidRPr="00B22CA9">
        <w:rPr>
          <w:rFonts w:ascii="Times New Roman" w:hAnsi="Times New Roman" w:cs="Times New Roman"/>
          <w:sz w:val="24"/>
          <w:szCs w:val="24"/>
          <w:lang w:val="es-ES"/>
        </w:rPr>
        <w:t xml:space="preserve"> de coerción indirecta sobre el Estado infractor</w:t>
      </w:r>
      <w:r w:rsidR="00ED2FF3" w:rsidRPr="00B22CA9">
        <w:rPr>
          <w:rFonts w:ascii="Times New Roman" w:hAnsi="Times New Roman" w:cs="Times New Roman"/>
          <w:sz w:val="24"/>
          <w:szCs w:val="24"/>
          <w:lang w:val="es-ES"/>
        </w:rPr>
        <w:t>. L</w:t>
      </w:r>
      <w:r w:rsidR="008711B5" w:rsidRPr="00B22CA9">
        <w:rPr>
          <w:rFonts w:ascii="Times New Roman" w:hAnsi="Times New Roman" w:cs="Times New Roman"/>
          <w:sz w:val="24"/>
          <w:szCs w:val="24"/>
          <w:lang w:val="es-ES"/>
        </w:rPr>
        <w:t>a definitiva ejecución de la misma solo depende</w:t>
      </w:r>
      <w:r w:rsidR="00ED2FF3" w:rsidRPr="00B22CA9">
        <w:rPr>
          <w:rFonts w:ascii="Times New Roman" w:hAnsi="Times New Roman" w:cs="Times New Roman"/>
          <w:sz w:val="24"/>
          <w:szCs w:val="24"/>
          <w:lang w:val="es-ES"/>
        </w:rPr>
        <w:t>ría</w:t>
      </w:r>
      <w:r w:rsidR="008711B5" w:rsidRPr="00B22CA9">
        <w:rPr>
          <w:rFonts w:ascii="Times New Roman" w:hAnsi="Times New Roman" w:cs="Times New Roman"/>
          <w:sz w:val="24"/>
          <w:szCs w:val="24"/>
          <w:lang w:val="es-ES"/>
        </w:rPr>
        <w:t xml:space="preserve"> de las autoridades estatales,</w:t>
      </w:r>
      <w:r w:rsidR="00455ED8" w:rsidRPr="00B22CA9">
        <w:rPr>
          <w:rFonts w:ascii="Times New Roman" w:hAnsi="Times New Roman" w:cs="Times New Roman"/>
          <w:sz w:val="24"/>
          <w:szCs w:val="24"/>
          <w:lang w:val="es-ES"/>
        </w:rPr>
        <w:t xml:space="preserve"> </w:t>
      </w:r>
      <w:r w:rsidR="00ED2FF3" w:rsidRPr="00B22CA9">
        <w:rPr>
          <w:rFonts w:ascii="Times New Roman" w:hAnsi="Times New Roman" w:cs="Times New Roman"/>
          <w:sz w:val="24"/>
          <w:szCs w:val="24"/>
          <w:lang w:val="es-ES"/>
        </w:rPr>
        <w:t>si bien</w:t>
      </w:r>
      <w:r w:rsidR="005D5D72" w:rsidRPr="00B22CA9">
        <w:rPr>
          <w:rFonts w:ascii="Times New Roman" w:hAnsi="Times New Roman" w:cs="Times New Roman"/>
          <w:sz w:val="24"/>
          <w:szCs w:val="24"/>
          <w:lang w:val="es-ES"/>
        </w:rPr>
        <w:t>, como se ha repetido,</w:t>
      </w:r>
      <w:r w:rsidR="00ED2FF3" w:rsidRPr="00B22CA9">
        <w:rPr>
          <w:rFonts w:ascii="Times New Roman" w:hAnsi="Times New Roman" w:cs="Times New Roman"/>
          <w:sz w:val="24"/>
          <w:szCs w:val="24"/>
          <w:lang w:val="es-ES"/>
        </w:rPr>
        <w:t xml:space="preserve"> </w:t>
      </w:r>
      <w:r w:rsidR="005D5D72" w:rsidRPr="00B22CA9">
        <w:rPr>
          <w:rFonts w:ascii="Times New Roman" w:hAnsi="Times New Roman" w:cs="Times New Roman"/>
          <w:sz w:val="24"/>
          <w:szCs w:val="24"/>
          <w:lang w:val="es-ES"/>
        </w:rPr>
        <w:t>se</w:t>
      </w:r>
      <w:r w:rsidR="00455ED8" w:rsidRPr="00B22CA9">
        <w:rPr>
          <w:rFonts w:ascii="Times New Roman" w:hAnsi="Times New Roman" w:cs="Times New Roman"/>
          <w:sz w:val="24"/>
          <w:szCs w:val="24"/>
          <w:lang w:val="es-ES"/>
        </w:rPr>
        <w:t xml:space="preserve"> haría</w:t>
      </w:r>
      <w:r w:rsidR="005D5D72" w:rsidRPr="00B22CA9">
        <w:rPr>
          <w:rFonts w:ascii="Times New Roman" w:hAnsi="Times New Roman" w:cs="Times New Roman"/>
          <w:sz w:val="24"/>
          <w:szCs w:val="24"/>
          <w:lang w:val="es-ES"/>
        </w:rPr>
        <w:t xml:space="preserve"> factible</w:t>
      </w:r>
      <w:r w:rsidR="00455ED8" w:rsidRPr="00B22CA9">
        <w:rPr>
          <w:rFonts w:ascii="Times New Roman" w:hAnsi="Times New Roman" w:cs="Times New Roman"/>
          <w:sz w:val="24"/>
          <w:szCs w:val="24"/>
          <w:lang w:val="es-ES"/>
        </w:rPr>
        <w:t xml:space="preserve"> la exigencia de responsabilidad</w:t>
      </w:r>
      <w:r w:rsidR="00ED2FF3" w:rsidRPr="00B22CA9">
        <w:rPr>
          <w:rFonts w:ascii="Times New Roman" w:hAnsi="Times New Roman" w:cs="Times New Roman"/>
          <w:sz w:val="24"/>
          <w:szCs w:val="24"/>
          <w:lang w:val="es-ES"/>
        </w:rPr>
        <w:t xml:space="preserve"> </w:t>
      </w:r>
      <w:r w:rsidR="005D5D72" w:rsidRPr="00B22CA9">
        <w:rPr>
          <w:rFonts w:ascii="Times New Roman" w:hAnsi="Times New Roman" w:cs="Times New Roman"/>
          <w:sz w:val="24"/>
          <w:szCs w:val="24"/>
          <w:lang w:val="es-ES"/>
        </w:rPr>
        <w:t xml:space="preserve">al Estado </w:t>
      </w:r>
      <w:r w:rsidR="00ED2FF3" w:rsidRPr="00B22CA9">
        <w:rPr>
          <w:rFonts w:ascii="Times New Roman" w:hAnsi="Times New Roman" w:cs="Times New Roman"/>
          <w:sz w:val="24"/>
          <w:szCs w:val="24"/>
          <w:lang w:val="es-ES"/>
        </w:rPr>
        <w:t>y</w:t>
      </w:r>
      <w:r w:rsidR="005D5D72" w:rsidRPr="00B22CA9">
        <w:rPr>
          <w:rFonts w:ascii="Times New Roman" w:hAnsi="Times New Roman" w:cs="Times New Roman"/>
          <w:sz w:val="24"/>
          <w:szCs w:val="24"/>
          <w:lang w:val="es-ES"/>
        </w:rPr>
        <w:t xml:space="preserve"> la demanda de</w:t>
      </w:r>
      <w:r w:rsidR="00ED2FF3" w:rsidRPr="00B22CA9">
        <w:rPr>
          <w:rFonts w:ascii="Times New Roman" w:hAnsi="Times New Roman" w:cs="Times New Roman"/>
          <w:sz w:val="24"/>
          <w:szCs w:val="24"/>
          <w:lang w:val="es-ES"/>
        </w:rPr>
        <w:t xml:space="preserve"> aplicación de sus conclusiones, </w:t>
      </w:r>
      <w:r w:rsidR="00E10619" w:rsidRPr="00B22CA9">
        <w:rPr>
          <w:rFonts w:ascii="Times New Roman" w:hAnsi="Times New Roman" w:cs="Times New Roman"/>
          <w:sz w:val="24"/>
          <w:szCs w:val="24"/>
          <w:lang w:val="es-ES"/>
        </w:rPr>
        <w:t>de nuevo</w:t>
      </w:r>
      <w:r w:rsidR="00ED2FF3" w:rsidRPr="00B22CA9">
        <w:rPr>
          <w:rFonts w:ascii="Times New Roman" w:hAnsi="Times New Roman" w:cs="Times New Roman"/>
          <w:sz w:val="24"/>
          <w:szCs w:val="24"/>
          <w:lang w:val="es-ES"/>
        </w:rPr>
        <w:t>,</w:t>
      </w:r>
      <w:r w:rsidR="00E10619" w:rsidRPr="00B22CA9">
        <w:rPr>
          <w:rFonts w:ascii="Times New Roman" w:hAnsi="Times New Roman" w:cs="Times New Roman"/>
          <w:sz w:val="24"/>
          <w:szCs w:val="24"/>
          <w:lang w:val="es-ES"/>
        </w:rPr>
        <w:t xml:space="preserve"> ante los tribunales internos</w:t>
      </w:r>
      <w:r w:rsidR="00455ED8" w:rsidRPr="00B22CA9">
        <w:rPr>
          <w:rFonts w:ascii="Times New Roman" w:hAnsi="Times New Roman" w:cs="Times New Roman"/>
          <w:sz w:val="24"/>
          <w:szCs w:val="24"/>
          <w:lang w:val="es-ES"/>
        </w:rPr>
        <w:t>.</w:t>
      </w:r>
      <w:r w:rsidR="00E10619" w:rsidRPr="00B22CA9">
        <w:rPr>
          <w:rFonts w:ascii="Times New Roman" w:hAnsi="Times New Roman" w:cs="Times New Roman"/>
          <w:sz w:val="24"/>
          <w:szCs w:val="24"/>
          <w:lang w:val="es-ES"/>
        </w:rPr>
        <w:t xml:space="preserve"> Es en esa dinámica en la que residiría la ya comentada propuesta doctrinal sobre la instrumentalización del incumplimiento para hacer efectivos los derechos (</w:t>
      </w:r>
      <w:proofErr w:type="spellStart"/>
      <w:r w:rsidR="00E10619" w:rsidRPr="00B22CA9">
        <w:rPr>
          <w:rFonts w:ascii="Times New Roman" w:hAnsi="Times New Roman" w:cs="Times New Roman"/>
          <w:sz w:val="24"/>
          <w:szCs w:val="24"/>
          <w:lang w:val="es-ES"/>
        </w:rPr>
        <w:t>Bogdandy</w:t>
      </w:r>
      <w:proofErr w:type="spellEnd"/>
      <w:r w:rsidR="00E10619" w:rsidRPr="00B22CA9">
        <w:rPr>
          <w:rFonts w:ascii="Times New Roman" w:hAnsi="Times New Roman" w:cs="Times New Roman"/>
          <w:sz w:val="24"/>
          <w:szCs w:val="24"/>
          <w:lang w:val="es-ES"/>
        </w:rPr>
        <w:t xml:space="preserve"> </w:t>
      </w:r>
      <w:r w:rsidR="00E10619" w:rsidRPr="00B22CA9">
        <w:rPr>
          <w:rFonts w:ascii="Times New Roman" w:hAnsi="Times New Roman" w:cs="Times New Roman"/>
          <w:i/>
          <w:iCs/>
          <w:sz w:val="24"/>
          <w:szCs w:val="24"/>
          <w:lang w:val="es-ES"/>
        </w:rPr>
        <w:t>et al</w:t>
      </w:r>
      <w:r w:rsidR="00E10619" w:rsidRPr="00B22CA9">
        <w:rPr>
          <w:rFonts w:ascii="Times New Roman" w:hAnsi="Times New Roman" w:cs="Times New Roman"/>
          <w:sz w:val="24"/>
          <w:szCs w:val="24"/>
          <w:lang w:val="es-ES"/>
        </w:rPr>
        <w:t>., 2017).</w:t>
      </w:r>
      <w:r w:rsidR="008711B5" w:rsidRPr="00B22CA9">
        <w:rPr>
          <w:rFonts w:ascii="Times New Roman" w:hAnsi="Times New Roman" w:cs="Times New Roman"/>
          <w:sz w:val="24"/>
          <w:szCs w:val="24"/>
          <w:lang w:val="es-ES"/>
        </w:rPr>
        <w:t xml:space="preserve"> </w:t>
      </w:r>
      <w:r w:rsidR="001A1288" w:rsidRPr="00B22CA9">
        <w:rPr>
          <w:rFonts w:ascii="Times New Roman" w:hAnsi="Times New Roman" w:cs="Times New Roman"/>
          <w:sz w:val="24"/>
          <w:szCs w:val="24"/>
          <w:lang w:val="es-ES"/>
        </w:rPr>
        <w:t xml:space="preserve">En tal sentido habría una asimilación con las formas del </w:t>
      </w:r>
      <w:proofErr w:type="spellStart"/>
      <w:r w:rsidR="001A1288" w:rsidRPr="00B22CA9">
        <w:rPr>
          <w:rFonts w:ascii="Times New Roman" w:hAnsi="Times New Roman" w:cs="Times New Roman"/>
          <w:i/>
          <w:sz w:val="24"/>
          <w:szCs w:val="24"/>
          <w:lang w:val="es-ES"/>
        </w:rPr>
        <w:t>stare</w:t>
      </w:r>
      <w:proofErr w:type="spellEnd"/>
      <w:r w:rsidR="001A1288" w:rsidRPr="00B22CA9">
        <w:rPr>
          <w:rFonts w:ascii="Times New Roman" w:hAnsi="Times New Roman" w:cs="Times New Roman"/>
          <w:i/>
          <w:sz w:val="24"/>
          <w:szCs w:val="24"/>
          <w:lang w:val="es-ES"/>
        </w:rPr>
        <w:t xml:space="preserve"> </w:t>
      </w:r>
      <w:proofErr w:type="spellStart"/>
      <w:r w:rsidR="001A1288" w:rsidRPr="00B22CA9">
        <w:rPr>
          <w:rFonts w:ascii="Times New Roman" w:hAnsi="Times New Roman" w:cs="Times New Roman"/>
          <w:i/>
          <w:sz w:val="24"/>
          <w:szCs w:val="24"/>
          <w:lang w:val="es-ES"/>
        </w:rPr>
        <w:t>decisis</w:t>
      </w:r>
      <w:proofErr w:type="spellEnd"/>
      <w:r w:rsidR="001A1288" w:rsidRPr="00B22CA9">
        <w:rPr>
          <w:rFonts w:ascii="Times New Roman" w:hAnsi="Times New Roman" w:cs="Times New Roman"/>
          <w:sz w:val="24"/>
          <w:szCs w:val="24"/>
          <w:lang w:val="es-ES"/>
        </w:rPr>
        <w:t xml:space="preserve">, como control de constitucionalidad difuso, bajo unas condiciones favorables de colaboración por parte de los jueces estatales. </w:t>
      </w:r>
      <w:r w:rsidR="005D5D72" w:rsidRPr="00B22CA9">
        <w:rPr>
          <w:rFonts w:ascii="Times New Roman" w:hAnsi="Times New Roman" w:cs="Times New Roman"/>
          <w:sz w:val="24"/>
          <w:szCs w:val="24"/>
          <w:lang w:val="es-ES"/>
        </w:rPr>
        <w:t xml:space="preserve">En caso de que la justicia estatal también desoyese el juicio de Luxemburgo, se podría acudir al Tribunal Europeo de Derechos Humanos y obtener una nueva sentencia que insistiese en el desvalor de la conducta estatal, pero habría que pensar que, llegados a ese punto, la solución a las infracciones de derechos tendría que </w:t>
      </w:r>
      <w:r w:rsidR="0077600B" w:rsidRPr="00B22CA9">
        <w:rPr>
          <w:rFonts w:ascii="Times New Roman" w:hAnsi="Times New Roman" w:cs="Times New Roman"/>
          <w:sz w:val="24"/>
          <w:szCs w:val="24"/>
          <w:lang w:val="es-ES"/>
        </w:rPr>
        <w:t>haber tomado ya otro cauce, que es el del artículo 7 TUE</w:t>
      </w:r>
      <w:r w:rsidR="005D5D72" w:rsidRPr="00B22CA9">
        <w:rPr>
          <w:rFonts w:ascii="Times New Roman" w:hAnsi="Times New Roman" w:cs="Times New Roman"/>
          <w:sz w:val="24"/>
          <w:szCs w:val="24"/>
          <w:lang w:val="es-ES"/>
        </w:rPr>
        <w:t xml:space="preserve">.  </w:t>
      </w:r>
    </w:p>
    <w:p w:rsidR="00C4008A" w:rsidRPr="00B22CA9" w:rsidRDefault="005D5D72" w:rsidP="005D5D72">
      <w:pPr>
        <w:spacing w:line="240" w:lineRule="auto"/>
        <w:jc w:val="both"/>
        <w:rPr>
          <w:rFonts w:ascii="Times New Roman" w:hAnsi="Times New Roman" w:cs="Times New Roman"/>
          <w:sz w:val="24"/>
          <w:szCs w:val="24"/>
          <w:lang w:val="es-ES"/>
        </w:rPr>
      </w:pPr>
      <w:r w:rsidRPr="00B22CA9">
        <w:rPr>
          <w:rFonts w:ascii="Times New Roman" w:hAnsi="Times New Roman" w:cs="Times New Roman"/>
          <w:sz w:val="24"/>
          <w:szCs w:val="24"/>
          <w:lang w:val="es-ES"/>
        </w:rPr>
        <w:tab/>
      </w:r>
    </w:p>
    <w:p w:rsidR="00C873BC" w:rsidRPr="00B22CA9" w:rsidRDefault="00CD4967" w:rsidP="003D57DC">
      <w:pPr>
        <w:spacing w:line="240" w:lineRule="auto"/>
        <w:ind w:left="720" w:hanging="720"/>
        <w:jc w:val="both"/>
        <w:rPr>
          <w:rFonts w:ascii="Times New Roman" w:hAnsi="Times New Roman" w:cs="Times New Roman"/>
          <w:b/>
          <w:bCs/>
          <w:sz w:val="24"/>
          <w:szCs w:val="24"/>
          <w:lang w:val="es-ES"/>
        </w:rPr>
      </w:pPr>
      <w:r w:rsidRPr="00B22CA9">
        <w:rPr>
          <w:rFonts w:ascii="Times New Roman" w:hAnsi="Times New Roman" w:cs="Times New Roman"/>
          <w:b/>
          <w:bCs/>
          <w:sz w:val="24"/>
          <w:szCs w:val="24"/>
          <w:lang w:val="es-ES"/>
        </w:rPr>
        <w:t>IV</w:t>
      </w:r>
      <w:r w:rsidR="00C873BC" w:rsidRPr="00B22CA9">
        <w:rPr>
          <w:rFonts w:ascii="Times New Roman" w:hAnsi="Times New Roman" w:cs="Times New Roman"/>
          <w:b/>
          <w:bCs/>
          <w:sz w:val="24"/>
          <w:szCs w:val="24"/>
          <w:lang w:val="es-ES"/>
        </w:rPr>
        <w:t>.</w:t>
      </w:r>
      <w:r w:rsidR="00CF0808" w:rsidRPr="00B22CA9">
        <w:rPr>
          <w:rFonts w:ascii="Times New Roman" w:hAnsi="Times New Roman" w:cs="Times New Roman"/>
          <w:b/>
          <w:bCs/>
          <w:sz w:val="24"/>
          <w:szCs w:val="24"/>
          <w:lang w:val="es-ES"/>
        </w:rPr>
        <w:tab/>
        <w:t xml:space="preserve">SOBRE LOS DERECHOS FUNDAMENTALES EN PROCEDIMIENTOS POR INCUMPLIMIENTO EN UN ANÁLISIS CONCRETO: EL DESMANTELAMIENTO DE GARANTÍAS CONSTITUCIONALES EN HUNGRÍA Y POLONIA  </w:t>
      </w:r>
    </w:p>
    <w:p w:rsidR="00C20B21" w:rsidRPr="00B22CA9" w:rsidRDefault="002A3147" w:rsidP="007F11DF">
      <w:pPr>
        <w:spacing w:line="240" w:lineRule="auto"/>
        <w:jc w:val="both"/>
        <w:rPr>
          <w:rFonts w:ascii="Times New Roman" w:hAnsi="Times New Roman" w:cs="Times New Roman"/>
          <w:sz w:val="24"/>
          <w:szCs w:val="24"/>
          <w:lang w:val="es-ES"/>
        </w:rPr>
      </w:pPr>
      <w:r w:rsidRPr="00B22CA9">
        <w:rPr>
          <w:rFonts w:ascii="Times New Roman" w:hAnsi="Times New Roman" w:cs="Times New Roman"/>
          <w:sz w:val="24"/>
          <w:szCs w:val="24"/>
          <w:lang w:val="es-ES"/>
        </w:rPr>
        <w:tab/>
      </w:r>
      <w:r w:rsidR="007C7B32" w:rsidRPr="00B22CA9">
        <w:rPr>
          <w:rFonts w:ascii="Times New Roman" w:hAnsi="Times New Roman" w:cs="Times New Roman"/>
          <w:sz w:val="24"/>
          <w:szCs w:val="24"/>
          <w:lang w:val="es-ES"/>
        </w:rPr>
        <w:t>Pa</w:t>
      </w:r>
      <w:r w:rsidR="00C20B21" w:rsidRPr="00B22CA9">
        <w:rPr>
          <w:rFonts w:ascii="Times New Roman" w:hAnsi="Times New Roman" w:cs="Times New Roman"/>
          <w:sz w:val="24"/>
          <w:szCs w:val="24"/>
          <w:lang w:val="es-ES"/>
        </w:rPr>
        <w:t>ra finalizar</w:t>
      </w:r>
      <w:r w:rsidR="00D00BB3" w:rsidRPr="00B22CA9">
        <w:rPr>
          <w:rFonts w:ascii="Times New Roman" w:hAnsi="Times New Roman" w:cs="Times New Roman"/>
          <w:sz w:val="24"/>
          <w:szCs w:val="24"/>
          <w:lang w:val="es-ES"/>
        </w:rPr>
        <w:t xml:space="preserve">, </w:t>
      </w:r>
      <w:r w:rsidR="00074F2A" w:rsidRPr="00B22CA9">
        <w:rPr>
          <w:rFonts w:ascii="Times New Roman" w:hAnsi="Times New Roman" w:cs="Times New Roman"/>
          <w:sz w:val="24"/>
          <w:szCs w:val="24"/>
          <w:lang w:val="es-ES"/>
        </w:rPr>
        <w:t xml:space="preserve">un análisis de </w:t>
      </w:r>
      <w:r w:rsidR="00D00BB3" w:rsidRPr="00B22CA9">
        <w:rPr>
          <w:rFonts w:ascii="Times New Roman" w:hAnsi="Times New Roman" w:cs="Times New Roman"/>
          <w:sz w:val="24"/>
          <w:szCs w:val="24"/>
          <w:lang w:val="es-ES"/>
        </w:rPr>
        <w:t>algunos</w:t>
      </w:r>
      <w:r w:rsidR="00074F2A" w:rsidRPr="00B22CA9">
        <w:rPr>
          <w:rFonts w:ascii="Times New Roman" w:hAnsi="Times New Roman" w:cs="Times New Roman"/>
          <w:sz w:val="24"/>
          <w:szCs w:val="24"/>
          <w:lang w:val="es-ES"/>
        </w:rPr>
        <w:t xml:space="preserve"> procedimientos de </w:t>
      </w:r>
      <w:r w:rsidR="00C20B21" w:rsidRPr="00B22CA9">
        <w:rPr>
          <w:rFonts w:ascii="Times New Roman" w:hAnsi="Times New Roman" w:cs="Times New Roman"/>
          <w:sz w:val="24"/>
          <w:szCs w:val="24"/>
          <w:lang w:val="es-ES"/>
        </w:rPr>
        <w:t>incumplimiento en los que los derechos fundamentales se señalan como causa</w:t>
      </w:r>
      <w:r w:rsidR="00B56ADE" w:rsidRPr="00B22CA9">
        <w:rPr>
          <w:rFonts w:ascii="Times New Roman" w:hAnsi="Times New Roman" w:cs="Times New Roman"/>
          <w:sz w:val="24"/>
          <w:szCs w:val="24"/>
          <w:lang w:val="es-ES"/>
        </w:rPr>
        <w:t xml:space="preserve"> de infracción del </w:t>
      </w:r>
      <w:r w:rsidR="00D00BB3" w:rsidRPr="00B22CA9">
        <w:rPr>
          <w:rFonts w:ascii="Times New Roman" w:hAnsi="Times New Roman" w:cs="Times New Roman"/>
          <w:sz w:val="24"/>
          <w:szCs w:val="24"/>
          <w:lang w:val="es-ES"/>
        </w:rPr>
        <w:t>d</w:t>
      </w:r>
      <w:r w:rsidR="00B56ADE" w:rsidRPr="00B22CA9">
        <w:rPr>
          <w:rFonts w:ascii="Times New Roman" w:hAnsi="Times New Roman" w:cs="Times New Roman"/>
          <w:sz w:val="24"/>
          <w:szCs w:val="24"/>
          <w:lang w:val="es-ES"/>
        </w:rPr>
        <w:t>erecho de la Unión</w:t>
      </w:r>
      <w:r w:rsidR="00D00BB3" w:rsidRPr="00B22CA9">
        <w:rPr>
          <w:rFonts w:ascii="Times New Roman" w:hAnsi="Times New Roman" w:cs="Times New Roman"/>
          <w:sz w:val="24"/>
          <w:szCs w:val="24"/>
          <w:lang w:val="es-ES"/>
        </w:rPr>
        <w:t xml:space="preserve"> cerrará este estudio, a la espera de</w:t>
      </w:r>
      <w:r w:rsidR="0077600B" w:rsidRPr="00B22CA9">
        <w:rPr>
          <w:rFonts w:ascii="Times New Roman" w:hAnsi="Times New Roman" w:cs="Times New Roman"/>
          <w:sz w:val="24"/>
          <w:szCs w:val="24"/>
          <w:lang w:val="es-ES"/>
        </w:rPr>
        <w:t xml:space="preserve"> que</w:t>
      </w:r>
      <w:r w:rsidR="00D00BB3" w:rsidRPr="00B22CA9">
        <w:rPr>
          <w:rFonts w:ascii="Times New Roman" w:hAnsi="Times New Roman" w:cs="Times New Roman"/>
          <w:sz w:val="24"/>
          <w:szCs w:val="24"/>
          <w:lang w:val="es-ES"/>
        </w:rPr>
        <w:t xml:space="preserve"> próximos desarrollos de la cuestión ayuden a completarlo</w:t>
      </w:r>
      <w:r w:rsidR="00B56ADE" w:rsidRPr="00B22CA9">
        <w:rPr>
          <w:rFonts w:ascii="Times New Roman" w:hAnsi="Times New Roman" w:cs="Times New Roman"/>
          <w:sz w:val="24"/>
          <w:szCs w:val="24"/>
          <w:lang w:val="es-ES"/>
        </w:rPr>
        <w:t xml:space="preserve">. </w:t>
      </w:r>
      <w:r w:rsidR="00C20B21" w:rsidRPr="00B22CA9">
        <w:rPr>
          <w:rFonts w:ascii="Times New Roman" w:hAnsi="Times New Roman" w:cs="Times New Roman"/>
          <w:sz w:val="24"/>
          <w:szCs w:val="24"/>
          <w:lang w:val="es-ES"/>
        </w:rPr>
        <w:t>Como se anunció</w:t>
      </w:r>
      <w:r w:rsidR="00D00BB3" w:rsidRPr="00B22CA9">
        <w:rPr>
          <w:rFonts w:ascii="Times New Roman" w:hAnsi="Times New Roman" w:cs="Times New Roman"/>
          <w:sz w:val="24"/>
          <w:szCs w:val="24"/>
          <w:lang w:val="es-ES"/>
        </w:rPr>
        <w:t>,</w:t>
      </w:r>
      <w:r w:rsidR="00C20B21" w:rsidRPr="00B22CA9">
        <w:rPr>
          <w:rFonts w:ascii="Times New Roman" w:hAnsi="Times New Roman" w:cs="Times New Roman"/>
          <w:sz w:val="24"/>
          <w:szCs w:val="24"/>
          <w:lang w:val="es-ES"/>
        </w:rPr>
        <w:t xml:space="preserve"> </w:t>
      </w:r>
      <w:r w:rsidR="00D00BB3" w:rsidRPr="00B22CA9">
        <w:rPr>
          <w:rFonts w:ascii="Times New Roman" w:hAnsi="Times New Roman" w:cs="Times New Roman"/>
          <w:sz w:val="24"/>
          <w:szCs w:val="24"/>
          <w:lang w:val="es-ES"/>
        </w:rPr>
        <w:t>el análisis tendrá su foco en</w:t>
      </w:r>
      <w:r w:rsidR="00C20B21" w:rsidRPr="00B22CA9">
        <w:rPr>
          <w:rFonts w:ascii="Times New Roman" w:hAnsi="Times New Roman" w:cs="Times New Roman"/>
          <w:sz w:val="24"/>
          <w:szCs w:val="24"/>
          <w:lang w:val="es-ES"/>
        </w:rPr>
        <w:t xml:space="preserve"> asuntos en los que la Comisión ha abierto procedimientos por incumplimiento contra Hungría y Polonia</w:t>
      </w:r>
      <w:r w:rsidR="0077600B" w:rsidRPr="00B22CA9">
        <w:rPr>
          <w:rFonts w:ascii="Times New Roman" w:hAnsi="Times New Roman" w:cs="Times New Roman"/>
          <w:sz w:val="24"/>
          <w:szCs w:val="24"/>
          <w:lang w:val="es-ES"/>
        </w:rPr>
        <w:t>,</w:t>
      </w:r>
      <w:r w:rsidR="00C20B21" w:rsidRPr="00B22CA9">
        <w:rPr>
          <w:rFonts w:ascii="Times New Roman" w:hAnsi="Times New Roman" w:cs="Times New Roman"/>
          <w:sz w:val="24"/>
          <w:szCs w:val="24"/>
          <w:lang w:val="es-ES"/>
        </w:rPr>
        <w:t xml:space="preserve"> </w:t>
      </w:r>
      <w:r w:rsidR="0077600B" w:rsidRPr="00B22CA9">
        <w:rPr>
          <w:rFonts w:ascii="Times New Roman" w:hAnsi="Times New Roman" w:cs="Times New Roman"/>
          <w:sz w:val="24"/>
          <w:szCs w:val="24"/>
          <w:lang w:val="es-ES"/>
        </w:rPr>
        <w:t>dada la desatención por parte de sus autoridades a</w:t>
      </w:r>
      <w:r w:rsidR="00C20B21" w:rsidRPr="00B22CA9">
        <w:rPr>
          <w:rFonts w:ascii="Times New Roman" w:hAnsi="Times New Roman" w:cs="Times New Roman"/>
          <w:sz w:val="24"/>
          <w:szCs w:val="24"/>
          <w:lang w:val="es-ES"/>
        </w:rPr>
        <w:t xml:space="preserve"> </w:t>
      </w:r>
      <w:r w:rsidR="0077600B" w:rsidRPr="00B22CA9">
        <w:rPr>
          <w:rFonts w:ascii="Times New Roman" w:hAnsi="Times New Roman" w:cs="Times New Roman"/>
          <w:sz w:val="24"/>
          <w:szCs w:val="24"/>
          <w:lang w:val="es-ES"/>
        </w:rPr>
        <w:t xml:space="preserve">ciertas </w:t>
      </w:r>
      <w:r w:rsidR="00C20B21" w:rsidRPr="00B22CA9">
        <w:rPr>
          <w:rFonts w:ascii="Times New Roman" w:hAnsi="Times New Roman" w:cs="Times New Roman"/>
          <w:sz w:val="24"/>
          <w:szCs w:val="24"/>
          <w:lang w:val="es-ES"/>
        </w:rPr>
        <w:t>g</w:t>
      </w:r>
      <w:r w:rsidR="002C5B76" w:rsidRPr="00B22CA9">
        <w:rPr>
          <w:rFonts w:ascii="Times New Roman" w:hAnsi="Times New Roman" w:cs="Times New Roman"/>
          <w:sz w:val="24"/>
          <w:szCs w:val="24"/>
          <w:lang w:val="es-ES"/>
        </w:rPr>
        <w:t>arantías propias del Estado de d</w:t>
      </w:r>
      <w:r w:rsidR="00C20B21" w:rsidRPr="00B22CA9">
        <w:rPr>
          <w:rFonts w:ascii="Times New Roman" w:hAnsi="Times New Roman" w:cs="Times New Roman"/>
          <w:sz w:val="24"/>
          <w:szCs w:val="24"/>
          <w:lang w:val="es-ES"/>
        </w:rPr>
        <w:t>erecho.</w:t>
      </w:r>
      <w:r w:rsidR="00074F2A" w:rsidRPr="00B22CA9">
        <w:rPr>
          <w:rFonts w:ascii="Times New Roman" w:hAnsi="Times New Roman" w:cs="Times New Roman"/>
          <w:sz w:val="24"/>
          <w:szCs w:val="24"/>
          <w:lang w:val="es-ES"/>
        </w:rPr>
        <w:t xml:space="preserve"> El elemento común a estos casos es que se impugnan leyes de los parlamentos nacionales que no han sido aprob</w:t>
      </w:r>
      <w:r w:rsidR="00EA6435" w:rsidRPr="00B22CA9">
        <w:rPr>
          <w:rFonts w:ascii="Times New Roman" w:hAnsi="Times New Roman" w:cs="Times New Roman"/>
          <w:sz w:val="24"/>
          <w:szCs w:val="24"/>
          <w:lang w:val="es-ES"/>
        </w:rPr>
        <w:t>adas en desarrollo directo del d</w:t>
      </w:r>
      <w:r w:rsidR="00074F2A" w:rsidRPr="00B22CA9">
        <w:rPr>
          <w:rFonts w:ascii="Times New Roman" w:hAnsi="Times New Roman" w:cs="Times New Roman"/>
          <w:sz w:val="24"/>
          <w:szCs w:val="24"/>
          <w:lang w:val="es-ES"/>
        </w:rPr>
        <w:t>erecho de la Unión</w:t>
      </w:r>
      <w:r w:rsidR="00D00BB3" w:rsidRPr="00B22CA9">
        <w:rPr>
          <w:rFonts w:ascii="Times New Roman" w:hAnsi="Times New Roman" w:cs="Times New Roman"/>
          <w:sz w:val="24"/>
          <w:szCs w:val="24"/>
          <w:lang w:val="es-ES"/>
        </w:rPr>
        <w:t xml:space="preserve">, circunstancia que obliga a considerar, desde el punto de vista de los derechos fundamentales, </w:t>
      </w:r>
      <w:r w:rsidR="0077600B" w:rsidRPr="00B22CA9">
        <w:rPr>
          <w:rFonts w:ascii="Times New Roman" w:hAnsi="Times New Roman" w:cs="Times New Roman"/>
          <w:sz w:val="24"/>
          <w:szCs w:val="24"/>
          <w:lang w:val="es-ES"/>
        </w:rPr>
        <w:t>la subrogación del TJUE en la competencia objetiva de los jueces constitucionales estatales para revisar la</w:t>
      </w:r>
      <w:r w:rsidR="00D00BB3" w:rsidRPr="00B22CA9">
        <w:rPr>
          <w:rFonts w:ascii="Times New Roman" w:hAnsi="Times New Roman" w:cs="Times New Roman"/>
          <w:sz w:val="24"/>
          <w:szCs w:val="24"/>
          <w:lang w:val="es-ES"/>
        </w:rPr>
        <w:t xml:space="preserve"> adecuación constitucional de esas leyes</w:t>
      </w:r>
      <w:r w:rsidR="00074F2A" w:rsidRPr="00B22CA9">
        <w:rPr>
          <w:rFonts w:ascii="Times New Roman" w:hAnsi="Times New Roman" w:cs="Times New Roman"/>
          <w:sz w:val="24"/>
          <w:szCs w:val="24"/>
          <w:lang w:val="es-ES"/>
        </w:rPr>
        <w:t>.</w:t>
      </w:r>
    </w:p>
    <w:p w:rsidR="006A3F4D" w:rsidRPr="00B22CA9" w:rsidRDefault="006A3F4D" w:rsidP="003D57DC">
      <w:pPr>
        <w:pStyle w:val="Prrafodelista"/>
        <w:numPr>
          <w:ilvl w:val="0"/>
          <w:numId w:val="6"/>
        </w:numPr>
        <w:spacing w:line="240" w:lineRule="auto"/>
        <w:jc w:val="both"/>
        <w:rPr>
          <w:rFonts w:ascii="Times New Roman" w:hAnsi="Times New Roman" w:cs="Times New Roman"/>
          <w:b/>
          <w:sz w:val="24"/>
          <w:szCs w:val="24"/>
          <w:lang w:val="es-ES"/>
        </w:rPr>
      </w:pPr>
      <w:r w:rsidRPr="00B22CA9">
        <w:rPr>
          <w:rFonts w:ascii="Times New Roman" w:hAnsi="Times New Roman" w:cs="Times New Roman"/>
          <w:b/>
          <w:sz w:val="24"/>
          <w:szCs w:val="24"/>
          <w:lang w:val="es-ES"/>
        </w:rPr>
        <w:t>Hungría</w:t>
      </w:r>
    </w:p>
    <w:p w:rsidR="009610B8" w:rsidRPr="00B22CA9" w:rsidRDefault="00C20B21" w:rsidP="007F11DF">
      <w:pPr>
        <w:spacing w:line="240" w:lineRule="auto"/>
        <w:jc w:val="both"/>
        <w:rPr>
          <w:rFonts w:ascii="Times New Roman" w:hAnsi="Times New Roman" w:cs="Times New Roman"/>
          <w:sz w:val="24"/>
          <w:szCs w:val="24"/>
          <w:lang w:val="es-ES"/>
        </w:rPr>
      </w:pPr>
      <w:r w:rsidRPr="00B22CA9">
        <w:rPr>
          <w:rFonts w:ascii="Times New Roman" w:hAnsi="Times New Roman" w:cs="Times New Roman"/>
          <w:sz w:val="24"/>
          <w:szCs w:val="24"/>
          <w:lang w:val="es-ES"/>
        </w:rPr>
        <w:tab/>
      </w:r>
      <w:r w:rsidR="009610B8" w:rsidRPr="00B22CA9">
        <w:rPr>
          <w:rFonts w:ascii="Times New Roman" w:hAnsi="Times New Roman" w:cs="Times New Roman"/>
          <w:sz w:val="24"/>
          <w:szCs w:val="24"/>
          <w:lang w:val="es-ES"/>
        </w:rPr>
        <w:t xml:space="preserve">La </w:t>
      </w:r>
      <w:r w:rsidR="00CC265F" w:rsidRPr="00B22CA9">
        <w:rPr>
          <w:rFonts w:ascii="Times New Roman" w:hAnsi="Times New Roman" w:cs="Times New Roman"/>
          <w:sz w:val="24"/>
          <w:szCs w:val="24"/>
          <w:lang w:val="es-ES"/>
        </w:rPr>
        <w:t xml:space="preserve">preocupación por la </w:t>
      </w:r>
      <w:r w:rsidR="009610B8" w:rsidRPr="00B22CA9">
        <w:rPr>
          <w:rFonts w:ascii="Times New Roman" w:hAnsi="Times New Roman" w:cs="Times New Roman"/>
          <w:sz w:val="24"/>
          <w:szCs w:val="24"/>
          <w:lang w:val="es-ES"/>
        </w:rPr>
        <w:t xml:space="preserve">situación de las garantías democráticas en Hungría, que ha venido siendo objeto de </w:t>
      </w:r>
      <w:r w:rsidR="00CC265F" w:rsidRPr="00B22CA9">
        <w:rPr>
          <w:rFonts w:ascii="Times New Roman" w:hAnsi="Times New Roman" w:cs="Times New Roman"/>
          <w:sz w:val="24"/>
          <w:szCs w:val="24"/>
          <w:lang w:val="es-ES"/>
        </w:rPr>
        <w:t>denuncia en los últimos años (FIDH, 2016)</w:t>
      </w:r>
      <w:r w:rsidR="009610B8" w:rsidRPr="00B22CA9">
        <w:rPr>
          <w:rFonts w:ascii="Times New Roman" w:hAnsi="Times New Roman" w:cs="Times New Roman"/>
          <w:sz w:val="24"/>
          <w:szCs w:val="24"/>
          <w:lang w:val="es-ES"/>
        </w:rPr>
        <w:t>, se ha agudizado</w:t>
      </w:r>
      <w:r w:rsidR="00CC265F" w:rsidRPr="00B22CA9">
        <w:rPr>
          <w:rFonts w:ascii="Times New Roman" w:hAnsi="Times New Roman" w:cs="Times New Roman"/>
          <w:sz w:val="24"/>
          <w:szCs w:val="24"/>
          <w:lang w:val="es-ES"/>
        </w:rPr>
        <w:t xml:space="preserve"> recientemente</w:t>
      </w:r>
      <w:r w:rsidR="009610B8" w:rsidRPr="00B22CA9">
        <w:rPr>
          <w:rFonts w:ascii="Times New Roman" w:hAnsi="Times New Roman" w:cs="Times New Roman"/>
          <w:sz w:val="24"/>
          <w:szCs w:val="24"/>
          <w:lang w:val="es-ES"/>
        </w:rPr>
        <w:t xml:space="preserve"> con la renovación en el poder de </w:t>
      </w:r>
      <w:proofErr w:type="spellStart"/>
      <w:r w:rsidR="009610B8" w:rsidRPr="00B22CA9">
        <w:rPr>
          <w:rFonts w:ascii="Times New Roman" w:hAnsi="Times New Roman" w:cs="Times New Roman"/>
          <w:sz w:val="24"/>
          <w:szCs w:val="24"/>
          <w:lang w:val="es-ES"/>
        </w:rPr>
        <w:t>Viktor</w:t>
      </w:r>
      <w:proofErr w:type="spellEnd"/>
      <w:r w:rsidR="009610B8" w:rsidRPr="00B22CA9">
        <w:rPr>
          <w:rFonts w:ascii="Times New Roman" w:hAnsi="Times New Roman" w:cs="Times New Roman"/>
          <w:sz w:val="24"/>
          <w:szCs w:val="24"/>
          <w:lang w:val="es-ES"/>
        </w:rPr>
        <w:t xml:space="preserve"> </w:t>
      </w:r>
      <w:proofErr w:type="spellStart"/>
      <w:r w:rsidR="009610B8" w:rsidRPr="00B22CA9">
        <w:rPr>
          <w:rFonts w:ascii="Times New Roman" w:hAnsi="Times New Roman" w:cs="Times New Roman"/>
          <w:sz w:val="24"/>
          <w:szCs w:val="24"/>
          <w:lang w:val="es-ES"/>
        </w:rPr>
        <w:t>Orbán</w:t>
      </w:r>
      <w:proofErr w:type="spellEnd"/>
      <w:r w:rsidR="009610B8" w:rsidRPr="00B22CA9">
        <w:rPr>
          <w:rFonts w:ascii="Times New Roman" w:hAnsi="Times New Roman" w:cs="Times New Roman"/>
          <w:sz w:val="24"/>
          <w:szCs w:val="24"/>
          <w:lang w:val="es-ES"/>
        </w:rPr>
        <w:t xml:space="preserve"> tras las elecciones de abril de 2018. El pasado 12 de septiembre el Parlamento europeo aprobó por amplia mayoría una propuesta</w:t>
      </w:r>
      <w:r w:rsidR="00CC265F" w:rsidRPr="00B22CA9">
        <w:rPr>
          <w:rStyle w:val="Refdenotaalpie"/>
          <w:rFonts w:ascii="Times New Roman" w:hAnsi="Times New Roman" w:cs="Times New Roman"/>
          <w:sz w:val="24"/>
          <w:szCs w:val="24"/>
          <w:lang w:val="es-ES"/>
        </w:rPr>
        <w:footnoteReference w:id="45"/>
      </w:r>
      <w:r w:rsidR="00CC265F" w:rsidRPr="00B22CA9">
        <w:rPr>
          <w:rFonts w:ascii="Times New Roman" w:hAnsi="Times New Roman" w:cs="Times New Roman"/>
          <w:sz w:val="24"/>
          <w:szCs w:val="24"/>
          <w:lang w:val="es-ES"/>
        </w:rPr>
        <w:t xml:space="preserve"> para activar</w:t>
      </w:r>
      <w:r w:rsidR="009610B8" w:rsidRPr="00B22CA9">
        <w:rPr>
          <w:rFonts w:ascii="Times New Roman" w:hAnsi="Times New Roman" w:cs="Times New Roman"/>
          <w:sz w:val="24"/>
          <w:szCs w:val="24"/>
          <w:lang w:val="es-ES"/>
        </w:rPr>
        <w:t xml:space="preserve"> </w:t>
      </w:r>
      <w:r w:rsidR="0077600B" w:rsidRPr="00B22CA9">
        <w:rPr>
          <w:rFonts w:ascii="Times New Roman" w:hAnsi="Times New Roman" w:cs="Times New Roman"/>
          <w:sz w:val="24"/>
          <w:szCs w:val="24"/>
          <w:lang w:val="es-ES"/>
        </w:rPr>
        <w:t xml:space="preserve">contra </w:t>
      </w:r>
      <w:r w:rsidR="0077600B" w:rsidRPr="00B22CA9">
        <w:rPr>
          <w:rFonts w:ascii="Times New Roman" w:hAnsi="Times New Roman" w:cs="Times New Roman"/>
          <w:sz w:val="24"/>
          <w:szCs w:val="24"/>
          <w:lang w:val="es-ES"/>
        </w:rPr>
        <w:lastRenderedPageBreak/>
        <w:t xml:space="preserve">Hungría </w:t>
      </w:r>
      <w:r w:rsidR="009610B8" w:rsidRPr="00B22CA9">
        <w:rPr>
          <w:rFonts w:ascii="Times New Roman" w:hAnsi="Times New Roman" w:cs="Times New Roman"/>
          <w:sz w:val="24"/>
          <w:szCs w:val="24"/>
          <w:lang w:val="es-ES"/>
        </w:rPr>
        <w:t xml:space="preserve">la primera fase del artículo 7 del TUE, </w:t>
      </w:r>
      <w:r w:rsidR="00CC265F" w:rsidRPr="00B22CA9">
        <w:rPr>
          <w:rFonts w:ascii="Times New Roman" w:hAnsi="Times New Roman" w:cs="Times New Roman"/>
          <w:sz w:val="24"/>
          <w:szCs w:val="24"/>
          <w:lang w:val="es-ES"/>
        </w:rPr>
        <w:t xml:space="preserve">de modo que </w:t>
      </w:r>
      <w:r w:rsidR="009610B8" w:rsidRPr="00B22CA9">
        <w:rPr>
          <w:rFonts w:ascii="Times New Roman" w:hAnsi="Times New Roman" w:cs="Times New Roman"/>
          <w:sz w:val="24"/>
          <w:szCs w:val="24"/>
          <w:lang w:val="es-ES"/>
        </w:rPr>
        <w:t>el Consejo determin</w:t>
      </w:r>
      <w:r w:rsidR="00CC265F" w:rsidRPr="00B22CA9">
        <w:rPr>
          <w:rFonts w:ascii="Times New Roman" w:hAnsi="Times New Roman" w:cs="Times New Roman"/>
          <w:sz w:val="24"/>
          <w:szCs w:val="24"/>
          <w:lang w:val="es-ES"/>
        </w:rPr>
        <w:t>e</w:t>
      </w:r>
      <w:r w:rsidR="009610B8" w:rsidRPr="00B22CA9">
        <w:rPr>
          <w:rFonts w:ascii="Times New Roman" w:hAnsi="Times New Roman" w:cs="Times New Roman"/>
          <w:sz w:val="24"/>
          <w:szCs w:val="24"/>
          <w:lang w:val="es-ES"/>
        </w:rPr>
        <w:t xml:space="preserve"> la existencia de</w:t>
      </w:r>
      <w:r w:rsidR="00CC265F" w:rsidRPr="00B22CA9">
        <w:rPr>
          <w:rFonts w:ascii="Times New Roman" w:hAnsi="Times New Roman" w:cs="Times New Roman"/>
          <w:sz w:val="24"/>
          <w:szCs w:val="24"/>
          <w:lang w:val="es-ES"/>
        </w:rPr>
        <w:t>l</w:t>
      </w:r>
      <w:r w:rsidR="009610B8" w:rsidRPr="00B22CA9">
        <w:rPr>
          <w:rFonts w:ascii="Times New Roman" w:hAnsi="Times New Roman" w:cs="Times New Roman"/>
          <w:sz w:val="24"/>
          <w:szCs w:val="24"/>
          <w:lang w:val="es-ES"/>
        </w:rPr>
        <w:t xml:space="preserve"> riesgo claro de violación de los valores democráticos del artículo 2 TUE. El gobierno húngaro ha anunciado que recurrirá la votación parlamentaria ante el TJUE. </w:t>
      </w:r>
      <w:r w:rsidR="0077600B" w:rsidRPr="00B22CA9">
        <w:rPr>
          <w:rFonts w:ascii="Times New Roman" w:hAnsi="Times New Roman" w:cs="Times New Roman"/>
          <w:sz w:val="24"/>
          <w:szCs w:val="24"/>
          <w:lang w:val="es-ES"/>
        </w:rPr>
        <w:t xml:space="preserve">Mientras tanto, </w:t>
      </w:r>
      <w:r w:rsidR="003F0CE1" w:rsidRPr="00B22CA9">
        <w:rPr>
          <w:rFonts w:ascii="Times New Roman" w:hAnsi="Times New Roman" w:cs="Times New Roman"/>
          <w:sz w:val="24"/>
          <w:szCs w:val="24"/>
          <w:lang w:val="es-ES"/>
        </w:rPr>
        <w:t xml:space="preserve">Hungría tiene </w:t>
      </w:r>
      <w:r w:rsidR="00097100" w:rsidRPr="00B22CA9">
        <w:rPr>
          <w:rFonts w:ascii="Times New Roman" w:hAnsi="Times New Roman" w:cs="Times New Roman"/>
          <w:sz w:val="24"/>
          <w:szCs w:val="24"/>
          <w:lang w:val="es-ES"/>
        </w:rPr>
        <w:t xml:space="preserve">pendientes </w:t>
      </w:r>
      <w:r w:rsidR="003F0CE1" w:rsidRPr="00B22CA9">
        <w:rPr>
          <w:rFonts w:ascii="Times New Roman" w:hAnsi="Times New Roman" w:cs="Times New Roman"/>
          <w:sz w:val="24"/>
          <w:szCs w:val="24"/>
          <w:lang w:val="es-ES"/>
        </w:rPr>
        <w:t>dos procesos de in</w:t>
      </w:r>
      <w:r w:rsidR="00097100" w:rsidRPr="00B22CA9">
        <w:rPr>
          <w:rFonts w:ascii="Times New Roman" w:hAnsi="Times New Roman" w:cs="Times New Roman"/>
          <w:sz w:val="24"/>
          <w:szCs w:val="24"/>
          <w:lang w:val="es-ES"/>
        </w:rPr>
        <w:t>cumplimiento</w:t>
      </w:r>
      <w:r w:rsidR="00E17826" w:rsidRPr="00B22CA9">
        <w:rPr>
          <w:rFonts w:ascii="Times New Roman" w:hAnsi="Times New Roman" w:cs="Times New Roman"/>
          <w:sz w:val="24"/>
          <w:szCs w:val="24"/>
          <w:lang w:val="es-ES"/>
        </w:rPr>
        <w:t xml:space="preserve"> por </w:t>
      </w:r>
      <w:r w:rsidR="00097100" w:rsidRPr="00B22CA9">
        <w:rPr>
          <w:rFonts w:ascii="Times New Roman" w:hAnsi="Times New Roman" w:cs="Times New Roman"/>
          <w:sz w:val="24"/>
          <w:szCs w:val="24"/>
          <w:lang w:val="es-ES"/>
        </w:rPr>
        <w:t>asuntos</w:t>
      </w:r>
      <w:r w:rsidR="00E17826" w:rsidRPr="00B22CA9">
        <w:rPr>
          <w:rFonts w:ascii="Times New Roman" w:hAnsi="Times New Roman" w:cs="Times New Roman"/>
          <w:sz w:val="24"/>
          <w:szCs w:val="24"/>
          <w:lang w:val="es-ES"/>
        </w:rPr>
        <w:t xml:space="preserve"> relativos a derechos fundamentales</w:t>
      </w:r>
      <w:r w:rsidR="00097100" w:rsidRPr="00B22CA9">
        <w:rPr>
          <w:rFonts w:ascii="Times New Roman" w:hAnsi="Times New Roman" w:cs="Times New Roman"/>
          <w:sz w:val="24"/>
          <w:szCs w:val="24"/>
          <w:lang w:val="es-ES"/>
        </w:rPr>
        <w:t>, ambos</w:t>
      </w:r>
      <w:r w:rsidR="003F0CE1" w:rsidRPr="00B22CA9">
        <w:rPr>
          <w:rFonts w:ascii="Times New Roman" w:hAnsi="Times New Roman" w:cs="Times New Roman"/>
          <w:sz w:val="24"/>
          <w:szCs w:val="24"/>
          <w:lang w:val="es-ES"/>
        </w:rPr>
        <w:t xml:space="preserve"> en plena fase contenciosa</w:t>
      </w:r>
      <w:r w:rsidR="00097100" w:rsidRPr="00B22CA9">
        <w:rPr>
          <w:rFonts w:ascii="Times New Roman" w:hAnsi="Times New Roman" w:cs="Times New Roman"/>
          <w:sz w:val="24"/>
          <w:szCs w:val="24"/>
          <w:lang w:val="es-ES"/>
        </w:rPr>
        <w:t>. Uno se refiere a</w:t>
      </w:r>
      <w:r w:rsidR="003F0CE1" w:rsidRPr="00B22CA9">
        <w:rPr>
          <w:rFonts w:ascii="Times New Roman" w:hAnsi="Times New Roman" w:cs="Times New Roman"/>
          <w:sz w:val="24"/>
          <w:szCs w:val="24"/>
          <w:lang w:val="es-ES"/>
        </w:rPr>
        <w:t xml:space="preserve"> la financiación extranjera de orga</w:t>
      </w:r>
      <w:r w:rsidR="00E17826" w:rsidRPr="00B22CA9">
        <w:rPr>
          <w:rFonts w:ascii="Times New Roman" w:hAnsi="Times New Roman" w:cs="Times New Roman"/>
          <w:sz w:val="24"/>
          <w:szCs w:val="24"/>
          <w:lang w:val="es-ES"/>
        </w:rPr>
        <w:t>n</w:t>
      </w:r>
      <w:r w:rsidR="003F0CE1" w:rsidRPr="00B22CA9">
        <w:rPr>
          <w:rFonts w:ascii="Times New Roman" w:hAnsi="Times New Roman" w:cs="Times New Roman"/>
          <w:sz w:val="24"/>
          <w:szCs w:val="24"/>
          <w:lang w:val="es-ES"/>
        </w:rPr>
        <w:t>izaciones</w:t>
      </w:r>
      <w:r w:rsidR="00E17826" w:rsidRPr="00B22CA9">
        <w:rPr>
          <w:rFonts w:ascii="Times New Roman" w:hAnsi="Times New Roman" w:cs="Times New Roman"/>
          <w:sz w:val="24"/>
          <w:szCs w:val="24"/>
          <w:lang w:val="es-ES"/>
        </w:rPr>
        <w:t xml:space="preserve"> no gubernamentales</w:t>
      </w:r>
      <w:r w:rsidR="003F0CE1" w:rsidRPr="00B22CA9">
        <w:rPr>
          <w:rFonts w:ascii="Times New Roman" w:hAnsi="Times New Roman" w:cs="Times New Roman"/>
          <w:sz w:val="24"/>
          <w:szCs w:val="24"/>
          <w:lang w:val="es-ES"/>
        </w:rPr>
        <w:t xml:space="preserve"> </w:t>
      </w:r>
      <w:r w:rsidR="00097100" w:rsidRPr="00B22CA9">
        <w:rPr>
          <w:rFonts w:ascii="Times New Roman" w:hAnsi="Times New Roman" w:cs="Times New Roman"/>
          <w:sz w:val="24"/>
          <w:szCs w:val="24"/>
          <w:lang w:val="es-ES"/>
        </w:rPr>
        <w:t xml:space="preserve">que actúan </w:t>
      </w:r>
      <w:r w:rsidR="003F0CE1" w:rsidRPr="00B22CA9">
        <w:rPr>
          <w:rFonts w:ascii="Times New Roman" w:hAnsi="Times New Roman" w:cs="Times New Roman"/>
          <w:sz w:val="24"/>
          <w:szCs w:val="24"/>
          <w:lang w:val="es-ES"/>
        </w:rPr>
        <w:t xml:space="preserve">en Hungría y el otro a la </w:t>
      </w:r>
      <w:r w:rsidR="005E1044" w:rsidRPr="00B22CA9">
        <w:rPr>
          <w:rFonts w:ascii="Times New Roman" w:hAnsi="Times New Roman" w:cs="Times New Roman"/>
          <w:sz w:val="24"/>
          <w:szCs w:val="24"/>
          <w:lang w:val="es-ES"/>
        </w:rPr>
        <w:t xml:space="preserve">estructura empresarial de </w:t>
      </w:r>
      <w:r w:rsidR="003F0CE1" w:rsidRPr="00B22CA9">
        <w:rPr>
          <w:rFonts w:ascii="Times New Roman" w:hAnsi="Times New Roman" w:cs="Times New Roman"/>
          <w:sz w:val="24"/>
          <w:szCs w:val="24"/>
          <w:lang w:val="es-ES"/>
        </w:rPr>
        <w:t>in</w:t>
      </w:r>
      <w:r w:rsidR="005E1044" w:rsidRPr="00B22CA9">
        <w:rPr>
          <w:rFonts w:ascii="Times New Roman" w:hAnsi="Times New Roman" w:cs="Times New Roman"/>
          <w:sz w:val="24"/>
          <w:szCs w:val="24"/>
          <w:lang w:val="es-ES"/>
        </w:rPr>
        <w:t>s</w:t>
      </w:r>
      <w:r w:rsidR="003F0CE1" w:rsidRPr="00B22CA9">
        <w:rPr>
          <w:rFonts w:ascii="Times New Roman" w:hAnsi="Times New Roman" w:cs="Times New Roman"/>
          <w:sz w:val="24"/>
          <w:szCs w:val="24"/>
          <w:lang w:val="es-ES"/>
        </w:rPr>
        <w:t xml:space="preserve">tituciones </w:t>
      </w:r>
      <w:r w:rsidR="005E1044" w:rsidRPr="00B22CA9">
        <w:rPr>
          <w:rFonts w:ascii="Times New Roman" w:hAnsi="Times New Roman" w:cs="Times New Roman"/>
          <w:sz w:val="24"/>
          <w:szCs w:val="24"/>
          <w:lang w:val="es-ES"/>
        </w:rPr>
        <w:t xml:space="preserve">internacionales </w:t>
      </w:r>
      <w:r w:rsidR="003F0CE1" w:rsidRPr="00B22CA9">
        <w:rPr>
          <w:rFonts w:ascii="Times New Roman" w:hAnsi="Times New Roman" w:cs="Times New Roman"/>
          <w:sz w:val="24"/>
          <w:szCs w:val="24"/>
          <w:lang w:val="es-ES"/>
        </w:rPr>
        <w:t>de educación superior</w:t>
      </w:r>
      <w:r w:rsidR="005E1044" w:rsidRPr="00B22CA9">
        <w:rPr>
          <w:rFonts w:ascii="Times New Roman" w:hAnsi="Times New Roman" w:cs="Times New Roman"/>
          <w:sz w:val="24"/>
          <w:szCs w:val="24"/>
          <w:lang w:val="es-ES"/>
        </w:rPr>
        <w:t xml:space="preserve"> con sede en ese país</w:t>
      </w:r>
      <w:r w:rsidR="00641673" w:rsidRPr="00B22CA9">
        <w:rPr>
          <w:rStyle w:val="Refdenotaalpie"/>
          <w:rFonts w:ascii="Times New Roman" w:hAnsi="Times New Roman" w:cs="Times New Roman"/>
          <w:sz w:val="24"/>
          <w:szCs w:val="24"/>
          <w:lang w:val="es-ES"/>
        </w:rPr>
        <w:footnoteReference w:id="46"/>
      </w:r>
      <w:r w:rsidR="003F0CE1" w:rsidRPr="00B22CA9">
        <w:rPr>
          <w:rFonts w:ascii="Times New Roman" w:hAnsi="Times New Roman" w:cs="Times New Roman"/>
          <w:sz w:val="24"/>
          <w:szCs w:val="24"/>
          <w:lang w:val="es-ES"/>
        </w:rPr>
        <w:t>.</w:t>
      </w:r>
      <w:r w:rsidR="009F0DF3" w:rsidRPr="00B22CA9">
        <w:rPr>
          <w:rFonts w:ascii="Times New Roman" w:hAnsi="Times New Roman" w:cs="Times New Roman"/>
          <w:sz w:val="24"/>
          <w:szCs w:val="24"/>
          <w:lang w:val="es-ES"/>
        </w:rPr>
        <w:tab/>
      </w:r>
    </w:p>
    <w:p w:rsidR="009F0DF3" w:rsidRPr="00B22CA9" w:rsidRDefault="009610B8" w:rsidP="007F11DF">
      <w:pPr>
        <w:spacing w:line="240" w:lineRule="auto"/>
        <w:jc w:val="both"/>
        <w:rPr>
          <w:rFonts w:ascii="Times New Roman" w:hAnsi="Times New Roman" w:cs="Times New Roman"/>
          <w:sz w:val="24"/>
          <w:szCs w:val="24"/>
          <w:lang w:val="es-ES"/>
        </w:rPr>
      </w:pPr>
      <w:r w:rsidRPr="00B22CA9">
        <w:rPr>
          <w:rFonts w:ascii="Times New Roman" w:hAnsi="Times New Roman" w:cs="Times New Roman"/>
          <w:sz w:val="24"/>
          <w:szCs w:val="24"/>
          <w:lang w:val="es-ES"/>
        </w:rPr>
        <w:tab/>
      </w:r>
      <w:r w:rsidR="00FC5D0A" w:rsidRPr="00B22CA9">
        <w:rPr>
          <w:rFonts w:ascii="Times New Roman" w:hAnsi="Times New Roman" w:cs="Times New Roman"/>
          <w:sz w:val="24"/>
          <w:szCs w:val="24"/>
          <w:lang w:val="es-ES"/>
        </w:rPr>
        <w:t>E</w:t>
      </w:r>
      <w:r w:rsidR="009F0DF3" w:rsidRPr="00B22CA9">
        <w:rPr>
          <w:rFonts w:ascii="Times New Roman" w:hAnsi="Times New Roman" w:cs="Times New Roman"/>
          <w:sz w:val="24"/>
          <w:szCs w:val="24"/>
          <w:lang w:val="es-ES"/>
        </w:rPr>
        <w:t>l primer</w:t>
      </w:r>
      <w:r w:rsidR="0077600B" w:rsidRPr="00B22CA9">
        <w:rPr>
          <w:rFonts w:ascii="Times New Roman" w:hAnsi="Times New Roman" w:cs="Times New Roman"/>
          <w:sz w:val="24"/>
          <w:szCs w:val="24"/>
          <w:lang w:val="es-ES"/>
        </w:rPr>
        <w:t xml:space="preserve"> asunto</w:t>
      </w:r>
      <w:r w:rsidR="007605DE" w:rsidRPr="00B22CA9">
        <w:rPr>
          <w:rFonts w:ascii="Times New Roman" w:hAnsi="Times New Roman" w:cs="Times New Roman"/>
          <w:sz w:val="24"/>
          <w:szCs w:val="24"/>
          <w:lang w:val="es-ES"/>
        </w:rPr>
        <w:t>,</w:t>
      </w:r>
      <w:r w:rsidR="009F0DF3" w:rsidRPr="00B22CA9">
        <w:rPr>
          <w:rFonts w:ascii="Times New Roman" w:hAnsi="Times New Roman" w:cs="Times New Roman"/>
          <w:sz w:val="24"/>
          <w:szCs w:val="24"/>
          <w:lang w:val="es-ES"/>
        </w:rPr>
        <w:t xml:space="preserve"> </w:t>
      </w:r>
      <w:r w:rsidR="007605DE" w:rsidRPr="00B22CA9">
        <w:rPr>
          <w:rFonts w:ascii="Times New Roman" w:hAnsi="Times New Roman" w:cs="Times New Roman"/>
          <w:sz w:val="24"/>
          <w:szCs w:val="24"/>
          <w:lang w:val="es-ES"/>
        </w:rPr>
        <w:t xml:space="preserve">remitido ya </w:t>
      </w:r>
      <w:r w:rsidR="00FC5D0A" w:rsidRPr="00B22CA9">
        <w:rPr>
          <w:rFonts w:ascii="Times New Roman" w:hAnsi="Times New Roman" w:cs="Times New Roman"/>
          <w:sz w:val="24"/>
          <w:szCs w:val="24"/>
          <w:lang w:val="es-ES"/>
        </w:rPr>
        <w:t>al TJUE</w:t>
      </w:r>
      <w:r w:rsidR="007605DE" w:rsidRPr="00B22CA9">
        <w:rPr>
          <w:rFonts w:ascii="Times New Roman" w:hAnsi="Times New Roman" w:cs="Times New Roman"/>
          <w:sz w:val="24"/>
          <w:szCs w:val="24"/>
          <w:lang w:val="es-ES"/>
        </w:rPr>
        <w:t xml:space="preserve"> como </w:t>
      </w:r>
      <w:r w:rsidR="00641673" w:rsidRPr="00B22CA9">
        <w:rPr>
          <w:rFonts w:ascii="Times New Roman" w:hAnsi="Times New Roman" w:cs="Times New Roman"/>
          <w:sz w:val="24"/>
          <w:szCs w:val="24"/>
          <w:lang w:val="es-ES"/>
        </w:rPr>
        <w:t xml:space="preserve">asunto </w:t>
      </w:r>
      <w:r w:rsidR="00CF0808" w:rsidRPr="00B22CA9">
        <w:rPr>
          <w:rFonts w:ascii="Times New Roman" w:hAnsi="Times New Roman" w:cs="Times New Roman"/>
          <w:sz w:val="24"/>
          <w:szCs w:val="24"/>
          <w:lang w:val="es-ES"/>
        </w:rPr>
        <w:t>C-</w:t>
      </w:r>
      <w:r w:rsidR="00641673" w:rsidRPr="00B22CA9">
        <w:rPr>
          <w:rFonts w:ascii="Times New Roman" w:hAnsi="Times New Roman" w:cs="Times New Roman"/>
          <w:sz w:val="24"/>
          <w:szCs w:val="24"/>
          <w:lang w:val="es-ES"/>
        </w:rPr>
        <w:t>78/18,</w:t>
      </w:r>
      <w:r w:rsidR="00FC5D0A" w:rsidRPr="00B22CA9">
        <w:rPr>
          <w:rFonts w:ascii="Times New Roman" w:hAnsi="Times New Roman" w:cs="Times New Roman"/>
          <w:sz w:val="24"/>
          <w:szCs w:val="24"/>
          <w:lang w:val="es-ES"/>
        </w:rPr>
        <w:t xml:space="preserve"> exp</w:t>
      </w:r>
      <w:r w:rsidRPr="00B22CA9">
        <w:rPr>
          <w:rFonts w:ascii="Times New Roman" w:hAnsi="Times New Roman" w:cs="Times New Roman"/>
          <w:sz w:val="24"/>
          <w:szCs w:val="24"/>
          <w:lang w:val="es-ES"/>
        </w:rPr>
        <w:t>one</w:t>
      </w:r>
      <w:r w:rsidR="007605DE" w:rsidRPr="00B22CA9">
        <w:rPr>
          <w:rFonts w:ascii="Times New Roman" w:hAnsi="Times New Roman" w:cs="Times New Roman"/>
          <w:sz w:val="24"/>
          <w:szCs w:val="24"/>
          <w:lang w:val="es-ES"/>
        </w:rPr>
        <w:t xml:space="preserve"> que</w:t>
      </w:r>
      <w:r w:rsidR="00FC5D0A" w:rsidRPr="00B22CA9">
        <w:rPr>
          <w:rFonts w:ascii="Times New Roman" w:hAnsi="Times New Roman" w:cs="Times New Roman"/>
          <w:sz w:val="24"/>
          <w:szCs w:val="24"/>
          <w:lang w:val="es-ES"/>
        </w:rPr>
        <w:t xml:space="preserve"> la </w:t>
      </w:r>
      <w:r w:rsidR="009F0DF3" w:rsidRPr="00B22CA9">
        <w:rPr>
          <w:rFonts w:ascii="Times New Roman" w:hAnsi="Times New Roman" w:cs="Times New Roman"/>
          <w:sz w:val="24"/>
          <w:szCs w:val="24"/>
          <w:lang w:val="es-ES"/>
        </w:rPr>
        <w:t>causa de incumplimiento invoca</w:t>
      </w:r>
      <w:r w:rsidRPr="00B22CA9">
        <w:rPr>
          <w:rFonts w:ascii="Times New Roman" w:hAnsi="Times New Roman" w:cs="Times New Roman"/>
          <w:sz w:val="24"/>
          <w:szCs w:val="24"/>
          <w:lang w:val="es-ES"/>
        </w:rPr>
        <w:t>da</w:t>
      </w:r>
      <w:r w:rsidR="00FC5D0A" w:rsidRPr="00B22CA9">
        <w:rPr>
          <w:rFonts w:ascii="Times New Roman" w:hAnsi="Times New Roman" w:cs="Times New Roman"/>
          <w:sz w:val="24"/>
          <w:szCs w:val="24"/>
          <w:lang w:val="es-ES"/>
        </w:rPr>
        <w:t xml:space="preserve"> para promover la acción judicial</w:t>
      </w:r>
      <w:r w:rsidR="007605DE" w:rsidRPr="00B22CA9">
        <w:rPr>
          <w:rFonts w:ascii="Times New Roman" w:hAnsi="Times New Roman" w:cs="Times New Roman"/>
          <w:sz w:val="24"/>
          <w:szCs w:val="24"/>
          <w:lang w:val="es-ES"/>
        </w:rPr>
        <w:t xml:space="preserve"> es</w:t>
      </w:r>
      <w:r w:rsidR="00FC5D0A" w:rsidRPr="00B22CA9">
        <w:rPr>
          <w:rFonts w:ascii="Times New Roman" w:hAnsi="Times New Roman" w:cs="Times New Roman"/>
          <w:sz w:val="24"/>
          <w:szCs w:val="24"/>
          <w:lang w:val="es-ES"/>
        </w:rPr>
        <w:t xml:space="preserve"> la libertad de circulación de capitales consignada en el</w:t>
      </w:r>
      <w:r w:rsidR="009F0DF3" w:rsidRPr="00B22CA9">
        <w:rPr>
          <w:rFonts w:ascii="Times New Roman" w:hAnsi="Times New Roman" w:cs="Times New Roman"/>
          <w:sz w:val="24"/>
          <w:szCs w:val="24"/>
          <w:lang w:val="es-ES"/>
        </w:rPr>
        <w:t xml:space="preserve"> artículo 63 del</w:t>
      </w:r>
      <w:r w:rsidR="00FC5D0A" w:rsidRPr="00B22CA9">
        <w:rPr>
          <w:rFonts w:ascii="Times New Roman" w:hAnsi="Times New Roman" w:cs="Times New Roman"/>
          <w:sz w:val="24"/>
          <w:szCs w:val="24"/>
          <w:lang w:val="es-ES"/>
        </w:rPr>
        <w:t xml:space="preserve"> T</w:t>
      </w:r>
      <w:r w:rsidR="009F0DF3" w:rsidRPr="00B22CA9">
        <w:rPr>
          <w:rFonts w:ascii="Times New Roman" w:hAnsi="Times New Roman" w:cs="Times New Roman"/>
          <w:sz w:val="24"/>
          <w:szCs w:val="24"/>
          <w:lang w:val="es-ES"/>
        </w:rPr>
        <w:t>FUE</w:t>
      </w:r>
      <w:r w:rsidR="00FC5D0A" w:rsidRPr="00B22CA9">
        <w:rPr>
          <w:rFonts w:ascii="Times New Roman" w:hAnsi="Times New Roman" w:cs="Times New Roman"/>
          <w:sz w:val="24"/>
          <w:szCs w:val="24"/>
          <w:lang w:val="es-ES"/>
        </w:rPr>
        <w:t xml:space="preserve">. </w:t>
      </w:r>
      <w:r w:rsidR="002804A5" w:rsidRPr="00B22CA9">
        <w:rPr>
          <w:rFonts w:ascii="Times New Roman" w:hAnsi="Times New Roman" w:cs="Times New Roman"/>
          <w:sz w:val="24"/>
          <w:szCs w:val="24"/>
          <w:lang w:val="es-ES"/>
        </w:rPr>
        <w:t>La apertura del procedimiento, en su fase precontenciosa, fue en octubre de 2017</w:t>
      </w:r>
      <w:r w:rsidRPr="00B22CA9">
        <w:rPr>
          <w:rFonts w:ascii="Times New Roman" w:hAnsi="Times New Roman" w:cs="Times New Roman"/>
          <w:sz w:val="24"/>
          <w:szCs w:val="24"/>
          <w:lang w:val="es-ES"/>
        </w:rPr>
        <w:t>.</w:t>
      </w:r>
      <w:r w:rsidR="002804A5" w:rsidRPr="00B22CA9">
        <w:rPr>
          <w:rFonts w:ascii="Times New Roman" w:hAnsi="Times New Roman" w:cs="Times New Roman"/>
          <w:sz w:val="24"/>
          <w:szCs w:val="24"/>
          <w:lang w:val="es-ES"/>
        </w:rPr>
        <w:t xml:space="preserve"> </w:t>
      </w:r>
      <w:r w:rsidRPr="00B22CA9">
        <w:rPr>
          <w:rFonts w:ascii="Times New Roman" w:hAnsi="Times New Roman" w:cs="Times New Roman"/>
          <w:sz w:val="24"/>
          <w:szCs w:val="24"/>
          <w:lang w:val="es-ES"/>
        </w:rPr>
        <w:t>E</w:t>
      </w:r>
      <w:r w:rsidR="009F0DF3" w:rsidRPr="00B22CA9">
        <w:rPr>
          <w:rFonts w:ascii="Times New Roman" w:hAnsi="Times New Roman" w:cs="Times New Roman"/>
          <w:sz w:val="24"/>
          <w:szCs w:val="24"/>
          <w:lang w:val="es-ES"/>
        </w:rPr>
        <w:t xml:space="preserve">stuvo </w:t>
      </w:r>
      <w:r w:rsidR="002804A5" w:rsidRPr="00B22CA9">
        <w:rPr>
          <w:rFonts w:ascii="Times New Roman" w:hAnsi="Times New Roman" w:cs="Times New Roman"/>
          <w:sz w:val="24"/>
          <w:szCs w:val="24"/>
          <w:lang w:val="es-ES"/>
        </w:rPr>
        <w:t xml:space="preserve">motivada por la entrada en vigor de </w:t>
      </w:r>
      <w:r w:rsidRPr="00B22CA9">
        <w:rPr>
          <w:rFonts w:ascii="Times New Roman" w:hAnsi="Times New Roman" w:cs="Times New Roman"/>
          <w:sz w:val="24"/>
          <w:szCs w:val="24"/>
          <w:lang w:val="es-ES"/>
        </w:rPr>
        <w:t>la</w:t>
      </w:r>
      <w:r w:rsidR="002804A5" w:rsidRPr="00B22CA9">
        <w:rPr>
          <w:rFonts w:ascii="Times New Roman" w:hAnsi="Times New Roman" w:cs="Times New Roman"/>
          <w:sz w:val="24"/>
          <w:szCs w:val="24"/>
          <w:lang w:val="es-ES"/>
        </w:rPr>
        <w:t xml:space="preserve"> ley </w:t>
      </w:r>
      <w:r w:rsidRPr="00B22CA9">
        <w:rPr>
          <w:rFonts w:ascii="Times New Roman" w:hAnsi="Times New Roman" w:cs="Times New Roman"/>
          <w:sz w:val="24"/>
          <w:szCs w:val="24"/>
          <w:lang w:val="es-ES"/>
        </w:rPr>
        <w:t xml:space="preserve">que </w:t>
      </w:r>
      <w:r w:rsidR="002804A5" w:rsidRPr="00B22CA9">
        <w:rPr>
          <w:rFonts w:ascii="Times New Roman" w:hAnsi="Times New Roman" w:cs="Times New Roman"/>
          <w:sz w:val="24"/>
          <w:szCs w:val="24"/>
          <w:lang w:val="es-ES"/>
        </w:rPr>
        <w:t>regula la financiación de organizaciones</w:t>
      </w:r>
      <w:r w:rsidR="007605DE" w:rsidRPr="00B22CA9">
        <w:rPr>
          <w:rFonts w:ascii="Times New Roman" w:hAnsi="Times New Roman" w:cs="Times New Roman"/>
          <w:sz w:val="24"/>
          <w:szCs w:val="24"/>
          <w:lang w:val="es-ES"/>
        </w:rPr>
        <w:t xml:space="preserve"> no</w:t>
      </w:r>
      <w:r w:rsidR="002804A5" w:rsidRPr="00B22CA9">
        <w:rPr>
          <w:rFonts w:ascii="Times New Roman" w:hAnsi="Times New Roman" w:cs="Times New Roman"/>
          <w:sz w:val="24"/>
          <w:szCs w:val="24"/>
          <w:lang w:val="es-ES"/>
        </w:rPr>
        <w:t xml:space="preserve"> gubernamentales</w:t>
      </w:r>
      <w:r w:rsidRPr="00B22CA9">
        <w:rPr>
          <w:rFonts w:ascii="Times New Roman" w:hAnsi="Times New Roman" w:cs="Times New Roman"/>
          <w:sz w:val="24"/>
          <w:szCs w:val="24"/>
          <w:lang w:val="es-ES"/>
        </w:rPr>
        <w:t xml:space="preserve">, donde se </w:t>
      </w:r>
      <w:r w:rsidR="002804A5" w:rsidRPr="00B22CA9">
        <w:rPr>
          <w:rFonts w:ascii="Times New Roman" w:hAnsi="Times New Roman" w:cs="Times New Roman"/>
          <w:sz w:val="24"/>
          <w:szCs w:val="24"/>
          <w:lang w:val="es-ES"/>
        </w:rPr>
        <w:t>introducía</w:t>
      </w:r>
      <w:r w:rsidRPr="00B22CA9">
        <w:rPr>
          <w:rFonts w:ascii="Times New Roman" w:hAnsi="Times New Roman" w:cs="Times New Roman"/>
          <w:sz w:val="24"/>
          <w:szCs w:val="24"/>
          <w:lang w:val="es-ES"/>
        </w:rPr>
        <w:t>n</w:t>
      </w:r>
      <w:r w:rsidR="002804A5" w:rsidRPr="00B22CA9">
        <w:rPr>
          <w:rFonts w:ascii="Times New Roman" w:hAnsi="Times New Roman" w:cs="Times New Roman"/>
          <w:sz w:val="24"/>
          <w:szCs w:val="24"/>
          <w:lang w:val="es-ES"/>
        </w:rPr>
        <w:t xml:space="preserve"> obligaciones para </w:t>
      </w:r>
      <w:r w:rsidR="007605DE" w:rsidRPr="00B22CA9">
        <w:rPr>
          <w:rFonts w:ascii="Times New Roman" w:hAnsi="Times New Roman" w:cs="Times New Roman"/>
          <w:sz w:val="24"/>
          <w:szCs w:val="24"/>
          <w:lang w:val="es-ES"/>
        </w:rPr>
        <w:t>aquellas</w:t>
      </w:r>
      <w:r w:rsidR="002804A5" w:rsidRPr="00B22CA9">
        <w:rPr>
          <w:rFonts w:ascii="Times New Roman" w:hAnsi="Times New Roman" w:cs="Times New Roman"/>
          <w:sz w:val="24"/>
          <w:szCs w:val="24"/>
          <w:lang w:val="es-ES"/>
        </w:rPr>
        <w:t xml:space="preserve"> que recibieran fondos del extranjero en una suma anual sup</w:t>
      </w:r>
      <w:r w:rsidRPr="00B22CA9">
        <w:rPr>
          <w:rFonts w:ascii="Times New Roman" w:hAnsi="Times New Roman" w:cs="Times New Roman"/>
          <w:sz w:val="24"/>
          <w:szCs w:val="24"/>
          <w:lang w:val="es-ES"/>
        </w:rPr>
        <w:t>erior a veinticuatro mil euros. Esas</w:t>
      </w:r>
      <w:r w:rsidR="002804A5" w:rsidRPr="00B22CA9">
        <w:rPr>
          <w:rFonts w:ascii="Times New Roman" w:hAnsi="Times New Roman" w:cs="Times New Roman"/>
          <w:sz w:val="24"/>
          <w:szCs w:val="24"/>
          <w:lang w:val="es-ES"/>
        </w:rPr>
        <w:t xml:space="preserve"> obligaciones consisten en </w:t>
      </w:r>
      <w:r w:rsidRPr="00B22CA9">
        <w:rPr>
          <w:rFonts w:ascii="Times New Roman" w:hAnsi="Times New Roman" w:cs="Times New Roman"/>
          <w:sz w:val="24"/>
          <w:szCs w:val="24"/>
          <w:lang w:val="es-ES"/>
        </w:rPr>
        <w:t>el deber</w:t>
      </w:r>
      <w:r w:rsidR="002804A5" w:rsidRPr="00B22CA9">
        <w:rPr>
          <w:rFonts w:ascii="Times New Roman" w:hAnsi="Times New Roman" w:cs="Times New Roman"/>
          <w:sz w:val="24"/>
          <w:szCs w:val="24"/>
          <w:lang w:val="es-ES"/>
        </w:rPr>
        <w:t xml:space="preserve"> de registrarse y etiquetarse a sí mismas, en sitios web y publicaciones impresas, como organizaciones financiadas desde el extranjero</w:t>
      </w:r>
      <w:r w:rsidR="009F0DF3" w:rsidRPr="00B22CA9">
        <w:rPr>
          <w:rFonts w:ascii="Times New Roman" w:hAnsi="Times New Roman" w:cs="Times New Roman"/>
          <w:sz w:val="24"/>
          <w:szCs w:val="24"/>
          <w:lang w:val="es-ES"/>
        </w:rPr>
        <w:t>. Estas org</w:t>
      </w:r>
      <w:r w:rsidR="002804A5" w:rsidRPr="00B22CA9">
        <w:rPr>
          <w:rFonts w:ascii="Times New Roman" w:hAnsi="Times New Roman" w:cs="Times New Roman"/>
          <w:sz w:val="24"/>
          <w:szCs w:val="24"/>
          <w:lang w:val="es-ES"/>
        </w:rPr>
        <w:t xml:space="preserve">anizaciones no gubernamentales también han </w:t>
      </w:r>
      <w:r w:rsidR="00642841" w:rsidRPr="00B22CA9">
        <w:rPr>
          <w:rFonts w:ascii="Times New Roman" w:hAnsi="Times New Roman" w:cs="Times New Roman"/>
          <w:sz w:val="24"/>
          <w:szCs w:val="24"/>
          <w:lang w:val="es-ES"/>
        </w:rPr>
        <w:t>de suministrar información específica</w:t>
      </w:r>
      <w:r w:rsidRPr="00B22CA9">
        <w:rPr>
          <w:rFonts w:ascii="Times New Roman" w:hAnsi="Times New Roman" w:cs="Times New Roman"/>
          <w:sz w:val="24"/>
          <w:szCs w:val="24"/>
          <w:lang w:val="es-ES"/>
        </w:rPr>
        <w:t xml:space="preserve"> a las autoridades húngaras</w:t>
      </w:r>
      <w:r w:rsidR="00642841" w:rsidRPr="00B22CA9">
        <w:rPr>
          <w:rFonts w:ascii="Times New Roman" w:hAnsi="Times New Roman" w:cs="Times New Roman"/>
          <w:sz w:val="24"/>
          <w:szCs w:val="24"/>
          <w:lang w:val="es-ES"/>
        </w:rPr>
        <w:t xml:space="preserve"> sobre la financiación que reciben del extranjero, incluyendo datos personales de ciertos donantes. Los datos se incluirían en un registro especial de acceso público. Las organizaciones concernidas se enfrentarían a sanciones si incumplieran estas obligaciones de registro, información y transparencia. </w:t>
      </w:r>
      <w:r w:rsidR="00C75B2E" w:rsidRPr="00B22CA9">
        <w:rPr>
          <w:rFonts w:ascii="Times New Roman" w:hAnsi="Times New Roman" w:cs="Times New Roman"/>
          <w:sz w:val="24"/>
          <w:szCs w:val="24"/>
          <w:lang w:val="es-ES"/>
        </w:rPr>
        <w:t xml:space="preserve">Para la Comisión estas medidas suponen una discriminación indirecta y desproporcionada de la libertad de circulación de capitales, ya que afectan exclusivamente a las donaciones extranjeras, incluidas las de otros Estados miembros. La discriminación se identifica con el efecto inhibitorio </w:t>
      </w:r>
      <w:r w:rsidR="007605DE" w:rsidRPr="00B22CA9">
        <w:rPr>
          <w:rFonts w:ascii="Times New Roman" w:hAnsi="Times New Roman" w:cs="Times New Roman"/>
          <w:sz w:val="24"/>
          <w:szCs w:val="24"/>
          <w:lang w:val="es-ES"/>
        </w:rPr>
        <w:t>provocado por</w:t>
      </w:r>
      <w:r w:rsidR="00C75B2E" w:rsidRPr="00B22CA9">
        <w:rPr>
          <w:rFonts w:ascii="Times New Roman" w:hAnsi="Times New Roman" w:cs="Times New Roman"/>
          <w:sz w:val="24"/>
          <w:szCs w:val="24"/>
          <w:lang w:val="es-ES"/>
        </w:rPr>
        <w:t xml:space="preserve"> la cantidad de formalidades y cargas administrativas, que pueden </w:t>
      </w:r>
      <w:r w:rsidR="007605DE" w:rsidRPr="00B22CA9">
        <w:rPr>
          <w:rFonts w:ascii="Times New Roman" w:hAnsi="Times New Roman" w:cs="Times New Roman"/>
          <w:sz w:val="24"/>
          <w:szCs w:val="24"/>
          <w:lang w:val="es-ES"/>
        </w:rPr>
        <w:t>producir,</w:t>
      </w:r>
      <w:r w:rsidR="00C75B2E" w:rsidRPr="00B22CA9">
        <w:rPr>
          <w:rFonts w:ascii="Times New Roman" w:hAnsi="Times New Roman" w:cs="Times New Roman"/>
          <w:sz w:val="24"/>
          <w:szCs w:val="24"/>
          <w:lang w:val="es-ES"/>
        </w:rPr>
        <w:t xml:space="preserve"> incluso</w:t>
      </w:r>
      <w:r w:rsidR="007605DE" w:rsidRPr="00B22CA9">
        <w:rPr>
          <w:rFonts w:ascii="Times New Roman" w:hAnsi="Times New Roman" w:cs="Times New Roman"/>
          <w:sz w:val="24"/>
          <w:szCs w:val="24"/>
          <w:lang w:val="es-ES"/>
        </w:rPr>
        <w:t>,</w:t>
      </w:r>
      <w:r w:rsidR="00C75B2E" w:rsidRPr="00B22CA9">
        <w:rPr>
          <w:rFonts w:ascii="Times New Roman" w:hAnsi="Times New Roman" w:cs="Times New Roman"/>
          <w:sz w:val="24"/>
          <w:szCs w:val="24"/>
          <w:lang w:val="es-ES"/>
        </w:rPr>
        <w:t xml:space="preserve"> efectos estigmatizadores sobre receptores y donantes. En relación con esto, entiende la Comisión que se vulneran los derechos fundamentales a la libertad de asociación, intimidad y protección de datos personales previstos en los artículos 12, 7 y 8 de la Carta.  </w:t>
      </w:r>
    </w:p>
    <w:p w:rsidR="00E36D6F" w:rsidRPr="00B22CA9" w:rsidRDefault="00415D89" w:rsidP="007F11DF">
      <w:pPr>
        <w:spacing w:line="240" w:lineRule="auto"/>
        <w:jc w:val="both"/>
        <w:rPr>
          <w:rFonts w:ascii="Times New Roman" w:hAnsi="Times New Roman" w:cs="Times New Roman"/>
          <w:sz w:val="24"/>
          <w:szCs w:val="24"/>
          <w:lang w:val="es-ES"/>
        </w:rPr>
      </w:pPr>
      <w:r w:rsidRPr="00B22CA9">
        <w:rPr>
          <w:rFonts w:ascii="Times New Roman" w:hAnsi="Times New Roman" w:cs="Times New Roman"/>
          <w:sz w:val="24"/>
          <w:szCs w:val="24"/>
          <w:lang w:val="es-ES"/>
        </w:rPr>
        <w:tab/>
        <w:t xml:space="preserve">El caso de las instituciones de educación superior, admitido por el TJUE como </w:t>
      </w:r>
      <w:r w:rsidR="00CF0808" w:rsidRPr="00B22CA9">
        <w:rPr>
          <w:rFonts w:ascii="Times New Roman" w:hAnsi="Times New Roman" w:cs="Times New Roman"/>
          <w:sz w:val="24"/>
          <w:szCs w:val="24"/>
          <w:lang w:val="es-ES"/>
        </w:rPr>
        <w:t>C-</w:t>
      </w:r>
      <w:r w:rsidRPr="00B22CA9">
        <w:rPr>
          <w:rFonts w:ascii="Times New Roman" w:hAnsi="Times New Roman" w:cs="Times New Roman"/>
          <w:sz w:val="24"/>
          <w:szCs w:val="24"/>
          <w:lang w:val="es-ES"/>
        </w:rPr>
        <w:t xml:space="preserve">66/18, se trata de otra ley húngara que </w:t>
      </w:r>
      <w:r w:rsidR="00B93C27" w:rsidRPr="00B22CA9">
        <w:rPr>
          <w:rFonts w:ascii="Times New Roman" w:hAnsi="Times New Roman" w:cs="Times New Roman"/>
          <w:sz w:val="24"/>
          <w:szCs w:val="24"/>
          <w:lang w:val="es-ES"/>
        </w:rPr>
        <w:t>modifica la ley de enseñanza superior</w:t>
      </w:r>
      <w:r w:rsidR="009610B8" w:rsidRPr="00B22CA9">
        <w:rPr>
          <w:rFonts w:ascii="Times New Roman" w:hAnsi="Times New Roman" w:cs="Times New Roman"/>
          <w:sz w:val="24"/>
          <w:szCs w:val="24"/>
          <w:lang w:val="es-ES"/>
        </w:rPr>
        <w:t>, imponiendo</w:t>
      </w:r>
      <w:r w:rsidR="00B93C27" w:rsidRPr="00B22CA9">
        <w:rPr>
          <w:rFonts w:ascii="Times New Roman" w:hAnsi="Times New Roman" w:cs="Times New Roman"/>
          <w:sz w:val="24"/>
          <w:szCs w:val="24"/>
          <w:lang w:val="es-ES"/>
        </w:rPr>
        <w:t xml:space="preserve"> nuevos requisitos a las instituciones educativas extranjeras. Son requisitos de distinto tipo</w:t>
      </w:r>
      <w:r w:rsidR="00187A31" w:rsidRPr="00B22CA9">
        <w:rPr>
          <w:rFonts w:ascii="Times New Roman" w:hAnsi="Times New Roman" w:cs="Times New Roman"/>
          <w:sz w:val="24"/>
          <w:szCs w:val="24"/>
          <w:lang w:val="es-ES"/>
        </w:rPr>
        <w:t>,</w:t>
      </w:r>
      <w:r w:rsidR="00B93C27" w:rsidRPr="00B22CA9">
        <w:rPr>
          <w:rFonts w:ascii="Times New Roman" w:hAnsi="Times New Roman" w:cs="Times New Roman"/>
          <w:sz w:val="24"/>
          <w:szCs w:val="24"/>
          <w:lang w:val="es-ES"/>
        </w:rPr>
        <w:t xml:space="preserve"> relativos a la denominación de esas instituciones</w:t>
      </w:r>
      <w:r w:rsidR="00187A31" w:rsidRPr="00B22CA9">
        <w:rPr>
          <w:rFonts w:ascii="Times New Roman" w:hAnsi="Times New Roman" w:cs="Times New Roman"/>
          <w:sz w:val="24"/>
          <w:szCs w:val="24"/>
          <w:lang w:val="es-ES"/>
        </w:rPr>
        <w:t>,</w:t>
      </w:r>
      <w:r w:rsidR="00B93C27" w:rsidRPr="00B22CA9">
        <w:rPr>
          <w:rFonts w:ascii="Times New Roman" w:hAnsi="Times New Roman" w:cs="Times New Roman"/>
          <w:sz w:val="24"/>
          <w:szCs w:val="24"/>
          <w:lang w:val="es-ES"/>
        </w:rPr>
        <w:t xml:space="preserve"> a la necesidad de acuerdos bilaterales </w:t>
      </w:r>
      <w:r w:rsidR="007605DE" w:rsidRPr="00B22CA9">
        <w:rPr>
          <w:rFonts w:ascii="Times New Roman" w:hAnsi="Times New Roman" w:cs="Times New Roman"/>
          <w:sz w:val="24"/>
          <w:szCs w:val="24"/>
          <w:lang w:val="es-ES"/>
        </w:rPr>
        <w:t>con</w:t>
      </w:r>
      <w:r w:rsidR="00B93C27" w:rsidRPr="00B22CA9">
        <w:rPr>
          <w:rFonts w:ascii="Times New Roman" w:hAnsi="Times New Roman" w:cs="Times New Roman"/>
          <w:sz w:val="24"/>
          <w:szCs w:val="24"/>
          <w:lang w:val="es-ES"/>
        </w:rPr>
        <w:t xml:space="preserve"> los países que no pertenezcan al Espacio Económico Europeo para poder of</w:t>
      </w:r>
      <w:r w:rsidR="007605DE" w:rsidRPr="00B22CA9">
        <w:rPr>
          <w:rFonts w:ascii="Times New Roman" w:hAnsi="Times New Roman" w:cs="Times New Roman"/>
          <w:sz w:val="24"/>
          <w:szCs w:val="24"/>
          <w:lang w:val="es-ES"/>
        </w:rPr>
        <w:t>recer</w:t>
      </w:r>
      <w:r w:rsidR="00187A31" w:rsidRPr="00B22CA9">
        <w:rPr>
          <w:rFonts w:ascii="Times New Roman" w:hAnsi="Times New Roman" w:cs="Times New Roman"/>
          <w:sz w:val="24"/>
          <w:szCs w:val="24"/>
          <w:lang w:val="es-ES"/>
        </w:rPr>
        <w:t xml:space="preserve"> </w:t>
      </w:r>
      <w:r w:rsidR="00B93C27" w:rsidRPr="00B22CA9">
        <w:rPr>
          <w:rFonts w:ascii="Times New Roman" w:hAnsi="Times New Roman" w:cs="Times New Roman"/>
          <w:sz w:val="24"/>
          <w:szCs w:val="24"/>
          <w:lang w:val="es-ES"/>
        </w:rPr>
        <w:t>servicios de educación</w:t>
      </w:r>
      <w:r w:rsidR="007605DE" w:rsidRPr="00B22CA9">
        <w:rPr>
          <w:rFonts w:ascii="Times New Roman" w:hAnsi="Times New Roman" w:cs="Times New Roman"/>
          <w:sz w:val="24"/>
          <w:szCs w:val="24"/>
          <w:lang w:val="es-ES"/>
        </w:rPr>
        <w:t xml:space="preserve"> en Hungría</w:t>
      </w:r>
      <w:r w:rsidR="00187A31" w:rsidRPr="00B22CA9">
        <w:rPr>
          <w:rFonts w:ascii="Times New Roman" w:hAnsi="Times New Roman" w:cs="Times New Roman"/>
          <w:sz w:val="24"/>
          <w:szCs w:val="24"/>
          <w:lang w:val="es-ES"/>
        </w:rPr>
        <w:t>,</w:t>
      </w:r>
      <w:r w:rsidR="00B93C27" w:rsidRPr="00B22CA9">
        <w:rPr>
          <w:rFonts w:ascii="Times New Roman" w:hAnsi="Times New Roman" w:cs="Times New Roman"/>
          <w:sz w:val="24"/>
          <w:szCs w:val="24"/>
          <w:lang w:val="es-ES"/>
        </w:rPr>
        <w:t xml:space="preserve"> a la obligación de proveer servicios educativos también en el país de origen de la institución y otras exigencias como el registro y autorización. Entiende la </w:t>
      </w:r>
      <w:r w:rsidR="00494E90" w:rsidRPr="00B22CA9">
        <w:rPr>
          <w:rFonts w:ascii="Times New Roman" w:hAnsi="Times New Roman" w:cs="Times New Roman"/>
          <w:sz w:val="24"/>
          <w:szCs w:val="24"/>
          <w:lang w:val="es-ES"/>
        </w:rPr>
        <w:t>Comisión</w:t>
      </w:r>
      <w:r w:rsidR="00B93C27" w:rsidRPr="00B22CA9">
        <w:rPr>
          <w:rFonts w:ascii="Times New Roman" w:hAnsi="Times New Roman" w:cs="Times New Roman"/>
          <w:sz w:val="24"/>
          <w:szCs w:val="24"/>
          <w:lang w:val="es-ES"/>
        </w:rPr>
        <w:t xml:space="preserve"> que </w:t>
      </w:r>
      <w:r w:rsidR="00187A31" w:rsidRPr="00B22CA9">
        <w:rPr>
          <w:rFonts w:ascii="Times New Roman" w:hAnsi="Times New Roman" w:cs="Times New Roman"/>
          <w:sz w:val="24"/>
          <w:szCs w:val="24"/>
          <w:lang w:val="es-ES"/>
        </w:rPr>
        <w:t>es</w:t>
      </w:r>
      <w:r w:rsidR="00B93C27" w:rsidRPr="00B22CA9">
        <w:rPr>
          <w:rFonts w:ascii="Times New Roman" w:hAnsi="Times New Roman" w:cs="Times New Roman"/>
          <w:sz w:val="24"/>
          <w:szCs w:val="24"/>
          <w:lang w:val="es-ES"/>
        </w:rPr>
        <w:t xml:space="preserve">a ley infringe las libertades de establecimiento y de libre provisión de servicios de los artículos 49 y 56 TFUE. </w:t>
      </w:r>
      <w:r w:rsidR="002215C8" w:rsidRPr="00B22CA9">
        <w:rPr>
          <w:rFonts w:ascii="Times New Roman" w:hAnsi="Times New Roman" w:cs="Times New Roman"/>
          <w:sz w:val="24"/>
          <w:szCs w:val="24"/>
          <w:lang w:val="es-ES"/>
        </w:rPr>
        <w:t>Sostiene</w:t>
      </w:r>
      <w:r w:rsidR="00B93C27" w:rsidRPr="00B22CA9">
        <w:rPr>
          <w:rFonts w:ascii="Times New Roman" w:hAnsi="Times New Roman" w:cs="Times New Roman"/>
          <w:sz w:val="24"/>
          <w:szCs w:val="24"/>
          <w:lang w:val="es-ES"/>
        </w:rPr>
        <w:t xml:space="preserve"> que se contraviene la </w:t>
      </w:r>
      <w:r w:rsidR="002C5B76" w:rsidRPr="00B22CA9">
        <w:rPr>
          <w:rFonts w:ascii="Times New Roman" w:hAnsi="Times New Roman" w:cs="Times New Roman"/>
          <w:sz w:val="24"/>
          <w:szCs w:val="24"/>
          <w:lang w:val="es-ES"/>
        </w:rPr>
        <w:t>directiva</w:t>
      </w:r>
      <w:r w:rsidR="00B93C27" w:rsidRPr="00B22CA9">
        <w:rPr>
          <w:rFonts w:ascii="Times New Roman" w:hAnsi="Times New Roman" w:cs="Times New Roman"/>
          <w:sz w:val="24"/>
          <w:szCs w:val="24"/>
          <w:lang w:val="es-ES"/>
        </w:rPr>
        <w:t xml:space="preserve"> 2006/123/CE de servicios en el mercado interior, en su artículo 16</w:t>
      </w:r>
      <w:r w:rsidR="002215C8" w:rsidRPr="00B22CA9">
        <w:rPr>
          <w:rFonts w:ascii="Times New Roman" w:hAnsi="Times New Roman" w:cs="Times New Roman"/>
          <w:sz w:val="24"/>
          <w:szCs w:val="24"/>
          <w:lang w:val="es-ES"/>
        </w:rPr>
        <w:t xml:space="preserve">, que desgrana los elementos de la libertad de prestación de servicios. Afirma, por fin, que se vulneran los derechos fundamentales a libertad de enseñanza, educación y libertad de empresa de los artículos 13, 14 y 16 de la Carta.  </w:t>
      </w:r>
    </w:p>
    <w:p w:rsidR="003730D3" w:rsidRPr="00B22CA9" w:rsidRDefault="00500961" w:rsidP="007F11DF">
      <w:pPr>
        <w:spacing w:line="240" w:lineRule="auto"/>
        <w:jc w:val="both"/>
        <w:rPr>
          <w:rFonts w:ascii="Times New Roman" w:hAnsi="Times New Roman" w:cs="Times New Roman"/>
          <w:sz w:val="24"/>
          <w:szCs w:val="24"/>
          <w:lang w:val="es-ES"/>
        </w:rPr>
      </w:pPr>
      <w:r w:rsidRPr="00B22CA9">
        <w:rPr>
          <w:rFonts w:ascii="Times New Roman" w:hAnsi="Times New Roman" w:cs="Times New Roman"/>
          <w:sz w:val="24"/>
          <w:szCs w:val="24"/>
          <w:lang w:val="es-ES"/>
        </w:rPr>
        <w:tab/>
        <w:t>Como se puede comprobar, en ninguno de los dos casos la invocación de los derechos fundamentales es directa y mucho menos autónoma, sino que se pone en relación con las libertades fundamentales de la Unión y</w:t>
      </w:r>
      <w:r w:rsidR="00187A31" w:rsidRPr="00B22CA9">
        <w:rPr>
          <w:rFonts w:ascii="Times New Roman" w:hAnsi="Times New Roman" w:cs="Times New Roman"/>
          <w:sz w:val="24"/>
          <w:szCs w:val="24"/>
          <w:lang w:val="es-ES"/>
        </w:rPr>
        <w:t>,</w:t>
      </w:r>
      <w:r w:rsidRPr="00B22CA9">
        <w:rPr>
          <w:rFonts w:ascii="Times New Roman" w:hAnsi="Times New Roman" w:cs="Times New Roman"/>
          <w:sz w:val="24"/>
          <w:szCs w:val="24"/>
          <w:lang w:val="es-ES"/>
        </w:rPr>
        <w:t xml:space="preserve"> en el caso de la enseñanza</w:t>
      </w:r>
      <w:r w:rsidR="00187A31" w:rsidRPr="00B22CA9">
        <w:rPr>
          <w:rFonts w:ascii="Times New Roman" w:hAnsi="Times New Roman" w:cs="Times New Roman"/>
          <w:sz w:val="24"/>
          <w:szCs w:val="24"/>
          <w:lang w:val="es-ES"/>
        </w:rPr>
        <w:t>,</w:t>
      </w:r>
      <w:r w:rsidRPr="00B22CA9">
        <w:rPr>
          <w:rFonts w:ascii="Times New Roman" w:hAnsi="Times New Roman" w:cs="Times New Roman"/>
          <w:sz w:val="24"/>
          <w:szCs w:val="24"/>
          <w:lang w:val="es-ES"/>
        </w:rPr>
        <w:t xml:space="preserve"> </w:t>
      </w:r>
      <w:r w:rsidR="00187A31" w:rsidRPr="00B22CA9">
        <w:rPr>
          <w:rFonts w:ascii="Times New Roman" w:hAnsi="Times New Roman" w:cs="Times New Roman"/>
          <w:sz w:val="24"/>
          <w:szCs w:val="24"/>
          <w:lang w:val="es-ES"/>
        </w:rPr>
        <w:t xml:space="preserve">también con una disposición </w:t>
      </w:r>
      <w:r w:rsidR="00187A31" w:rsidRPr="00B22CA9">
        <w:rPr>
          <w:rFonts w:ascii="Times New Roman" w:hAnsi="Times New Roman" w:cs="Times New Roman"/>
          <w:sz w:val="24"/>
          <w:szCs w:val="24"/>
          <w:lang w:val="es-ES"/>
        </w:rPr>
        <w:lastRenderedPageBreak/>
        <w:t>de d</w:t>
      </w:r>
      <w:r w:rsidRPr="00B22CA9">
        <w:rPr>
          <w:rFonts w:ascii="Times New Roman" w:hAnsi="Times New Roman" w:cs="Times New Roman"/>
          <w:sz w:val="24"/>
          <w:szCs w:val="24"/>
          <w:lang w:val="es-ES"/>
        </w:rPr>
        <w:t>erecho derivado</w:t>
      </w:r>
      <w:r w:rsidR="00F95024" w:rsidRPr="00B22CA9">
        <w:rPr>
          <w:rFonts w:ascii="Times New Roman" w:hAnsi="Times New Roman" w:cs="Times New Roman"/>
          <w:sz w:val="24"/>
          <w:szCs w:val="24"/>
          <w:lang w:val="es-ES"/>
        </w:rPr>
        <w:t xml:space="preserve">. </w:t>
      </w:r>
      <w:r w:rsidR="00187A31" w:rsidRPr="00B22CA9">
        <w:rPr>
          <w:rFonts w:ascii="Times New Roman" w:hAnsi="Times New Roman" w:cs="Times New Roman"/>
          <w:sz w:val="24"/>
          <w:szCs w:val="24"/>
          <w:lang w:val="es-ES"/>
        </w:rPr>
        <w:t>Se proporciona, por tanto, una</w:t>
      </w:r>
      <w:r w:rsidR="00F95024" w:rsidRPr="00B22CA9">
        <w:rPr>
          <w:rFonts w:ascii="Times New Roman" w:hAnsi="Times New Roman" w:cs="Times New Roman"/>
          <w:sz w:val="24"/>
          <w:szCs w:val="24"/>
          <w:lang w:val="es-ES"/>
        </w:rPr>
        <w:t xml:space="preserve"> </w:t>
      </w:r>
      <w:r w:rsidRPr="00B22CA9">
        <w:rPr>
          <w:rFonts w:ascii="Times New Roman" w:hAnsi="Times New Roman" w:cs="Times New Roman"/>
          <w:sz w:val="24"/>
          <w:szCs w:val="24"/>
          <w:lang w:val="es-ES"/>
        </w:rPr>
        <w:t xml:space="preserve">conexión con el ámbito de acción supranacional </w:t>
      </w:r>
      <w:r w:rsidR="00187A31" w:rsidRPr="00B22CA9">
        <w:rPr>
          <w:rFonts w:ascii="Times New Roman" w:hAnsi="Times New Roman" w:cs="Times New Roman"/>
          <w:sz w:val="24"/>
          <w:szCs w:val="24"/>
          <w:lang w:val="es-ES"/>
        </w:rPr>
        <w:t>tal como</w:t>
      </w:r>
      <w:r w:rsidRPr="00B22CA9">
        <w:rPr>
          <w:rFonts w:ascii="Times New Roman" w:hAnsi="Times New Roman" w:cs="Times New Roman"/>
          <w:sz w:val="24"/>
          <w:szCs w:val="24"/>
          <w:lang w:val="es-ES"/>
        </w:rPr>
        <w:t xml:space="preserve"> exige el artículo 51 de la Carta. En coherencia, lo lógico es que el Tribunal de Justicia aborde estos casos sobre la base de la hermenéutica habitual, que consistiría en determinar, primero, la existencia de un conflicto en relación con el ejercicio de las libertades fundamentales</w:t>
      </w:r>
      <w:r w:rsidR="00187A31" w:rsidRPr="00B22CA9">
        <w:rPr>
          <w:rFonts w:ascii="Times New Roman" w:hAnsi="Times New Roman" w:cs="Times New Roman"/>
          <w:sz w:val="24"/>
          <w:szCs w:val="24"/>
          <w:lang w:val="es-ES"/>
        </w:rPr>
        <w:t xml:space="preserve"> del Tratado</w:t>
      </w:r>
      <w:r w:rsidRPr="00B22CA9">
        <w:rPr>
          <w:rFonts w:ascii="Times New Roman" w:hAnsi="Times New Roman" w:cs="Times New Roman"/>
          <w:sz w:val="24"/>
          <w:szCs w:val="24"/>
          <w:lang w:val="es-ES"/>
        </w:rPr>
        <w:t>, en el segundo caso</w:t>
      </w:r>
      <w:r w:rsidR="00187A31" w:rsidRPr="00B22CA9">
        <w:rPr>
          <w:rFonts w:ascii="Times New Roman" w:hAnsi="Times New Roman" w:cs="Times New Roman"/>
          <w:sz w:val="24"/>
          <w:szCs w:val="24"/>
          <w:lang w:val="es-ES"/>
        </w:rPr>
        <w:t xml:space="preserve"> apoyándose en la directiva</w:t>
      </w:r>
      <w:r w:rsidR="00063476" w:rsidRPr="00B22CA9">
        <w:rPr>
          <w:rFonts w:ascii="Times New Roman" w:hAnsi="Times New Roman" w:cs="Times New Roman"/>
          <w:sz w:val="24"/>
          <w:szCs w:val="24"/>
          <w:lang w:val="es-ES"/>
        </w:rPr>
        <w:t xml:space="preserve">. Dada la expansiva interpretación de las libertades que lleva haciendo el TJUE desde sus orígenes, y en especial desde los años ochenta, es más que probable que </w:t>
      </w:r>
      <w:r w:rsidR="00187A31" w:rsidRPr="00B22CA9">
        <w:rPr>
          <w:rFonts w:ascii="Times New Roman" w:hAnsi="Times New Roman" w:cs="Times New Roman"/>
          <w:sz w:val="24"/>
          <w:szCs w:val="24"/>
          <w:lang w:val="es-ES"/>
        </w:rPr>
        <w:t xml:space="preserve">en ambos casos </w:t>
      </w:r>
      <w:r w:rsidR="00063476" w:rsidRPr="00B22CA9">
        <w:rPr>
          <w:rFonts w:ascii="Times New Roman" w:hAnsi="Times New Roman" w:cs="Times New Roman"/>
          <w:sz w:val="24"/>
          <w:szCs w:val="24"/>
          <w:lang w:val="es-ES"/>
        </w:rPr>
        <w:t xml:space="preserve">se admitiese que hay limitaciones a las mismas. </w:t>
      </w:r>
      <w:r w:rsidR="00187A31" w:rsidRPr="00B22CA9">
        <w:rPr>
          <w:rFonts w:ascii="Times New Roman" w:hAnsi="Times New Roman" w:cs="Times New Roman"/>
          <w:sz w:val="24"/>
          <w:szCs w:val="24"/>
          <w:lang w:val="es-ES"/>
        </w:rPr>
        <w:t>E</w:t>
      </w:r>
      <w:r w:rsidR="00063476" w:rsidRPr="00B22CA9">
        <w:rPr>
          <w:rFonts w:ascii="Times New Roman" w:hAnsi="Times New Roman" w:cs="Times New Roman"/>
          <w:sz w:val="24"/>
          <w:szCs w:val="24"/>
          <w:lang w:val="es-ES"/>
        </w:rPr>
        <w:t xml:space="preserve">n el test de incumplimiento podría </w:t>
      </w:r>
      <w:r w:rsidRPr="00B22CA9">
        <w:rPr>
          <w:rFonts w:ascii="Times New Roman" w:hAnsi="Times New Roman" w:cs="Times New Roman"/>
          <w:sz w:val="24"/>
          <w:szCs w:val="24"/>
          <w:lang w:val="es-ES"/>
        </w:rPr>
        <w:t>ser concluyente la identificación del elemento discriminatorio por razón de nacionalidad, presente en ambos supuestos</w:t>
      </w:r>
      <w:r w:rsidR="00187A31" w:rsidRPr="00B22CA9">
        <w:rPr>
          <w:rFonts w:ascii="Times New Roman" w:hAnsi="Times New Roman" w:cs="Times New Roman"/>
          <w:sz w:val="24"/>
          <w:szCs w:val="24"/>
          <w:lang w:val="es-ES"/>
        </w:rPr>
        <w:t xml:space="preserve">, que si se califica como discriminación directa determina la infracción de las libertades </w:t>
      </w:r>
      <w:r w:rsidR="00CB7AA6" w:rsidRPr="00B22CA9">
        <w:rPr>
          <w:rFonts w:ascii="Times New Roman" w:hAnsi="Times New Roman" w:cs="Times New Roman"/>
          <w:sz w:val="24"/>
          <w:szCs w:val="24"/>
          <w:lang w:val="es-ES"/>
        </w:rPr>
        <w:t>económicas</w:t>
      </w:r>
      <w:r w:rsidR="00063476" w:rsidRPr="00B22CA9">
        <w:rPr>
          <w:rFonts w:ascii="Times New Roman" w:hAnsi="Times New Roman" w:cs="Times New Roman"/>
          <w:sz w:val="24"/>
          <w:szCs w:val="24"/>
          <w:lang w:val="es-ES"/>
        </w:rPr>
        <w:t xml:space="preserve">. En caso de discriminación indirecta, la clave estaría en </w:t>
      </w:r>
      <w:r w:rsidRPr="00B22CA9">
        <w:rPr>
          <w:rFonts w:ascii="Times New Roman" w:hAnsi="Times New Roman" w:cs="Times New Roman"/>
          <w:sz w:val="24"/>
          <w:szCs w:val="24"/>
          <w:lang w:val="es-ES"/>
        </w:rPr>
        <w:t xml:space="preserve">el escrutinio de la proporcionalidad de la medida.  </w:t>
      </w:r>
    </w:p>
    <w:p w:rsidR="0084036E" w:rsidRPr="00B22CA9" w:rsidRDefault="003730D3" w:rsidP="007F11DF">
      <w:pPr>
        <w:spacing w:line="240" w:lineRule="auto"/>
        <w:jc w:val="both"/>
        <w:rPr>
          <w:rFonts w:ascii="Times New Roman" w:hAnsi="Times New Roman" w:cs="Times New Roman"/>
          <w:sz w:val="24"/>
          <w:szCs w:val="24"/>
          <w:lang w:val="es-ES"/>
        </w:rPr>
      </w:pPr>
      <w:r w:rsidRPr="00B22CA9">
        <w:rPr>
          <w:rFonts w:ascii="Times New Roman" w:hAnsi="Times New Roman" w:cs="Times New Roman"/>
          <w:sz w:val="24"/>
          <w:szCs w:val="24"/>
          <w:lang w:val="es-ES"/>
        </w:rPr>
        <w:tab/>
        <w:t xml:space="preserve">Si </w:t>
      </w:r>
      <w:r w:rsidR="00500961" w:rsidRPr="00B22CA9">
        <w:rPr>
          <w:rFonts w:ascii="Times New Roman" w:hAnsi="Times New Roman" w:cs="Times New Roman"/>
          <w:sz w:val="24"/>
          <w:szCs w:val="24"/>
          <w:lang w:val="es-ES"/>
        </w:rPr>
        <w:t xml:space="preserve">el Tribunal desestimase la infracción de las libertades, el asunto concluiría ahí, no habiendo cabida para el escrutinio autónomo de la conformidad iusfundamental de las </w:t>
      </w:r>
      <w:r w:rsidR="00063476" w:rsidRPr="00B22CA9">
        <w:rPr>
          <w:rFonts w:ascii="Times New Roman" w:hAnsi="Times New Roman" w:cs="Times New Roman"/>
          <w:sz w:val="24"/>
          <w:szCs w:val="24"/>
          <w:lang w:val="es-ES"/>
        </w:rPr>
        <w:t>leyes húngaras</w:t>
      </w:r>
      <w:r w:rsidR="00500961" w:rsidRPr="00B22CA9">
        <w:rPr>
          <w:rFonts w:ascii="Times New Roman" w:hAnsi="Times New Roman" w:cs="Times New Roman"/>
          <w:sz w:val="24"/>
          <w:szCs w:val="24"/>
          <w:lang w:val="es-ES"/>
        </w:rPr>
        <w:t xml:space="preserve">. </w:t>
      </w:r>
      <w:r w:rsidR="007605DE" w:rsidRPr="00B22CA9">
        <w:rPr>
          <w:rFonts w:ascii="Times New Roman" w:hAnsi="Times New Roman" w:cs="Times New Roman"/>
          <w:sz w:val="24"/>
          <w:szCs w:val="24"/>
          <w:lang w:val="es-ES"/>
        </w:rPr>
        <w:t>Pero e</w:t>
      </w:r>
      <w:r w:rsidR="00500961" w:rsidRPr="00B22CA9">
        <w:rPr>
          <w:rFonts w:ascii="Times New Roman" w:hAnsi="Times New Roman" w:cs="Times New Roman"/>
          <w:sz w:val="24"/>
          <w:szCs w:val="24"/>
          <w:lang w:val="es-ES"/>
        </w:rPr>
        <w:t xml:space="preserve">n caso de que el Tribunal </w:t>
      </w:r>
      <w:r w:rsidR="00063476" w:rsidRPr="00B22CA9">
        <w:rPr>
          <w:rFonts w:ascii="Times New Roman" w:hAnsi="Times New Roman" w:cs="Times New Roman"/>
          <w:sz w:val="24"/>
          <w:szCs w:val="24"/>
          <w:lang w:val="es-ES"/>
        </w:rPr>
        <w:t xml:space="preserve">declarase que hay afección y vulneración </w:t>
      </w:r>
      <w:r w:rsidR="00500961" w:rsidRPr="00B22CA9">
        <w:rPr>
          <w:rFonts w:ascii="Times New Roman" w:hAnsi="Times New Roman" w:cs="Times New Roman"/>
          <w:sz w:val="24"/>
          <w:szCs w:val="24"/>
          <w:lang w:val="es-ES"/>
        </w:rPr>
        <w:t>de las libertades</w:t>
      </w:r>
      <w:r w:rsidR="00063476" w:rsidRPr="00B22CA9">
        <w:rPr>
          <w:rFonts w:ascii="Times New Roman" w:hAnsi="Times New Roman" w:cs="Times New Roman"/>
          <w:sz w:val="24"/>
          <w:szCs w:val="24"/>
          <w:lang w:val="es-ES"/>
        </w:rPr>
        <w:t xml:space="preserve"> económicas</w:t>
      </w:r>
      <w:r w:rsidR="00500961" w:rsidRPr="00B22CA9">
        <w:rPr>
          <w:rFonts w:ascii="Times New Roman" w:hAnsi="Times New Roman" w:cs="Times New Roman"/>
          <w:sz w:val="24"/>
          <w:szCs w:val="24"/>
          <w:lang w:val="es-ES"/>
        </w:rPr>
        <w:t>, habría que ver cómo afronta la cuestión de los derechos fundamentales. Una posibilidad sería que el juez europeo terminase su pronunciamiento ahí, dando por sentad</w:t>
      </w:r>
      <w:r w:rsidR="00B90759" w:rsidRPr="00B22CA9">
        <w:rPr>
          <w:rFonts w:ascii="Times New Roman" w:hAnsi="Times New Roman" w:cs="Times New Roman"/>
          <w:sz w:val="24"/>
          <w:szCs w:val="24"/>
          <w:lang w:val="es-ES"/>
        </w:rPr>
        <w:t>o</w:t>
      </w:r>
      <w:r w:rsidR="00500961" w:rsidRPr="00B22CA9">
        <w:rPr>
          <w:rFonts w:ascii="Times New Roman" w:hAnsi="Times New Roman" w:cs="Times New Roman"/>
          <w:sz w:val="24"/>
          <w:szCs w:val="24"/>
          <w:lang w:val="es-ES"/>
        </w:rPr>
        <w:t xml:space="preserve"> que la declaración de incumplimiento obliga</w:t>
      </w:r>
      <w:r w:rsidR="007605DE" w:rsidRPr="00B22CA9">
        <w:rPr>
          <w:rFonts w:ascii="Times New Roman" w:hAnsi="Times New Roman" w:cs="Times New Roman"/>
          <w:sz w:val="24"/>
          <w:szCs w:val="24"/>
          <w:lang w:val="es-ES"/>
        </w:rPr>
        <w:t xml:space="preserve"> a</w:t>
      </w:r>
      <w:r w:rsidR="00500961" w:rsidRPr="00B22CA9">
        <w:rPr>
          <w:rFonts w:ascii="Times New Roman" w:hAnsi="Times New Roman" w:cs="Times New Roman"/>
          <w:sz w:val="24"/>
          <w:szCs w:val="24"/>
          <w:lang w:val="es-ES"/>
        </w:rPr>
        <w:t xml:space="preserve"> modificar las leyes infractoras para hacerlas compatibles con las libertades fundamentales</w:t>
      </w:r>
      <w:r w:rsidR="00977C95" w:rsidRPr="00B22CA9">
        <w:rPr>
          <w:rFonts w:ascii="Times New Roman" w:hAnsi="Times New Roman" w:cs="Times New Roman"/>
          <w:sz w:val="24"/>
          <w:szCs w:val="24"/>
          <w:lang w:val="es-ES"/>
        </w:rPr>
        <w:t>. S</w:t>
      </w:r>
      <w:r w:rsidR="0084036E" w:rsidRPr="00B22CA9">
        <w:rPr>
          <w:rFonts w:ascii="Times New Roman" w:hAnsi="Times New Roman" w:cs="Times New Roman"/>
          <w:sz w:val="24"/>
          <w:szCs w:val="24"/>
          <w:lang w:val="es-ES"/>
        </w:rPr>
        <w:t>olucionado ese desajuste, el de los derechos fundamentales iría de suyo</w:t>
      </w:r>
      <w:r w:rsidR="00500961" w:rsidRPr="00B22CA9">
        <w:rPr>
          <w:rFonts w:ascii="Times New Roman" w:hAnsi="Times New Roman" w:cs="Times New Roman"/>
          <w:sz w:val="24"/>
          <w:szCs w:val="24"/>
          <w:lang w:val="es-ES"/>
        </w:rPr>
        <w:t xml:space="preserve">. La otra, </w:t>
      </w:r>
      <w:r w:rsidRPr="00B22CA9">
        <w:rPr>
          <w:rFonts w:ascii="Times New Roman" w:hAnsi="Times New Roman" w:cs="Times New Roman"/>
          <w:sz w:val="24"/>
          <w:szCs w:val="24"/>
          <w:lang w:val="es-ES"/>
        </w:rPr>
        <w:t>que</w:t>
      </w:r>
      <w:r w:rsidR="00500961" w:rsidRPr="00B22CA9">
        <w:rPr>
          <w:rFonts w:ascii="Times New Roman" w:hAnsi="Times New Roman" w:cs="Times New Roman"/>
          <w:sz w:val="24"/>
          <w:szCs w:val="24"/>
          <w:lang w:val="es-ES"/>
        </w:rPr>
        <w:t xml:space="preserve"> dada la coyuntura que atraviesan las relaciones entre la Unión y el Estado húngaro</w:t>
      </w:r>
      <w:r w:rsidRPr="00B22CA9">
        <w:rPr>
          <w:rFonts w:ascii="Times New Roman" w:hAnsi="Times New Roman" w:cs="Times New Roman"/>
          <w:sz w:val="24"/>
          <w:szCs w:val="24"/>
          <w:lang w:val="es-ES"/>
        </w:rPr>
        <w:t xml:space="preserve"> igual </w:t>
      </w:r>
      <w:r w:rsidR="007605DE" w:rsidRPr="00B22CA9">
        <w:rPr>
          <w:rFonts w:ascii="Times New Roman" w:hAnsi="Times New Roman" w:cs="Times New Roman"/>
          <w:sz w:val="24"/>
          <w:szCs w:val="24"/>
          <w:lang w:val="es-ES"/>
        </w:rPr>
        <w:t xml:space="preserve">se </w:t>
      </w:r>
      <w:r w:rsidRPr="00B22CA9">
        <w:rPr>
          <w:rFonts w:ascii="Times New Roman" w:hAnsi="Times New Roman" w:cs="Times New Roman"/>
          <w:sz w:val="24"/>
          <w:szCs w:val="24"/>
          <w:lang w:val="es-ES"/>
        </w:rPr>
        <w:t>acaba llevando a</w:t>
      </w:r>
      <w:r w:rsidR="0084036E" w:rsidRPr="00B22CA9">
        <w:rPr>
          <w:rFonts w:ascii="Times New Roman" w:hAnsi="Times New Roman" w:cs="Times New Roman"/>
          <w:sz w:val="24"/>
          <w:szCs w:val="24"/>
          <w:lang w:val="es-ES"/>
        </w:rPr>
        <w:t>delante</w:t>
      </w:r>
      <w:r w:rsidR="00500961" w:rsidRPr="00B22CA9">
        <w:rPr>
          <w:rFonts w:ascii="Times New Roman" w:hAnsi="Times New Roman" w:cs="Times New Roman"/>
          <w:sz w:val="24"/>
          <w:szCs w:val="24"/>
          <w:lang w:val="es-ES"/>
        </w:rPr>
        <w:t>, sería que el TJUE aprovechase su sentencia para determinar los elementos de las medidas discriminatorias de libertades que vulneran los derechos</w:t>
      </w:r>
      <w:r w:rsidR="00063476" w:rsidRPr="00B22CA9">
        <w:rPr>
          <w:rFonts w:ascii="Times New Roman" w:hAnsi="Times New Roman" w:cs="Times New Roman"/>
          <w:sz w:val="24"/>
          <w:szCs w:val="24"/>
          <w:lang w:val="es-ES"/>
        </w:rPr>
        <w:t xml:space="preserve"> fundamentales</w:t>
      </w:r>
      <w:r w:rsidR="00500961" w:rsidRPr="00B22CA9">
        <w:rPr>
          <w:rFonts w:ascii="Times New Roman" w:hAnsi="Times New Roman" w:cs="Times New Roman"/>
          <w:sz w:val="24"/>
          <w:szCs w:val="24"/>
          <w:lang w:val="es-ES"/>
        </w:rPr>
        <w:t xml:space="preserve"> de la Unión</w:t>
      </w:r>
      <w:r w:rsidR="00063476" w:rsidRPr="00B22CA9">
        <w:rPr>
          <w:rFonts w:ascii="Times New Roman" w:hAnsi="Times New Roman" w:cs="Times New Roman"/>
          <w:sz w:val="24"/>
          <w:szCs w:val="24"/>
          <w:lang w:val="es-ES"/>
        </w:rPr>
        <w:t xml:space="preserve">, pudiendo crear, así, reglas iusfundamentales impeditivas y </w:t>
      </w:r>
      <w:proofErr w:type="spellStart"/>
      <w:r w:rsidR="00063476" w:rsidRPr="00B22CA9">
        <w:rPr>
          <w:rFonts w:ascii="Times New Roman" w:hAnsi="Times New Roman" w:cs="Times New Roman"/>
          <w:sz w:val="24"/>
          <w:szCs w:val="24"/>
          <w:lang w:val="es-ES"/>
        </w:rPr>
        <w:t>precluyentes</w:t>
      </w:r>
      <w:proofErr w:type="spellEnd"/>
      <w:r w:rsidR="0084036E" w:rsidRPr="00B22CA9">
        <w:rPr>
          <w:rFonts w:ascii="Times New Roman" w:hAnsi="Times New Roman" w:cs="Times New Roman"/>
          <w:sz w:val="24"/>
          <w:szCs w:val="24"/>
          <w:lang w:val="es-ES"/>
        </w:rPr>
        <w:t xml:space="preserve"> en relación con el Derecho estatal</w:t>
      </w:r>
      <w:r w:rsidR="00063476" w:rsidRPr="00B22CA9">
        <w:rPr>
          <w:rFonts w:ascii="Times New Roman" w:hAnsi="Times New Roman" w:cs="Times New Roman"/>
          <w:sz w:val="24"/>
          <w:szCs w:val="24"/>
          <w:lang w:val="es-ES"/>
        </w:rPr>
        <w:t xml:space="preserve">, invocables por los particulares ante la jurisdicción </w:t>
      </w:r>
      <w:r w:rsidR="0084036E" w:rsidRPr="00B22CA9">
        <w:rPr>
          <w:rFonts w:ascii="Times New Roman" w:hAnsi="Times New Roman" w:cs="Times New Roman"/>
          <w:sz w:val="24"/>
          <w:szCs w:val="24"/>
          <w:lang w:val="es-ES"/>
        </w:rPr>
        <w:t>interna</w:t>
      </w:r>
      <w:r w:rsidR="00500961" w:rsidRPr="00B22CA9">
        <w:rPr>
          <w:rFonts w:ascii="Times New Roman" w:hAnsi="Times New Roman" w:cs="Times New Roman"/>
          <w:sz w:val="24"/>
          <w:szCs w:val="24"/>
          <w:lang w:val="es-ES"/>
        </w:rPr>
        <w:t>.</w:t>
      </w:r>
      <w:r w:rsidRPr="00B22CA9">
        <w:rPr>
          <w:rFonts w:ascii="Times New Roman" w:hAnsi="Times New Roman" w:cs="Times New Roman"/>
          <w:sz w:val="24"/>
          <w:szCs w:val="24"/>
          <w:lang w:val="es-ES"/>
        </w:rPr>
        <w:t xml:space="preserve">  </w:t>
      </w:r>
    </w:p>
    <w:p w:rsidR="003730D3" w:rsidRPr="00B22CA9" w:rsidRDefault="0084036E" w:rsidP="007F11DF">
      <w:pPr>
        <w:spacing w:line="240" w:lineRule="auto"/>
        <w:jc w:val="both"/>
        <w:rPr>
          <w:rFonts w:ascii="Times New Roman" w:hAnsi="Times New Roman" w:cs="Times New Roman"/>
          <w:sz w:val="24"/>
          <w:szCs w:val="24"/>
          <w:lang w:val="es-ES"/>
        </w:rPr>
      </w:pPr>
      <w:r w:rsidRPr="00B22CA9">
        <w:rPr>
          <w:rFonts w:ascii="Times New Roman" w:hAnsi="Times New Roman" w:cs="Times New Roman"/>
          <w:sz w:val="24"/>
          <w:szCs w:val="24"/>
          <w:lang w:val="es-ES"/>
        </w:rPr>
        <w:tab/>
      </w:r>
      <w:r w:rsidR="003730D3" w:rsidRPr="00B22CA9">
        <w:rPr>
          <w:rFonts w:ascii="Times New Roman" w:hAnsi="Times New Roman" w:cs="Times New Roman"/>
          <w:sz w:val="24"/>
          <w:szCs w:val="24"/>
          <w:lang w:val="es-ES"/>
        </w:rPr>
        <w:t xml:space="preserve">No obstante, </w:t>
      </w:r>
      <w:r w:rsidRPr="00B22CA9">
        <w:rPr>
          <w:rFonts w:ascii="Times New Roman" w:hAnsi="Times New Roman" w:cs="Times New Roman"/>
          <w:sz w:val="24"/>
          <w:szCs w:val="24"/>
          <w:lang w:val="es-ES"/>
        </w:rPr>
        <w:t xml:space="preserve">el Tribunal se </w:t>
      </w:r>
      <w:r w:rsidR="007605DE" w:rsidRPr="00B22CA9">
        <w:rPr>
          <w:rFonts w:ascii="Times New Roman" w:hAnsi="Times New Roman" w:cs="Times New Roman"/>
          <w:sz w:val="24"/>
          <w:szCs w:val="24"/>
          <w:lang w:val="es-ES"/>
        </w:rPr>
        <w:t xml:space="preserve">situaría </w:t>
      </w:r>
      <w:r w:rsidRPr="00B22CA9">
        <w:rPr>
          <w:rFonts w:ascii="Times New Roman" w:hAnsi="Times New Roman" w:cs="Times New Roman"/>
          <w:sz w:val="24"/>
          <w:szCs w:val="24"/>
          <w:lang w:val="es-ES"/>
        </w:rPr>
        <w:t xml:space="preserve">ahí </w:t>
      </w:r>
      <w:r w:rsidR="007605DE" w:rsidRPr="00B22CA9">
        <w:rPr>
          <w:rFonts w:ascii="Times New Roman" w:hAnsi="Times New Roman" w:cs="Times New Roman"/>
          <w:sz w:val="24"/>
          <w:szCs w:val="24"/>
          <w:lang w:val="es-ES"/>
        </w:rPr>
        <w:t>en una posición</w:t>
      </w:r>
      <w:r w:rsidRPr="00B22CA9">
        <w:rPr>
          <w:rFonts w:ascii="Times New Roman" w:hAnsi="Times New Roman" w:cs="Times New Roman"/>
          <w:sz w:val="24"/>
          <w:szCs w:val="24"/>
          <w:lang w:val="es-ES"/>
        </w:rPr>
        <w:t xml:space="preserve"> delicada. C</w:t>
      </w:r>
      <w:r w:rsidR="003730D3" w:rsidRPr="00B22CA9">
        <w:rPr>
          <w:rFonts w:ascii="Times New Roman" w:hAnsi="Times New Roman" w:cs="Times New Roman"/>
          <w:sz w:val="24"/>
          <w:szCs w:val="24"/>
          <w:lang w:val="es-ES"/>
        </w:rPr>
        <w:t xml:space="preserve">omo se </w:t>
      </w:r>
      <w:r w:rsidRPr="00B22CA9">
        <w:rPr>
          <w:rFonts w:ascii="Times New Roman" w:hAnsi="Times New Roman" w:cs="Times New Roman"/>
          <w:sz w:val="24"/>
          <w:szCs w:val="24"/>
          <w:lang w:val="es-ES"/>
        </w:rPr>
        <w:t>ha comentado</w:t>
      </w:r>
      <w:r w:rsidR="003730D3" w:rsidRPr="00B22CA9">
        <w:rPr>
          <w:rFonts w:ascii="Times New Roman" w:hAnsi="Times New Roman" w:cs="Times New Roman"/>
          <w:sz w:val="24"/>
          <w:szCs w:val="24"/>
          <w:lang w:val="es-ES"/>
        </w:rPr>
        <w:t>, los recursos se dirigen frontalmente contra leyes formales del parlamento que no han sido directamente aprobadas en transposició</w:t>
      </w:r>
      <w:r w:rsidR="00EA6435" w:rsidRPr="00B22CA9">
        <w:rPr>
          <w:rFonts w:ascii="Times New Roman" w:hAnsi="Times New Roman" w:cs="Times New Roman"/>
          <w:sz w:val="24"/>
          <w:szCs w:val="24"/>
          <w:lang w:val="es-ES"/>
        </w:rPr>
        <w:t>n, desarrollo o aplicación del d</w:t>
      </w:r>
      <w:r w:rsidR="003730D3" w:rsidRPr="00B22CA9">
        <w:rPr>
          <w:rFonts w:ascii="Times New Roman" w:hAnsi="Times New Roman" w:cs="Times New Roman"/>
          <w:sz w:val="24"/>
          <w:szCs w:val="24"/>
          <w:lang w:val="es-ES"/>
        </w:rPr>
        <w:t>erecho de la Unión, por lo que, de entrar a conocer el tema de los derechos fundamentales, el Tribunal de Justicia tendrá que realizar un control de constitucionalidad en sentido pleno</w:t>
      </w:r>
      <w:r w:rsidRPr="00B22CA9">
        <w:rPr>
          <w:rFonts w:ascii="Times New Roman" w:hAnsi="Times New Roman" w:cs="Times New Roman"/>
          <w:sz w:val="24"/>
          <w:szCs w:val="24"/>
          <w:lang w:val="es-ES"/>
        </w:rPr>
        <w:t>. E</w:t>
      </w:r>
      <w:r w:rsidR="003730D3" w:rsidRPr="00B22CA9">
        <w:rPr>
          <w:rFonts w:ascii="Times New Roman" w:hAnsi="Times New Roman" w:cs="Times New Roman"/>
          <w:sz w:val="24"/>
          <w:szCs w:val="24"/>
          <w:lang w:val="es-ES"/>
        </w:rPr>
        <w:t>s decir</w:t>
      </w:r>
      <w:r w:rsidRPr="00B22CA9">
        <w:rPr>
          <w:rFonts w:ascii="Times New Roman" w:hAnsi="Times New Roman" w:cs="Times New Roman"/>
          <w:sz w:val="24"/>
          <w:szCs w:val="24"/>
          <w:lang w:val="es-ES"/>
        </w:rPr>
        <w:t>:</w:t>
      </w:r>
      <w:r w:rsidR="003730D3" w:rsidRPr="00B22CA9">
        <w:rPr>
          <w:rFonts w:ascii="Times New Roman" w:hAnsi="Times New Roman" w:cs="Times New Roman"/>
          <w:sz w:val="24"/>
          <w:szCs w:val="24"/>
          <w:lang w:val="es-ES"/>
        </w:rPr>
        <w:t xml:space="preserve"> tendrá que declarar la adecuación o no de las medidas legislativas limitativas de las libertades comunitarias a los derechos fundamentales. En definitiva, por ese camino el Tribunal de Justicia llegaría a realizar las funciones propias de los </w:t>
      </w:r>
      <w:r w:rsidR="00B90759" w:rsidRPr="00B22CA9">
        <w:rPr>
          <w:rFonts w:ascii="Times New Roman" w:hAnsi="Times New Roman" w:cs="Times New Roman"/>
          <w:sz w:val="24"/>
          <w:szCs w:val="24"/>
          <w:lang w:val="es-ES"/>
        </w:rPr>
        <w:t>t</w:t>
      </w:r>
      <w:r w:rsidR="003730D3" w:rsidRPr="00B22CA9">
        <w:rPr>
          <w:rFonts w:ascii="Times New Roman" w:hAnsi="Times New Roman" w:cs="Times New Roman"/>
          <w:sz w:val="24"/>
          <w:szCs w:val="24"/>
          <w:lang w:val="es-ES"/>
        </w:rPr>
        <w:t>ribunal</w:t>
      </w:r>
      <w:r w:rsidRPr="00B22CA9">
        <w:rPr>
          <w:rFonts w:ascii="Times New Roman" w:hAnsi="Times New Roman" w:cs="Times New Roman"/>
          <w:sz w:val="24"/>
          <w:szCs w:val="24"/>
          <w:lang w:val="es-ES"/>
        </w:rPr>
        <w:t xml:space="preserve">es </w:t>
      </w:r>
      <w:r w:rsidR="00B90759" w:rsidRPr="00B22CA9">
        <w:rPr>
          <w:rFonts w:ascii="Times New Roman" w:hAnsi="Times New Roman" w:cs="Times New Roman"/>
          <w:sz w:val="24"/>
          <w:szCs w:val="24"/>
          <w:lang w:val="es-ES"/>
        </w:rPr>
        <w:t>c</w:t>
      </w:r>
      <w:r w:rsidRPr="00B22CA9">
        <w:rPr>
          <w:rFonts w:ascii="Times New Roman" w:hAnsi="Times New Roman" w:cs="Times New Roman"/>
          <w:sz w:val="24"/>
          <w:szCs w:val="24"/>
          <w:lang w:val="es-ES"/>
        </w:rPr>
        <w:t xml:space="preserve">onstitucionales internos, al menos desde un punto de vista material. La </w:t>
      </w:r>
      <w:r w:rsidR="003730D3" w:rsidRPr="00B22CA9">
        <w:rPr>
          <w:rFonts w:ascii="Times New Roman" w:hAnsi="Times New Roman" w:cs="Times New Roman"/>
          <w:sz w:val="24"/>
          <w:szCs w:val="24"/>
          <w:lang w:val="es-ES"/>
        </w:rPr>
        <w:t>situación</w:t>
      </w:r>
      <w:r w:rsidRPr="00B22CA9">
        <w:rPr>
          <w:rFonts w:ascii="Times New Roman" w:hAnsi="Times New Roman" w:cs="Times New Roman"/>
          <w:sz w:val="24"/>
          <w:szCs w:val="24"/>
          <w:lang w:val="es-ES"/>
        </w:rPr>
        <w:t xml:space="preserve"> se pre</w:t>
      </w:r>
      <w:r w:rsidR="00977C95" w:rsidRPr="00B22CA9">
        <w:rPr>
          <w:rFonts w:ascii="Times New Roman" w:hAnsi="Times New Roman" w:cs="Times New Roman"/>
          <w:sz w:val="24"/>
          <w:szCs w:val="24"/>
          <w:lang w:val="es-ES"/>
        </w:rPr>
        <w:t>figura</w:t>
      </w:r>
      <w:r w:rsidRPr="00B22CA9">
        <w:rPr>
          <w:rFonts w:ascii="Times New Roman" w:hAnsi="Times New Roman" w:cs="Times New Roman"/>
          <w:sz w:val="24"/>
          <w:szCs w:val="24"/>
          <w:lang w:val="es-ES"/>
        </w:rPr>
        <w:t xml:space="preserve"> como un</w:t>
      </w:r>
      <w:r w:rsidR="00731DFC" w:rsidRPr="00B22CA9">
        <w:rPr>
          <w:rFonts w:ascii="Times New Roman" w:hAnsi="Times New Roman" w:cs="Times New Roman"/>
          <w:sz w:val="24"/>
          <w:szCs w:val="24"/>
          <w:lang w:val="es-ES"/>
        </w:rPr>
        <w:t>a especialmente comprometida.</w:t>
      </w:r>
      <w:r w:rsidR="00977C95" w:rsidRPr="00B22CA9">
        <w:rPr>
          <w:rFonts w:ascii="Times New Roman" w:hAnsi="Times New Roman" w:cs="Times New Roman"/>
          <w:sz w:val="24"/>
          <w:szCs w:val="24"/>
          <w:lang w:val="es-ES"/>
        </w:rPr>
        <w:t xml:space="preserve"> T</w:t>
      </w:r>
      <w:r w:rsidRPr="00B22CA9">
        <w:rPr>
          <w:rFonts w:ascii="Times New Roman" w:hAnsi="Times New Roman" w:cs="Times New Roman"/>
          <w:sz w:val="24"/>
          <w:szCs w:val="24"/>
          <w:lang w:val="es-ES"/>
        </w:rPr>
        <w:t xml:space="preserve">eniendo en cuenta esto, </w:t>
      </w:r>
      <w:r w:rsidR="00977C95" w:rsidRPr="00B22CA9">
        <w:rPr>
          <w:rFonts w:ascii="Times New Roman" w:hAnsi="Times New Roman" w:cs="Times New Roman"/>
          <w:sz w:val="24"/>
          <w:szCs w:val="24"/>
          <w:lang w:val="es-ES"/>
        </w:rPr>
        <w:t xml:space="preserve">pudiera ser </w:t>
      </w:r>
      <w:r w:rsidR="003730D3" w:rsidRPr="00B22CA9">
        <w:rPr>
          <w:rFonts w:ascii="Times New Roman" w:hAnsi="Times New Roman" w:cs="Times New Roman"/>
          <w:sz w:val="24"/>
          <w:szCs w:val="24"/>
          <w:lang w:val="es-ES"/>
        </w:rPr>
        <w:t>que el juez europeo optase</w:t>
      </w:r>
      <w:r w:rsidRPr="00B22CA9">
        <w:rPr>
          <w:rFonts w:ascii="Times New Roman" w:hAnsi="Times New Roman" w:cs="Times New Roman"/>
          <w:sz w:val="24"/>
          <w:szCs w:val="24"/>
          <w:lang w:val="es-ES"/>
        </w:rPr>
        <w:t xml:space="preserve"> por la primera vía y concluyera</w:t>
      </w:r>
      <w:r w:rsidR="003730D3" w:rsidRPr="00B22CA9">
        <w:rPr>
          <w:rFonts w:ascii="Times New Roman" w:hAnsi="Times New Roman" w:cs="Times New Roman"/>
          <w:sz w:val="24"/>
          <w:szCs w:val="24"/>
          <w:lang w:val="es-ES"/>
        </w:rPr>
        <w:t xml:space="preserve"> su pronunciamiento</w:t>
      </w:r>
      <w:r w:rsidR="00834517" w:rsidRPr="00B22CA9">
        <w:rPr>
          <w:rFonts w:ascii="Times New Roman" w:hAnsi="Times New Roman" w:cs="Times New Roman"/>
          <w:sz w:val="24"/>
          <w:szCs w:val="24"/>
          <w:lang w:val="es-ES"/>
        </w:rPr>
        <w:t xml:space="preserve"> declarando la infracción de las libertades económicas y</w:t>
      </w:r>
      <w:r w:rsidR="003730D3" w:rsidRPr="00B22CA9">
        <w:rPr>
          <w:rFonts w:ascii="Times New Roman" w:hAnsi="Times New Roman" w:cs="Times New Roman"/>
          <w:sz w:val="24"/>
          <w:szCs w:val="24"/>
          <w:lang w:val="es-ES"/>
        </w:rPr>
        <w:t xml:space="preserve"> </w:t>
      </w:r>
      <w:r w:rsidRPr="00B22CA9">
        <w:rPr>
          <w:rFonts w:ascii="Times New Roman" w:hAnsi="Times New Roman" w:cs="Times New Roman"/>
          <w:sz w:val="24"/>
          <w:szCs w:val="24"/>
          <w:lang w:val="es-ES"/>
        </w:rPr>
        <w:t xml:space="preserve">sin entrar en </w:t>
      </w:r>
      <w:r w:rsidR="003730D3" w:rsidRPr="00B22CA9">
        <w:rPr>
          <w:rFonts w:ascii="Times New Roman" w:hAnsi="Times New Roman" w:cs="Times New Roman"/>
          <w:sz w:val="24"/>
          <w:szCs w:val="24"/>
          <w:lang w:val="es-ES"/>
        </w:rPr>
        <w:t>la cuestión de los derechos fundamentales.</w:t>
      </w:r>
      <w:r w:rsidR="00902CCA" w:rsidRPr="00B22CA9">
        <w:rPr>
          <w:rFonts w:ascii="Times New Roman" w:hAnsi="Times New Roman" w:cs="Times New Roman"/>
          <w:sz w:val="24"/>
          <w:szCs w:val="24"/>
          <w:lang w:val="es-ES"/>
        </w:rPr>
        <w:t xml:space="preserve"> </w:t>
      </w:r>
      <w:r w:rsidR="004D27A9" w:rsidRPr="00B22CA9">
        <w:rPr>
          <w:rFonts w:ascii="Times New Roman" w:hAnsi="Times New Roman" w:cs="Times New Roman"/>
          <w:sz w:val="24"/>
          <w:szCs w:val="24"/>
          <w:lang w:val="es-ES"/>
        </w:rPr>
        <w:t>Pero, dado que e</w:t>
      </w:r>
      <w:r w:rsidR="00902CCA" w:rsidRPr="00B22CA9">
        <w:rPr>
          <w:rFonts w:ascii="Times New Roman" w:hAnsi="Times New Roman" w:cs="Times New Roman"/>
          <w:sz w:val="24"/>
          <w:szCs w:val="24"/>
          <w:lang w:val="es-ES"/>
        </w:rPr>
        <w:t xml:space="preserve">n los procedimientos contra Polonia la cuestión de los derechos adopta matices </w:t>
      </w:r>
      <w:r w:rsidR="004D27A9" w:rsidRPr="00B22CA9">
        <w:rPr>
          <w:rFonts w:ascii="Times New Roman" w:hAnsi="Times New Roman" w:cs="Times New Roman"/>
          <w:sz w:val="24"/>
          <w:szCs w:val="24"/>
          <w:lang w:val="es-ES"/>
        </w:rPr>
        <w:t>distintos, también podría el TJUE aprovechar para definir una postura fuerte en la defensa de los derechos fundamentales a través del incumplimiento</w:t>
      </w:r>
      <w:r w:rsidR="00902CCA" w:rsidRPr="00B22CA9">
        <w:rPr>
          <w:rFonts w:ascii="Times New Roman" w:hAnsi="Times New Roman" w:cs="Times New Roman"/>
          <w:sz w:val="24"/>
          <w:szCs w:val="24"/>
          <w:lang w:val="es-ES"/>
        </w:rPr>
        <w:t>.</w:t>
      </w:r>
      <w:r w:rsidR="007605DE" w:rsidRPr="00B22CA9">
        <w:rPr>
          <w:rFonts w:ascii="Times New Roman" w:hAnsi="Times New Roman" w:cs="Times New Roman"/>
          <w:sz w:val="24"/>
          <w:szCs w:val="24"/>
          <w:lang w:val="es-ES"/>
        </w:rPr>
        <w:t xml:space="preserve"> </w:t>
      </w:r>
      <w:r w:rsidR="003730D3" w:rsidRPr="00B22CA9">
        <w:rPr>
          <w:rFonts w:ascii="Times New Roman" w:hAnsi="Times New Roman" w:cs="Times New Roman"/>
          <w:sz w:val="24"/>
          <w:szCs w:val="24"/>
          <w:lang w:val="es-ES"/>
        </w:rPr>
        <w:t xml:space="preserve">  </w:t>
      </w:r>
    </w:p>
    <w:p w:rsidR="003007AA" w:rsidRPr="00B22CA9" w:rsidRDefault="006A3F4D" w:rsidP="003D57DC">
      <w:pPr>
        <w:pStyle w:val="Prrafodelista"/>
        <w:numPr>
          <w:ilvl w:val="0"/>
          <w:numId w:val="6"/>
        </w:numPr>
        <w:spacing w:line="240" w:lineRule="auto"/>
        <w:rPr>
          <w:rFonts w:ascii="Times New Roman" w:hAnsi="Times New Roman" w:cs="Times New Roman"/>
          <w:b/>
          <w:sz w:val="24"/>
          <w:szCs w:val="24"/>
          <w:lang w:val="es-ES"/>
        </w:rPr>
      </w:pPr>
      <w:r w:rsidRPr="00B22CA9">
        <w:rPr>
          <w:rFonts w:ascii="Times New Roman" w:hAnsi="Times New Roman" w:cs="Times New Roman"/>
          <w:b/>
          <w:sz w:val="24"/>
          <w:szCs w:val="24"/>
          <w:lang w:val="es-ES"/>
        </w:rPr>
        <w:t>Polonia</w:t>
      </w:r>
    </w:p>
    <w:p w:rsidR="00AC6314" w:rsidRPr="00B22CA9" w:rsidRDefault="003007AA" w:rsidP="007F11DF">
      <w:pPr>
        <w:spacing w:line="240" w:lineRule="auto"/>
        <w:jc w:val="both"/>
        <w:rPr>
          <w:rFonts w:ascii="Times New Roman" w:hAnsi="Times New Roman" w:cs="Times New Roman"/>
          <w:sz w:val="24"/>
          <w:szCs w:val="24"/>
          <w:lang w:val="es-ES"/>
        </w:rPr>
      </w:pPr>
      <w:r w:rsidRPr="00B22CA9">
        <w:rPr>
          <w:rFonts w:ascii="Times New Roman" w:hAnsi="Times New Roman" w:cs="Times New Roman"/>
          <w:sz w:val="24"/>
          <w:szCs w:val="24"/>
          <w:lang w:val="es-ES"/>
        </w:rPr>
        <w:tab/>
      </w:r>
      <w:r w:rsidR="00D232F4" w:rsidRPr="00B22CA9">
        <w:rPr>
          <w:rFonts w:ascii="Times New Roman" w:hAnsi="Times New Roman" w:cs="Times New Roman"/>
          <w:sz w:val="24"/>
          <w:szCs w:val="24"/>
          <w:lang w:val="es-ES"/>
        </w:rPr>
        <w:t>En Polonia</w:t>
      </w:r>
      <w:r w:rsidR="004D27A9" w:rsidRPr="00B22CA9">
        <w:rPr>
          <w:rFonts w:ascii="Times New Roman" w:hAnsi="Times New Roman" w:cs="Times New Roman"/>
          <w:sz w:val="24"/>
          <w:szCs w:val="24"/>
          <w:lang w:val="es-ES"/>
        </w:rPr>
        <w:t>,</w:t>
      </w:r>
      <w:r w:rsidR="00525566" w:rsidRPr="00B22CA9">
        <w:rPr>
          <w:rFonts w:ascii="Times New Roman" w:hAnsi="Times New Roman" w:cs="Times New Roman"/>
          <w:sz w:val="24"/>
          <w:szCs w:val="24"/>
          <w:lang w:val="es-ES"/>
        </w:rPr>
        <w:t xml:space="preserve"> el pulso del ejecutivo estatal con la judicatura </w:t>
      </w:r>
      <w:r w:rsidR="004D27A9" w:rsidRPr="00B22CA9">
        <w:rPr>
          <w:rFonts w:ascii="Times New Roman" w:hAnsi="Times New Roman" w:cs="Times New Roman"/>
          <w:sz w:val="24"/>
          <w:szCs w:val="24"/>
          <w:lang w:val="es-ES"/>
        </w:rPr>
        <w:t xml:space="preserve">llevó a la </w:t>
      </w:r>
      <w:r w:rsidR="00525566" w:rsidRPr="00B22CA9">
        <w:rPr>
          <w:rFonts w:ascii="Times New Roman" w:hAnsi="Times New Roman" w:cs="Times New Roman"/>
          <w:sz w:val="24"/>
          <w:szCs w:val="24"/>
          <w:lang w:val="es-ES"/>
        </w:rPr>
        <w:t>Unión</w:t>
      </w:r>
      <w:r w:rsidR="004D27A9" w:rsidRPr="00B22CA9">
        <w:rPr>
          <w:rFonts w:ascii="Times New Roman" w:hAnsi="Times New Roman" w:cs="Times New Roman"/>
          <w:sz w:val="24"/>
          <w:szCs w:val="24"/>
          <w:lang w:val="es-ES"/>
        </w:rPr>
        <w:t xml:space="preserve"> a activar en diciembre de 2017, y por primera vez, la fase inicial </w:t>
      </w:r>
      <w:r w:rsidR="00525566" w:rsidRPr="00B22CA9">
        <w:rPr>
          <w:rFonts w:ascii="Times New Roman" w:hAnsi="Times New Roman" w:cs="Times New Roman"/>
          <w:sz w:val="24"/>
          <w:szCs w:val="24"/>
          <w:lang w:val="es-ES"/>
        </w:rPr>
        <w:t>del artículo 7 TUE</w:t>
      </w:r>
      <w:r w:rsidR="009A0A86" w:rsidRPr="00B22CA9">
        <w:rPr>
          <w:rFonts w:ascii="Times New Roman" w:hAnsi="Times New Roman" w:cs="Times New Roman"/>
          <w:sz w:val="24"/>
          <w:szCs w:val="24"/>
          <w:lang w:val="es-ES"/>
        </w:rPr>
        <w:t>.</w:t>
      </w:r>
      <w:r w:rsidR="007451FE" w:rsidRPr="00B22CA9">
        <w:rPr>
          <w:rFonts w:ascii="Times New Roman" w:hAnsi="Times New Roman" w:cs="Times New Roman"/>
          <w:sz w:val="24"/>
          <w:szCs w:val="24"/>
          <w:lang w:val="es-ES"/>
        </w:rPr>
        <w:t xml:space="preserve"> Modificaciones del papel del Consejo Nacional del Poder Judicial polaco, encargado de la salvaguarda de la independencia de los jueces; nombramientos polémicos de miembros del Tribunal Constitucional </w:t>
      </w:r>
      <w:r w:rsidR="007451FE" w:rsidRPr="00B22CA9">
        <w:rPr>
          <w:rFonts w:ascii="Times New Roman" w:hAnsi="Times New Roman" w:cs="Times New Roman"/>
          <w:sz w:val="24"/>
          <w:szCs w:val="24"/>
          <w:lang w:val="es-ES"/>
        </w:rPr>
        <w:lastRenderedPageBreak/>
        <w:t>y negativa de este a publicar ciertas resoluciones; jubilaciones forzosas de jueces y designaciones políticas de tribunales… son algunas de las medidas controvertidas</w:t>
      </w:r>
      <w:r w:rsidR="004D27A9" w:rsidRPr="00B22CA9">
        <w:rPr>
          <w:rFonts w:ascii="Times New Roman" w:hAnsi="Times New Roman" w:cs="Times New Roman"/>
          <w:sz w:val="24"/>
          <w:szCs w:val="24"/>
          <w:lang w:val="es-ES"/>
        </w:rPr>
        <w:t xml:space="preserve"> por afectar</w:t>
      </w:r>
      <w:r w:rsidR="007451FE" w:rsidRPr="00B22CA9">
        <w:rPr>
          <w:rFonts w:ascii="Times New Roman" w:hAnsi="Times New Roman" w:cs="Times New Roman"/>
          <w:sz w:val="24"/>
          <w:szCs w:val="24"/>
          <w:lang w:val="es-ES"/>
        </w:rPr>
        <w:t xml:space="preserve"> a la</w:t>
      </w:r>
      <w:r w:rsidR="00E444BF" w:rsidRPr="00B22CA9">
        <w:rPr>
          <w:rFonts w:ascii="Times New Roman" w:hAnsi="Times New Roman" w:cs="Times New Roman"/>
          <w:sz w:val="24"/>
          <w:szCs w:val="24"/>
          <w:lang w:val="es-ES"/>
        </w:rPr>
        <w:t xml:space="preserve"> separación de poderes</w:t>
      </w:r>
      <w:r w:rsidR="0028113C" w:rsidRPr="00B22CA9">
        <w:rPr>
          <w:rFonts w:ascii="Times New Roman" w:hAnsi="Times New Roman" w:cs="Times New Roman"/>
          <w:sz w:val="24"/>
          <w:szCs w:val="24"/>
          <w:lang w:val="es-ES"/>
        </w:rPr>
        <w:t xml:space="preserve"> y </w:t>
      </w:r>
      <w:r w:rsidR="00E444BF" w:rsidRPr="00B22CA9">
        <w:rPr>
          <w:rFonts w:ascii="Times New Roman" w:hAnsi="Times New Roman" w:cs="Times New Roman"/>
          <w:sz w:val="24"/>
          <w:szCs w:val="24"/>
          <w:lang w:val="es-ES"/>
        </w:rPr>
        <w:t xml:space="preserve">a las garantías del Estado de </w:t>
      </w:r>
      <w:r w:rsidR="00EA6435" w:rsidRPr="00B22CA9">
        <w:rPr>
          <w:rFonts w:ascii="Times New Roman" w:hAnsi="Times New Roman" w:cs="Times New Roman"/>
          <w:sz w:val="24"/>
          <w:szCs w:val="24"/>
          <w:lang w:val="es-ES"/>
        </w:rPr>
        <w:t>d</w:t>
      </w:r>
      <w:r w:rsidR="00E444BF" w:rsidRPr="00B22CA9">
        <w:rPr>
          <w:rFonts w:ascii="Times New Roman" w:hAnsi="Times New Roman" w:cs="Times New Roman"/>
          <w:sz w:val="24"/>
          <w:szCs w:val="24"/>
          <w:lang w:val="es-ES"/>
        </w:rPr>
        <w:t>erecho</w:t>
      </w:r>
      <w:r w:rsidR="007451FE" w:rsidRPr="00B22CA9">
        <w:rPr>
          <w:rStyle w:val="Refdenotaalpie"/>
          <w:rFonts w:ascii="Times New Roman" w:hAnsi="Times New Roman" w:cs="Times New Roman"/>
          <w:sz w:val="24"/>
          <w:szCs w:val="24"/>
          <w:lang w:val="es-ES"/>
        </w:rPr>
        <w:footnoteReference w:id="47"/>
      </w:r>
      <w:r w:rsidR="0028113C" w:rsidRPr="00B22CA9">
        <w:rPr>
          <w:rFonts w:ascii="Times New Roman" w:hAnsi="Times New Roman" w:cs="Times New Roman"/>
          <w:sz w:val="24"/>
          <w:szCs w:val="24"/>
          <w:lang w:val="es-ES"/>
        </w:rPr>
        <w:t>. Dado q</w:t>
      </w:r>
      <w:r w:rsidR="00E444BF" w:rsidRPr="00B22CA9">
        <w:rPr>
          <w:rFonts w:ascii="Times New Roman" w:hAnsi="Times New Roman" w:cs="Times New Roman"/>
          <w:sz w:val="24"/>
          <w:szCs w:val="24"/>
          <w:lang w:val="es-ES"/>
        </w:rPr>
        <w:t xml:space="preserve">ue la organización del poder judicial no es materia atribuida, </w:t>
      </w:r>
      <w:r w:rsidR="004D27A9" w:rsidRPr="00B22CA9">
        <w:rPr>
          <w:rFonts w:ascii="Times New Roman" w:hAnsi="Times New Roman" w:cs="Times New Roman"/>
          <w:sz w:val="24"/>
          <w:szCs w:val="24"/>
          <w:lang w:val="es-ES"/>
        </w:rPr>
        <w:t>la</w:t>
      </w:r>
      <w:r w:rsidR="00E444BF" w:rsidRPr="00B22CA9">
        <w:rPr>
          <w:rFonts w:ascii="Times New Roman" w:hAnsi="Times New Roman" w:cs="Times New Roman"/>
          <w:sz w:val="24"/>
          <w:szCs w:val="24"/>
          <w:lang w:val="es-ES"/>
        </w:rPr>
        <w:t xml:space="preserve"> vía política </w:t>
      </w:r>
      <w:r w:rsidR="007451FE" w:rsidRPr="00B22CA9">
        <w:rPr>
          <w:rFonts w:ascii="Times New Roman" w:hAnsi="Times New Roman" w:cs="Times New Roman"/>
          <w:sz w:val="24"/>
          <w:szCs w:val="24"/>
          <w:lang w:val="es-ES"/>
        </w:rPr>
        <w:t>del artículo 7 es la</w:t>
      </w:r>
      <w:r w:rsidR="0028113C" w:rsidRPr="00B22CA9">
        <w:rPr>
          <w:rFonts w:ascii="Times New Roman" w:hAnsi="Times New Roman" w:cs="Times New Roman"/>
          <w:sz w:val="24"/>
          <w:szCs w:val="24"/>
          <w:lang w:val="es-ES"/>
        </w:rPr>
        <w:t xml:space="preserve"> apropiada</w:t>
      </w:r>
      <w:r w:rsidR="007451FE" w:rsidRPr="00B22CA9">
        <w:rPr>
          <w:rFonts w:ascii="Times New Roman" w:hAnsi="Times New Roman" w:cs="Times New Roman"/>
          <w:sz w:val="24"/>
          <w:szCs w:val="24"/>
          <w:lang w:val="es-ES"/>
        </w:rPr>
        <w:t>, pero</w:t>
      </w:r>
      <w:r w:rsidR="00E444BF" w:rsidRPr="00B22CA9">
        <w:rPr>
          <w:rFonts w:ascii="Times New Roman" w:hAnsi="Times New Roman" w:cs="Times New Roman"/>
          <w:sz w:val="24"/>
          <w:szCs w:val="24"/>
          <w:lang w:val="es-ES"/>
        </w:rPr>
        <w:t xml:space="preserve"> </w:t>
      </w:r>
      <w:r w:rsidR="004D27A9" w:rsidRPr="00B22CA9">
        <w:rPr>
          <w:rFonts w:ascii="Times New Roman" w:hAnsi="Times New Roman" w:cs="Times New Roman"/>
          <w:sz w:val="24"/>
          <w:szCs w:val="24"/>
          <w:lang w:val="es-ES"/>
        </w:rPr>
        <w:t xml:space="preserve">la Comisión no ha renunciado a </w:t>
      </w:r>
      <w:r w:rsidR="009A0A86" w:rsidRPr="00B22CA9">
        <w:rPr>
          <w:rFonts w:ascii="Times New Roman" w:hAnsi="Times New Roman" w:cs="Times New Roman"/>
          <w:sz w:val="24"/>
          <w:szCs w:val="24"/>
          <w:lang w:val="es-ES"/>
        </w:rPr>
        <w:t>canaliza</w:t>
      </w:r>
      <w:r w:rsidR="004D27A9" w:rsidRPr="00B22CA9">
        <w:rPr>
          <w:rFonts w:ascii="Times New Roman" w:hAnsi="Times New Roman" w:cs="Times New Roman"/>
          <w:sz w:val="24"/>
          <w:szCs w:val="24"/>
          <w:lang w:val="es-ES"/>
        </w:rPr>
        <w:t>r también el conflicto</w:t>
      </w:r>
      <w:r w:rsidR="0028113C" w:rsidRPr="00B22CA9">
        <w:rPr>
          <w:rFonts w:ascii="Times New Roman" w:hAnsi="Times New Roman" w:cs="Times New Roman"/>
          <w:sz w:val="24"/>
          <w:szCs w:val="24"/>
          <w:lang w:val="es-ES"/>
        </w:rPr>
        <w:t xml:space="preserve"> desde una perspectiva jurídica, vincul</w:t>
      </w:r>
      <w:r w:rsidR="004D27A9" w:rsidRPr="00B22CA9">
        <w:rPr>
          <w:rFonts w:ascii="Times New Roman" w:hAnsi="Times New Roman" w:cs="Times New Roman"/>
          <w:sz w:val="24"/>
          <w:szCs w:val="24"/>
          <w:lang w:val="es-ES"/>
        </w:rPr>
        <w:t>ándolo</w:t>
      </w:r>
      <w:r w:rsidR="0028113C" w:rsidRPr="00B22CA9">
        <w:rPr>
          <w:rFonts w:ascii="Times New Roman" w:hAnsi="Times New Roman" w:cs="Times New Roman"/>
          <w:sz w:val="24"/>
          <w:szCs w:val="24"/>
          <w:lang w:val="es-ES"/>
        </w:rPr>
        <w:t xml:space="preserve"> con la efectividad de</w:t>
      </w:r>
      <w:r w:rsidR="00EA6435" w:rsidRPr="00B22CA9">
        <w:rPr>
          <w:rFonts w:ascii="Times New Roman" w:hAnsi="Times New Roman" w:cs="Times New Roman"/>
          <w:sz w:val="24"/>
          <w:szCs w:val="24"/>
          <w:lang w:val="es-ES"/>
        </w:rPr>
        <w:t>l d</w:t>
      </w:r>
      <w:r w:rsidR="002436BA" w:rsidRPr="00B22CA9">
        <w:rPr>
          <w:rFonts w:ascii="Times New Roman" w:hAnsi="Times New Roman" w:cs="Times New Roman"/>
          <w:sz w:val="24"/>
          <w:szCs w:val="24"/>
          <w:lang w:val="es-ES"/>
        </w:rPr>
        <w:t>erecho de la Unión</w:t>
      </w:r>
      <w:r w:rsidR="007451FE" w:rsidRPr="00B22CA9">
        <w:rPr>
          <w:rFonts w:ascii="Times New Roman" w:hAnsi="Times New Roman" w:cs="Times New Roman"/>
          <w:sz w:val="24"/>
          <w:szCs w:val="24"/>
          <w:lang w:val="es-ES"/>
        </w:rPr>
        <w:t xml:space="preserve"> a través del principio de independencia judicial como elemento del derecho a la tutela judicial efectiva</w:t>
      </w:r>
      <w:r w:rsidR="000B1B7D" w:rsidRPr="00B22CA9">
        <w:rPr>
          <w:rStyle w:val="Refdenotaalpie"/>
          <w:rFonts w:ascii="Times New Roman" w:hAnsi="Times New Roman" w:cs="Times New Roman"/>
          <w:sz w:val="24"/>
          <w:szCs w:val="24"/>
          <w:lang w:val="es-ES"/>
        </w:rPr>
        <w:footnoteReference w:id="48"/>
      </w:r>
      <w:r w:rsidR="002436BA" w:rsidRPr="00B22CA9">
        <w:rPr>
          <w:rFonts w:ascii="Times New Roman" w:hAnsi="Times New Roman" w:cs="Times New Roman"/>
          <w:sz w:val="24"/>
          <w:szCs w:val="24"/>
          <w:lang w:val="es-ES"/>
        </w:rPr>
        <w:t xml:space="preserve">. </w:t>
      </w:r>
    </w:p>
    <w:p w:rsidR="002436BA" w:rsidRPr="00B22CA9" w:rsidRDefault="00AC6314" w:rsidP="007F11DF">
      <w:pPr>
        <w:spacing w:line="240" w:lineRule="auto"/>
        <w:jc w:val="both"/>
        <w:rPr>
          <w:rFonts w:ascii="Times New Roman" w:hAnsi="Times New Roman" w:cs="Times New Roman"/>
          <w:sz w:val="24"/>
          <w:szCs w:val="24"/>
          <w:lang w:val="es-ES"/>
        </w:rPr>
      </w:pPr>
      <w:r w:rsidRPr="00B22CA9">
        <w:rPr>
          <w:rFonts w:ascii="Times New Roman" w:hAnsi="Times New Roman" w:cs="Times New Roman"/>
          <w:sz w:val="24"/>
          <w:szCs w:val="24"/>
          <w:lang w:val="es-ES"/>
        </w:rPr>
        <w:tab/>
        <w:t>En efecto,</w:t>
      </w:r>
      <w:r w:rsidR="0028113C" w:rsidRPr="00B22CA9">
        <w:rPr>
          <w:rFonts w:ascii="Times New Roman" w:hAnsi="Times New Roman" w:cs="Times New Roman"/>
          <w:sz w:val="24"/>
          <w:szCs w:val="24"/>
          <w:lang w:val="es-ES"/>
        </w:rPr>
        <w:t xml:space="preserve"> l</w:t>
      </w:r>
      <w:r w:rsidR="002436BA" w:rsidRPr="00B22CA9">
        <w:rPr>
          <w:rFonts w:ascii="Times New Roman" w:hAnsi="Times New Roman" w:cs="Times New Roman"/>
          <w:sz w:val="24"/>
          <w:szCs w:val="24"/>
          <w:lang w:val="es-ES"/>
        </w:rPr>
        <w:t xml:space="preserve">a Comisión </w:t>
      </w:r>
      <w:r w:rsidR="0070634D" w:rsidRPr="00B22CA9">
        <w:rPr>
          <w:rFonts w:ascii="Times New Roman" w:hAnsi="Times New Roman" w:cs="Times New Roman"/>
          <w:sz w:val="24"/>
          <w:szCs w:val="24"/>
          <w:lang w:val="es-ES"/>
        </w:rPr>
        <w:t xml:space="preserve">tiene abiertos dos procedimientos </w:t>
      </w:r>
      <w:r w:rsidR="00525566" w:rsidRPr="00B22CA9">
        <w:rPr>
          <w:rFonts w:ascii="Times New Roman" w:hAnsi="Times New Roman" w:cs="Times New Roman"/>
          <w:sz w:val="24"/>
          <w:szCs w:val="24"/>
          <w:lang w:val="es-ES"/>
        </w:rPr>
        <w:t xml:space="preserve">de incumplimiento </w:t>
      </w:r>
      <w:r w:rsidR="003D1E4A" w:rsidRPr="00B22CA9">
        <w:rPr>
          <w:rFonts w:ascii="Times New Roman" w:hAnsi="Times New Roman" w:cs="Times New Roman"/>
          <w:sz w:val="24"/>
          <w:szCs w:val="24"/>
          <w:lang w:val="es-ES"/>
        </w:rPr>
        <w:t xml:space="preserve">en los que </w:t>
      </w:r>
      <w:r w:rsidR="0028113C" w:rsidRPr="00B22CA9">
        <w:rPr>
          <w:rFonts w:ascii="Times New Roman" w:hAnsi="Times New Roman" w:cs="Times New Roman"/>
          <w:sz w:val="24"/>
          <w:szCs w:val="24"/>
          <w:lang w:val="es-ES"/>
        </w:rPr>
        <w:t>impugna</w:t>
      </w:r>
      <w:r w:rsidR="0070634D" w:rsidRPr="00B22CA9">
        <w:rPr>
          <w:rFonts w:ascii="Times New Roman" w:hAnsi="Times New Roman" w:cs="Times New Roman"/>
          <w:sz w:val="24"/>
          <w:szCs w:val="24"/>
          <w:lang w:val="es-ES"/>
        </w:rPr>
        <w:t xml:space="preserve"> l</w:t>
      </w:r>
      <w:r w:rsidR="00086FB3" w:rsidRPr="00B22CA9">
        <w:rPr>
          <w:rFonts w:ascii="Times New Roman" w:hAnsi="Times New Roman" w:cs="Times New Roman"/>
          <w:sz w:val="24"/>
          <w:szCs w:val="24"/>
          <w:lang w:val="es-ES"/>
        </w:rPr>
        <w:t>eyes</w:t>
      </w:r>
      <w:r w:rsidR="0070634D" w:rsidRPr="00B22CA9">
        <w:rPr>
          <w:rFonts w:ascii="Times New Roman" w:hAnsi="Times New Roman" w:cs="Times New Roman"/>
          <w:sz w:val="24"/>
          <w:szCs w:val="24"/>
          <w:lang w:val="es-ES"/>
        </w:rPr>
        <w:t xml:space="preserve"> </w:t>
      </w:r>
      <w:r w:rsidR="004D27A9" w:rsidRPr="00B22CA9">
        <w:rPr>
          <w:rFonts w:ascii="Times New Roman" w:hAnsi="Times New Roman" w:cs="Times New Roman"/>
          <w:sz w:val="24"/>
          <w:szCs w:val="24"/>
          <w:lang w:val="es-ES"/>
        </w:rPr>
        <w:t xml:space="preserve">polacas </w:t>
      </w:r>
      <w:r w:rsidR="0070634D" w:rsidRPr="00B22CA9">
        <w:rPr>
          <w:rFonts w:ascii="Times New Roman" w:hAnsi="Times New Roman" w:cs="Times New Roman"/>
          <w:sz w:val="24"/>
          <w:szCs w:val="24"/>
          <w:lang w:val="es-ES"/>
        </w:rPr>
        <w:t>que modifica</w:t>
      </w:r>
      <w:r w:rsidR="00086FB3" w:rsidRPr="00B22CA9">
        <w:rPr>
          <w:rFonts w:ascii="Times New Roman" w:hAnsi="Times New Roman" w:cs="Times New Roman"/>
          <w:sz w:val="24"/>
          <w:szCs w:val="24"/>
          <w:lang w:val="es-ES"/>
        </w:rPr>
        <w:t>n</w:t>
      </w:r>
      <w:r w:rsidR="0070634D" w:rsidRPr="00B22CA9">
        <w:rPr>
          <w:rFonts w:ascii="Times New Roman" w:hAnsi="Times New Roman" w:cs="Times New Roman"/>
          <w:sz w:val="24"/>
          <w:szCs w:val="24"/>
          <w:lang w:val="es-ES"/>
        </w:rPr>
        <w:t xml:space="preserve"> las </w:t>
      </w:r>
      <w:r w:rsidR="00525566" w:rsidRPr="00B22CA9">
        <w:rPr>
          <w:rFonts w:ascii="Times New Roman" w:hAnsi="Times New Roman" w:cs="Times New Roman"/>
          <w:sz w:val="24"/>
          <w:szCs w:val="24"/>
          <w:lang w:val="es-ES"/>
        </w:rPr>
        <w:t>edad</w:t>
      </w:r>
      <w:r w:rsidR="0070634D" w:rsidRPr="00B22CA9">
        <w:rPr>
          <w:rFonts w:ascii="Times New Roman" w:hAnsi="Times New Roman" w:cs="Times New Roman"/>
          <w:sz w:val="24"/>
          <w:szCs w:val="24"/>
          <w:lang w:val="es-ES"/>
        </w:rPr>
        <w:t>es de jubil</w:t>
      </w:r>
      <w:r w:rsidR="003D1E4A" w:rsidRPr="00B22CA9">
        <w:rPr>
          <w:rFonts w:ascii="Times New Roman" w:hAnsi="Times New Roman" w:cs="Times New Roman"/>
          <w:sz w:val="24"/>
          <w:szCs w:val="24"/>
          <w:lang w:val="es-ES"/>
        </w:rPr>
        <w:t>ación de los jueces</w:t>
      </w:r>
      <w:r w:rsidR="004D27A9" w:rsidRPr="00B22CA9">
        <w:rPr>
          <w:rFonts w:ascii="Times New Roman" w:hAnsi="Times New Roman" w:cs="Times New Roman"/>
          <w:sz w:val="24"/>
          <w:szCs w:val="24"/>
          <w:lang w:val="es-ES"/>
        </w:rPr>
        <w:t xml:space="preserve"> y que</w:t>
      </w:r>
      <w:r w:rsidR="00086FB3" w:rsidRPr="00B22CA9">
        <w:rPr>
          <w:rFonts w:ascii="Times New Roman" w:hAnsi="Times New Roman" w:cs="Times New Roman"/>
          <w:sz w:val="24"/>
          <w:szCs w:val="24"/>
          <w:lang w:val="es-ES"/>
        </w:rPr>
        <w:t xml:space="preserve"> </w:t>
      </w:r>
      <w:r w:rsidR="004933A8" w:rsidRPr="00B22CA9">
        <w:rPr>
          <w:rFonts w:ascii="Times New Roman" w:hAnsi="Times New Roman" w:cs="Times New Roman"/>
          <w:sz w:val="24"/>
          <w:szCs w:val="24"/>
          <w:lang w:val="es-ES"/>
        </w:rPr>
        <w:t xml:space="preserve">incorporan </w:t>
      </w:r>
      <w:r w:rsidR="003D1E4A" w:rsidRPr="00B22CA9">
        <w:rPr>
          <w:rFonts w:ascii="Times New Roman" w:hAnsi="Times New Roman" w:cs="Times New Roman"/>
          <w:sz w:val="24"/>
          <w:szCs w:val="24"/>
          <w:lang w:val="es-ES"/>
        </w:rPr>
        <w:t>mecanismos para permitir que, llegada la edad fijada, estos permanezcan en su cargo</w:t>
      </w:r>
      <w:r w:rsidR="004D27A9" w:rsidRPr="00B22CA9">
        <w:rPr>
          <w:rFonts w:ascii="Times New Roman" w:hAnsi="Times New Roman" w:cs="Times New Roman"/>
          <w:sz w:val="24"/>
          <w:szCs w:val="24"/>
          <w:lang w:val="es-ES"/>
        </w:rPr>
        <w:t xml:space="preserve"> a criterio del gobierno</w:t>
      </w:r>
      <w:r w:rsidR="00C464B3" w:rsidRPr="00B22CA9">
        <w:rPr>
          <w:rStyle w:val="Refdenotaalpie"/>
          <w:rFonts w:ascii="Times New Roman" w:hAnsi="Times New Roman" w:cs="Times New Roman"/>
          <w:sz w:val="24"/>
          <w:szCs w:val="24"/>
          <w:lang w:val="es-ES"/>
        </w:rPr>
        <w:footnoteReference w:id="49"/>
      </w:r>
      <w:r w:rsidR="00525566" w:rsidRPr="00B22CA9">
        <w:rPr>
          <w:rFonts w:ascii="Times New Roman" w:hAnsi="Times New Roman" w:cs="Times New Roman"/>
          <w:sz w:val="24"/>
          <w:szCs w:val="24"/>
          <w:lang w:val="es-ES"/>
        </w:rPr>
        <w:t>.</w:t>
      </w:r>
      <w:r w:rsidR="00E4220D" w:rsidRPr="00B22CA9">
        <w:rPr>
          <w:rFonts w:ascii="Times New Roman" w:hAnsi="Times New Roman" w:cs="Times New Roman"/>
          <w:sz w:val="24"/>
          <w:szCs w:val="24"/>
          <w:lang w:val="es-ES"/>
        </w:rPr>
        <w:t xml:space="preserve"> El segundo de ellos es reciente</w:t>
      </w:r>
      <w:r w:rsidR="001D052A" w:rsidRPr="00B22CA9">
        <w:rPr>
          <w:rFonts w:ascii="Times New Roman" w:hAnsi="Times New Roman" w:cs="Times New Roman"/>
          <w:sz w:val="24"/>
          <w:szCs w:val="24"/>
          <w:lang w:val="es-ES"/>
        </w:rPr>
        <w:t xml:space="preserve"> y se encuentra en fase precontenciosa. Se</w:t>
      </w:r>
      <w:r w:rsidR="00E4220D" w:rsidRPr="00B22CA9">
        <w:rPr>
          <w:rFonts w:ascii="Times New Roman" w:hAnsi="Times New Roman" w:cs="Times New Roman"/>
          <w:sz w:val="24"/>
          <w:szCs w:val="24"/>
          <w:lang w:val="es-ES"/>
        </w:rPr>
        <w:t xml:space="preserve"> refiere a</w:t>
      </w:r>
      <w:r w:rsidR="001D052A" w:rsidRPr="00B22CA9">
        <w:rPr>
          <w:rFonts w:ascii="Times New Roman" w:hAnsi="Times New Roman" w:cs="Times New Roman"/>
          <w:sz w:val="24"/>
          <w:szCs w:val="24"/>
          <w:lang w:val="es-ES"/>
        </w:rPr>
        <w:t xml:space="preserve"> los jueces del Tribunal Supremo, cuya edad activa se reduce </w:t>
      </w:r>
      <w:proofErr w:type="spellStart"/>
      <w:r w:rsidR="001D052A" w:rsidRPr="00B22CA9">
        <w:rPr>
          <w:rFonts w:ascii="Times New Roman" w:hAnsi="Times New Roman" w:cs="Times New Roman"/>
          <w:i/>
          <w:sz w:val="24"/>
          <w:szCs w:val="24"/>
          <w:lang w:val="es-ES"/>
        </w:rPr>
        <w:t>ope</w:t>
      </w:r>
      <w:proofErr w:type="spellEnd"/>
      <w:r w:rsidR="001D052A" w:rsidRPr="00B22CA9">
        <w:rPr>
          <w:rFonts w:ascii="Times New Roman" w:hAnsi="Times New Roman" w:cs="Times New Roman"/>
          <w:i/>
          <w:sz w:val="24"/>
          <w:szCs w:val="24"/>
          <w:lang w:val="es-ES"/>
        </w:rPr>
        <w:t xml:space="preserve"> </w:t>
      </w:r>
      <w:proofErr w:type="spellStart"/>
      <w:r w:rsidR="001D052A" w:rsidRPr="00B22CA9">
        <w:rPr>
          <w:rFonts w:ascii="Times New Roman" w:hAnsi="Times New Roman" w:cs="Times New Roman"/>
          <w:i/>
          <w:sz w:val="24"/>
          <w:szCs w:val="24"/>
          <w:lang w:val="es-ES"/>
        </w:rPr>
        <w:t>legis</w:t>
      </w:r>
      <w:proofErr w:type="spellEnd"/>
      <w:r w:rsidR="001D052A" w:rsidRPr="00B22CA9">
        <w:rPr>
          <w:rFonts w:ascii="Times New Roman" w:hAnsi="Times New Roman" w:cs="Times New Roman"/>
          <w:i/>
          <w:sz w:val="24"/>
          <w:szCs w:val="24"/>
          <w:lang w:val="es-ES"/>
        </w:rPr>
        <w:t xml:space="preserve"> </w:t>
      </w:r>
      <w:r w:rsidR="001D052A" w:rsidRPr="00B22CA9">
        <w:rPr>
          <w:rFonts w:ascii="Times New Roman" w:hAnsi="Times New Roman" w:cs="Times New Roman"/>
          <w:sz w:val="24"/>
          <w:szCs w:val="24"/>
          <w:lang w:val="es-ES"/>
        </w:rPr>
        <w:t>en cinco años,</w:t>
      </w:r>
      <w:r w:rsidR="00A12452" w:rsidRPr="00B22CA9">
        <w:rPr>
          <w:rFonts w:ascii="Times New Roman" w:hAnsi="Times New Roman" w:cs="Times New Roman"/>
          <w:sz w:val="24"/>
          <w:szCs w:val="24"/>
          <w:lang w:val="es-ES"/>
        </w:rPr>
        <w:t xml:space="preserve"> de setenta a sesenta y cinco,</w:t>
      </w:r>
      <w:r w:rsidR="001D052A" w:rsidRPr="00B22CA9">
        <w:rPr>
          <w:rFonts w:ascii="Times New Roman" w:hAnsi="Times New Roman" w:cs="Times New Roman"/>
          <w:sz w:val="24"/>
          <w:szCs w:val="24"/>
          <w:lang w:val="es-ES"/>
        </w:rPr>
        <w:t xml:space="preserve"> sin perjuicio de que el presidente de la República decida prolongar su mandato. </w:t>
      </w:r>
      <w:r w:rsidR="004F0A2A" w:rsidRPr="00B22CA9">
        <w:rPr>
          <w:rFonts w:ascii="Times New Roman" w:hAnsi="Times New Roman" w:cs="Times New Roman"/>
          <w:sz w:val="24"/>
          <w:szCs w:val="24"/>
          <w:lang w:val="es-ES"/>
        </w:rPr>
        <w:t>La Comisión</w:t>
      </w:r>
      <w:r w:rsidR="003D083B" w:rsidRPr="00B22CA9">
        <w:rPr>
          <w:rFonts w:ascii="Times New Roman" w:hAnsi="Times New Roman" w:cs="Times New Roman"/>
          <w:sz w:val="24"/>
          <w:szCs w:val="24"/>
          <w:lang w:val="es-ES"/>
        </w:rPr>
        <w:t xml:space="preserve"> lo</w:t>
      </w:r>
      <w:r w:rsidR="004F0A2A" w:rsidRPr="00B22CA9">
        <w:rPr>
          <w:rFonts w:ascii="Times New Roman" w:hAnsi="Times New Roman" w:cs="Times New Roman"/>
          <w:sz w:val="24"/>
          <w:szCs w:val="24"/>
          <w:lang w:val="es-ES"/>
        </w:rPr>
        <w:t xml:space="preserve"> ha activado por la vía de urgencia</w:t>
      </w:r>
      <w:r w:rsidR="003D083B" w:rsidRPr="00B22CA9">
        <w:rPr>
          <w:rFonts w:ascii="Times New Roman" w:hAnsi="Times New Roman" w:cs="Times New Roman"/>
          <w:sz w:val="24"/>
          <w:szCs w:val="24"/>
          <w:lang w:val="es-ES"/>
        </w:rPr>
        <w:t>,</w:t>
      </w:r>
      <w:r w:rsidR="004F0A2A" w:rsidRPr="00B22CA9">
        <w:rPr>
          <w:rFonts w:ascii="Times New Roman" w:hAnsi="Times New Roman" w:cs="Times New Roman"/>
          <w:sz w:val="24"/>
          <w:szCs w:val="24"/>
          <w:lang w:val="es-ES"/>
        </w:rPr>
        <w:t xml:space="preserve"> para elevar cuanto antes el recurso</w:t>
      </w:r>
      <w:r w:rsidR="009161AB" w:rsidRPr="00B22CA9">
        <w:rPr>
          <w:rFonts w:ascii="Times New Roman" w:hAnsi="Times New Roman" w:cs="Times New Roman"/>
          <w:sz w:val="24"/>
          <w:szCs w:val="24"/>
          <w:lang w:val="es-ES"/>
        </w:rPr>
        <w:t xml:space="preserve"> al TJUE. M</w:t>
      </w:r>
      <w:r w:rsidR="003D083B" w:rsidRPr="00B22CA9">
        <w:rPr>
          <w:rFonts w:ascii="Times New Roman" w:hAnsi="Times New Roman" w:cs="Times New Roman"/>
          <w:sz w:val="24"/>
          <w:szCs w:val="24"/>
          <w:lang w:val="es-ES"/>
        </w:rPr>
        <w:t>ientras</w:t>
      </w:r>
      <w:r w:rsidR="009161AB" w:rsidRPr="00B22CA9">
        <w:rPr>
          <w:rFonts w:ascii="Times New Roman" w:hAnsi="Times New Roman" w:cs="Times New Roman"/>
          <w:sz w:val="24"/>
          <w:szCs w:val="24"/>
          <w:lang w:val="es-ES"/>
        </w:rPr>
        <w:t xml:space="preserve">, </w:t>
      </w:r>
      <w:r w:rsidR="003D083B" w:rsidRPr="00B22CA9">
        <w:rPr>
          <w:rFonts w:ascii="Times New Roman" w:hAnsi="Times New Roman" w:cs="Times New Roman"/>
          <w:sz w:val="24"/>
          <w:szCs w:val="24"/>
          <w:lang w:val="es-ES"/>
        </w:rPr>
        <w:t>en Polonia</w:t>
      </w:r>
      <w:r w:rsidR="009161AB" w:rsidRPr="00B22CA9">
        <w:rPr>
          <w:rFonts w:ascii="Times New Roman" w:hAnsi="Times New Roman" w:cs="Times New Roman"/>
          <w:sz w:val="24"/>
          <w:szCs w:val="24"/>
          <w:lang w:val="es-ES"/>
        </w:rPr>
        <w:t>,</w:t>
      </w:r>
      <w:r w:rsidR="003D083B" w:rsidRPr="00B22CA9">
        <w:rPr>
          <w:rFonts w:ascii="Times New Roman" w:hAnsi="Times New Roman" w:cs="Times New Roman"/>
          <w:sz w:val="24"/>
          <w:szCs w:val="24"/>
          <w:lang w:val="es-ES"/>
        </w:rPr>
        <w:t xml:space="preserve"> </w:t>
      </w:r>
      <w:r w:rsidR="00942EA9" w:rsidRPr="00B22CA9">
        <w:rPr>
          <w:rFonts w:ascii="Times New Roman" w:hAnsi="Times New Roman" w:cs="Times New Roman"/>
          <w:sz w:val="24"/>
          <w:szCs w:val="24"/>
          <w:lang w:val="es-ES"/>
        </w:rPr>
        <w:t xml:space="preserve">el Tribunal Supremo </w:t>
      </w:r>
      <w:r w:rsidR="00A12452" w:rsidRPr="00B22CA9">
        <w:rPr>
          <w:rFonts w:ascii="Times New Roman" w:hAnsi="Times New Roman" w:cs="Times New Roman"/>
          <w:sz w:val="24"/>
          <w:szCs w:val="24"/>
          <w:lang w:val="es-ES"/>
        </w:rPr>
        <w:t xml:space="preserve">elevó en agosto de 2018 </w:t>
      </w:r>
      <w:r w:rsidR="00942EA9" w:rsidRPr="00B22CA9">
        <w:rPr>
          <w:rFonts w:ascii="Times New Roman" w:hAnsi="Times New Roman" w:cs="Times New Roman"/>
          <w:sz w:val="24"/>
          <w:szCs w:val="24"/>
          <w:lang w:val="es-ES"/>
        </w:rPr>
        <w:t>una cuestión prejudicial al TJUE sobre la</w:t>
      </w:r>
      <w:r w:rsidR="00B267E6" w:rsidRPr="00B22CA9">
        <w:rPr>
          <w:rFonts w:ascii="Times New Roman" w:hAnsi="Times New Roman" w:cs="Times New Roman"/>
          <w:sz w:val="24"/>
          <w:szCs w:val="24"/>
          <w:lang w:val="es-ES"/>
        </w:rPr>
        <w:t xml:space="preserve"> adecuación de tal ley al principio de</w:t>
      </w:r>
      <w:r w:rsidR="00942EA9" w:rsidRPr="00B22CA9">
        <w:rPr>
          <w:rFonts w:ascii="Times New Roman" w:hAnsi="Times New Roman" w:cs="Times New Roman"/>
          <w:sz w:val="24"/>
          <w:szCs w:val="24"/>
          <w:lang w:val="es-ES"/>
        </w:rPr>
        <w:t xml:space="preserve"> independencia judicial</w:t>
      </w:r>
      <w:r w:rsidR="00B267E6" w:rsidRPr="00B22CA9">
        <w:rPr>
          <w:rFonts w:ascii="Times New Roman" w:hAnsi="Times New Roman" w:cs="Times New Roman"/>
          <w:sz w:val="24"/>
          <w:szCs w:val="24"/>
          <w:lang w:val="es-ES"/>
        </w:rPr>
        <w:t xml:space="preserve"> del artículo 19 TUE y sobre la interpretación de la </w:t>
      </w:r>
      <w:r w:rsidR="002C5B76" w:rsidRPr="00B22CA9">
        <w:rPr>
          <w:rFonts w:ascii="Times New Roman" w:hAnsi="Times New Roman" w:cs="Times New Roman"/>
          <w:sz w:val="24"/>
          <w:szCs w:val="24"/>
          <w:lang w:val="es-ES"/>
        </w:rPr>
        <w:t>directiva</w:t>
      </w:r>
      <w:r w:rsidR="00B267E6" w:rsidRPr="00B22CA9">
        <w:rPr>
          <w:rFonts w:ascii="Times New Roman" w:hAnsi="Times New Roman" w:cs="Times New Roman"/>
          <w:sz w:val="24"/>
          <w:szCs w:val="24"/>
          <w:lang w:val="es-ES"/>
        </w:rPr>
        <w:t xml:space="preserve"> 2000/78 que incluye la no discriminación por edad. El Supremo ha suspendido</w:t>
      </w:r>
      <w:r w:rsidR="00942EA9" w:rsidRPr="00B22CA9">
        <w:rPr>
          <w:rFonts w:ascii="Times New Roman" w:hAnsi="Times New Roman" w:cs="Times New Roman"/>
          <w:sz w:val="24"/>
          <w:szCs w:val="24"/>
          <w:lang w:val="es-ES"/>
        </w:rPr>
        <w:t xml:space="preserve"> la aplicación de la </w:t>
      </w:r>
      <w:r w:rsidR="009161AB" w:rsidRPr="00B22CA9">
        <w:rPr>
          <w:rFonts w:ascii="Times New Roman" w:hAnsi="Times New Roman" w:cs="Times New Roman"/>
          <w:sz w:val="24"/>
          <w:szCs w:val="24"/>
          <w:lang w:val="es-ES"/>
        </w:rPr>
        <w:t>ley (</w:t>
      </w:r>
      <w:proofErr w:type="spellStart"/>
      <w:r w:rsidR="009161AB" w:rsidRPr="00B22CA9">
        <w:rPr>
          <w:rFonts w:ascii="Times New Roman" w:hAnsi="Times New Roman" w:cs="Times New Roman"/>
          <w:sz w:val="24"/>
          <w:szCs w:val="24"/>
          <w:lang w:val="es-ES"/>
        </w:rPr>
        <w:t>Sikora</w:t>
      </w:r>
      <w:proofErr w:type="spellEnd"/>
      <w:r w:rsidR="009161AB" w:rsidRPr="00B22CA9">
        <w:rPr>
          <w:rFonts w:ascii="Times New Roman" w:hAnsi="Times New Roman" w:cs="Times New Roman"/>
          <w:sz w:val="24"/>
          <w:szCs w:val="24"/>
          <w:lang w:val="es-ES"/>
        </w:rPr>
        <w:t>, 2018)</w:t>
      </w:r>
      <w:r w:rsidR="00B267E6" w:rsidRPr="00B22CA9">
        <w:rPr>
          <w:rFonts w:ascii="Times New Roman" w:hAnsi="Times New Roman" w:cs="Times New Roman"/>
          <w:sz w:val="24"/>
          <w:szCs w:val="24"/>
          <w:lang w:val="es-ES"/>
        </w:rPr>
        <w:t>, adelantándose así</w:t>
      </w:r>
      <w:r w:rsidR="00A12452" w:rsidRPr="00B22CA9">
        <w:rPr>
          <w:rFonts w:ascii="Times New Roman" w:hAnsi="Times New Roman" w:cs="Times New Roman"/>
          <w:sz w:val="24"/>
          <w:szCs w:val="24"/>
          <w:lang w:val="es-ES"/>
        </w:rPr>
        <w:t xml:space="preserve"> a la posibilidad de</w:t>
      </w:r>
      <w:r w:rsidR="009161AB" w:rsidRPr="00B22CA9">
        <w:rPr>
          <w:rFonts w:ascii="Times New Roman" w:hAnsi="Times New Roman" w:cs="Times New Roman"/>
          <w:sz w:val="24"/>
          <w:szCs w:val="24"/>
          <w:lang w:val="es-ES"/>
        </w:rPr>
        <w:t xml:space="preserve"> que la Comisión solicite al juez europeo</w:t>
      </w:r>
      <w:r w:rsidR="00A12452" w:rsidRPr="00B22CA9">
        <w:rPr>
          <w:rFonts w:ascii="Times New Roman" w:hAnsi="Times New Roman" w:cs="Times New Roman"/>
          <w:sz w:val="24"/>
          <w:szCs w:val="24"/>
          <w:lang w:val="es-ES"/>
        </w:rPr>
        <w:t xml:space="preserve"> una medida cautelar suspensiva </w:t>
      </w:r>
      <w:r w:rsidR="009161AB" w:rsidRPr="00B22CA9">
        <w:rPr>
          <w:rFonts w:ascii="Times New Roman" w:hAnsi="Times New Roman" w:cs="Times New Roman"/>
          <w:sz w:val="24"/>
          <w:szCs w:val="24"/>
          <w:lang w:val="es-ES"/>
        </w:rPr>
        <w:t>de</w:t>
      </w:r>
      <w:r w:rsidR="00A12452" w:rsidRPr="00B22CA9">
        <w:rPr>
          <w:rFonts w:ascii="Times New Roman" w:hAnsi="Times New Roman" w:cs="Times New Roman"/>
          <w:sz w:val="24"/>
          <w:szCs w:val="24"/>
          <w:lang w:val="es-ES"/>
        </w:rPr>
        <w:t xml:space="preserve"> la</w:t>
      </w:r>
      <w:r w:rsidR="009161AB" w:rsidRPr="00B22CA9">
        <w:rPr>
          <w:rFonts w:ascii="Times New Roman" w:hAnsi="Times New Roman" w:cs="Times New Roman"/>
          <w:sz w:val="24"/>
          <w:szCs w:val="24"/>
          <w:lang w:val="es-ES"/>
        </w:rPr>
        <w:t xml:space="preserve"> misma</w:t>
      </w:r>
      <w:r w:rsidR="00A12452" w:rsidRPr="00B22CA9">
        <w:rPr>
          <w:rFonts w:ascii="Times New Roman" w:hAnsi="Times New Roman" w:cs="Times New Roman"/>
          <w:sz w:val="24"/>
          <w:szCs w:val="24"/>
          <w:lang w:val="es-ES"/>
        </w:rPr>
        <w:t xml:space="preserve"> ley cuando present</w:t>
      </w:r>
      <w:r w:rsidR="009161AB" w:rsidRPr="00B22CA9">
        <w:rPr>
          <w:rFonts w:ascii="Times New Roman" w:hAnsi="Times New Roman" w:cs="Times New Roman"/>
          <w:sz w:val="24"/>
          <w:szCs w:val="24"/>
          <w:lang w:val="es-ES"/>
        </w:rPr>
        <w:t>e</w:t>
      </w:r>
      <w:r w:rsidR="00A12452" w:rsidRPr="00B22CA9">
        <w:rPr>
          <w:rFonts w:ascii="Times New Roman" w:hAnsi="Times New Roman" w:cs="Times New Roman"/>
          <w:sz w:val="24"/>
          <w:szCs w:val="24"/>
          <w:lang w:val="es-ES"/>
        </w:rPr>
        <w:t xml:space="preserve"> la demanda de incumplimiento</w:t>
      </w:r>
      <w:r w:rsidR="00F85E52" w:rsidRPr="00B22CA9">
        <w:rPr>
          <w:rStyle w:val="Refdenotaalpie"/>
          <w:rFonts w:ascii="Times New Roman" w:hAnsi="Times New Roman" w:cs="Times New Roman"/>
          <w:sz w:val="24"/>
          <w:szCs w:val="24"/>
          <w:lang w:val="es-ES"/>
        </w:rPr>
        <w:footnoteReference w:id="50"/>
      </w:r>
      <w:r w:rsidR="009F2AD3" w:rsidRPr="00B22CA9">
        <w:rPr>
          <w:rFonts w:ascii="Times New Roman" w:hAnsi="Times New Roman" w:cs="Times New Roman"/>
          <w:sz w:val="24"/>
          <w:szCs w:val="24"/>
          <w:lang w:val="es-ES"/>
        </w:rPr>
        <w:t>.</w:t>
      </w:r>
      <w:r w:rsidR="003D083B" w:rsidRPr="00B22CA9">
        <w:rPr>
          <w:rFonts w:ascii="Times New Roman" w:hAnsi="Times New Roman" w:cs="Times New Roman"/>
          <w:sz w:val="24"/>
          <w:szCs w:val="24"/>
          <w:lang w:val="es-ES"/>
        </w:rPr>
        <w:t xml:space="preserve"> </w:t>
      </w:r>
    </w:p>
    <w:p w:rsidR="00993532" w:rsidRPr="00B22CA9" w:rsidRDefault="002436BA" w:rsidP="00993532">
      <w:pPr>
        <w:spacing w:line="240" w:lineRule="auto"/>
        <w:jc w:val="both"/>
        <w:rPr>
          <w:rFonts w:ascii="Times New Roman" w:hAnsi="Times New Roman" w:cs="Times New Roman"/>
          <w:sz w:val="24"/>
          <w:szCs w:val="24"/>
          <w:lang w:val="es-ES"/>
        </w:rPr>
      </w:pPr>
      <w:r w:rsidRPr="00B22CA9">
        <w:rPr>
          <w:rFonts w:ascii="Times New Roman" w:hAnsi="Times New Roman" w:cs="Times New Roman"/>
          <w:sz w:val="24"/>
          <w:szCs w:val="24"/>
          <w:lang w:val="es-ES"/>
        </w:rPr>
        <w:tab/>
      </w:r>
      <w:r w:rsidR="004933A8" w:rsidRPr="00B22CA9">
        <w:rPr>
          <w:rFonts w:ascii="Times New Roman" w:hAnsi="Times New Roman" w:cs="Times New Roman"/>
          <w:sz w:val="24"/>
          <w:szCs w:val="24"/>
          <w:lang w:val="es-ES"/>
        </w:rPr>
        <w:t>El pri</w:t>
      </w:r>
      <w:r w:rsidR="002B6B3C" w:rsidRPr="00B22CA9">
        <w:rPr>
          <w:rFonts w:ascii="Times New Roman" w:hAnsi="Times New Roman" w:cs="Times New Roman"/>
          <w:sz w:val="24"/>
          <w:szCs w:val="24"/>
          <w:lang w:val="es-ES"/>
        </w:rPr>
        <w:t>mer asunto</w:t>
      </w:r>
      <w:r w:rsidR="001D052A" w:rsidRPr="00B22CA9">
        <w:rPr>
          <w:rFonts w:ascii="Times New Roman" w:hAnsi="Times New Roman" w:cs="Times New Roman"/>
          <w:sz w:val="24"/>
          <w:szCs w:val="24"/>
          <w:lang w:val="es-ES"/>
        </w:rPr>
        <w:t>, sobre l</w:t>
      </w:r>
      <w:r w:rsidR="004D27A9" w:rsidRPr="00B22CA9">
        <w:rPr>
          <w:rFonts w:ascii="Times New Roman" w:hAnsi="Times New Roman" w:cs="Times New Roman"/>
          <w:sz w:val="24"/>
          <w:szCs w:val="24"/>
          <w:lang w:val="es-ES"/>
        </w:rPr>
        <w:t xml:space="preserve">a </w:t>
      </w:r>
      <w:r w:rsidR="00CB7AA6" w:rsidRPr="00B22CA9">
        <w:rPr>
          <w:rFonts w:ascii="Times New Roman" w:hAnsi="Times New Roman" w:cs="Times New Roman"/>
          <w:sz w:val="24"/>
          <w:szCs w:val="24"/>
          <w:lang w:val="es-ES"/>
        </w:rPr>
        <w:t>jubilación</w:t>
      </w:r>
      <w:r w:rsidR="004D27A9" w:rsidRPr="00B22CA9">
        <w:rPr>
          <w:rFonts w:ascii="Times New Roman" w:hAnsi="Times New Roman" w:cs="Times New Roman"/>
          <w:sz w:val="24"/>
          <w:szCs w:val="24"/>
          <w:lang w:val="es-ES"/>
        </w:rPr>
        <w:t xml:space="preserve"> de los</w:t>
      </w:r>
      <w:r w:rsidR="001D052A" w:rsidRPr="00B22CA9">
        <w:rPr>
          <w:rFonts w:ascii="Times New Roman" w:hAnsi="Times New Roman" w:cs="Times New Roman"/>
          <w:sz w:val="24"/>
          <w:szCs w:val="24"/>
          <w:lang w:val="es-ES"/>
        </w:rPr>
        <w:t xml:space="preserve"> jueces ordinarios, </w:t>
      </w:r>
      <w:r w:rsidR="004933A8" w:rsidRPr="00B22CA9">
        <w:rPr>
          <w:rFonts w:ascii="Times New Roman" w:hAnsi="Times New Roman" w:cs="Times New Roman"/>
          <w:sz w:val="24"/>
          <w:szCs w:val="24"/>
          <w:lang w:val="es-ES"/>
        </w:rPr>
        <w:t>se encuentra más avanzado</w:t>
      </w:r>
      <w:r w:rsidR="009161AB" w:rsidRPr="00B22CA9">
        <w:rPr>
          <w:rFonts w:ascii="Times New Roman" w:hAnsi="Times New Roman" w:cs="Times New Roman"/>
          <w:sz w:val="24"/>
          <w:szCs w:val="24"/>
          <w:lang w:val="es-ES"/>
        </w:rPr>
        <w:t xml:space="preserve"> y</w:t>
      </w:r>
      <w:r w:rsidR="002B6B3C" w:rsidRPr="00B22CA9">
        <w:rPr>
          <w:rFonts w:ascii="Times New Roman" w:hAnsi="Times New Roman" w:cs="Times New Roman"/>
          <w:sz w:val="24"/>
          <w:szCs w:val="24"/>
          <w:lang w:val="es-ES"/>
        </w:rPr>
        <w:t xml:space="preserve"> en manos del TJUE como asunto C-192/18</w:t>
      </w:r>
      <w:r w:rsidR="00994661" w:rsidRPr="00B22CA9">
        <w:rPr>
          <w:rFonts w:ascii="Times New Roman" w:hAnsi="Times New Roman" w:cs="Times New Roman"/>
          <w:sz w:val="24"/>
          <w:szCs w:val="24"/>
          <w:lang w:val="es-ES"/>
        </w:rPr>
        <w:t>.</w:t>
      </w:r>
      <w:r w:rsidR="0028113C" w:rsidRPr="00B22CA9">
        <w:rPr>
          <w:rFonts w:ascii="Times New Roman" w:hAnsi="Times New Roman" w:cs="Times New Roman"/>
          <w:sz w:val="24"/>
          <w:szCs w:val="24"/>
          <w:lang w:val="es-ES"/>
        </w:rPr>
        <w:t xml:space="preserve"> </w:t>
      </w:r>
      <w:r w:rsidR="00400C8E" w:rsidRPr="00B22CA9">
        <w:rPr>
          <w:rFonts w:ascii="Times New Roman" w:hAnsi="Times New Roman" w:cs="Times New Roman"/>
          <w:sz w:val="24"/>
          <w:szCs w:val="24"/>
          <w:lang w:val="es-ES"/>
        </w:rPr>
        <w:t>E</w:t>
      </w:r>
      <w:r w:rsidR="004D27A9" w:rsidRPr="00B22CA9">
        <w:rPr>
          <w:rFonts w:ascii="Times New Roman" w:hAnsi="Times New Roman" w:cs="Times New Roman"/>
          <w:sz w:val="24"/>
          <w:szCs w:val="24"/>
          <w:lang w:val="es-ES"/>
        </w:rPr>
        <w:t>l planteamiento de ambos es paralelo. L</w:t>
      </w:r>
      <w:r w:rsidR="003D1E4A" w:rsidRPr="00B22CA9">
        <w:rPr>
          <w:rFonts w:ascii="Times New Roman" w:hAnsi="Times New Roman" w:cs="Times New Roman"/>
          <w:sz w:val="24"/>
          <w:szCs w:val="24"/>
          <w:lang w:val="es-ES"/>
        </w:rPr>
        <w:t xml:space="preserve">a Comisión parte de </w:t>
      </w:r>
      <w:r w:rsidR="004933A8" w:rsidRPr="00B22CA9">
        <w:rPr>
          <w:rFonts w:ascii="Times New Roman" w:hAnsi="Times New Roman" w:cs="Times New Roman"/>
          <w:sz w:val="24"/>
          <w:szCs w:val="24"/>
          <w:lang w:val="es-ES"/>
        </w:rPr>
        <w:t>la discr</w:t>
      </w:r>
      <w:r w:rsidR="00525566" w:rsidRPr="00B22CA9">
        <w:rPr>
          <w:rFonts w:ascii="Times New Roman" w:hAnsi="Times New Roman" w:cs="Times New Roman"/>
          <w:sz w:val="24"/>
          <w:szCs w:val="24"/>
          <w:lang w:val="es-ES"/>
        </w:rPr>
        <w:t>iminación por razón de sexo</w:t>
      </w:r>
      <w:r w:rsidR="004933A8" w:rsidRPr="00B22CA9">
        <w:rPr>
          <w:rFonts w:ascii="Times New Roman" w:hAnsi="Times New Roman" w:cs="Times New Roman"/>
          <w:sz w:val="24"/>
          <w:szCs w:val="24"/>
          <w:lang w:val="es-ES"/>
        </w:rPr>
        <w:t xml:space="preserve">, </w:t>
      </w:r>
      <w:r w:rsidR="00400C8E" w:rsidRPr="00B22CA9">
        <w:rPr>
          <w:rFonts w:ascii="Times New Roman" w:hAnsi="Times New Roman" w:cs="Times New Roman"/>
          <w:sz w:val="24"/>
          <w:szCs w:val="24"/>
          <w:lang w:val="es-ES"/>
        </w:rPr>
        <w:t>a</w:t>
      </w:r>
      <w:r w:rsidR="003D1E4A" w:rsidRPr="00B22CA9">
        <w:rPr>
          <w:rFonts w:ascii="Times New Roman" w:hAnsi="Times New Roman" w:cs="Times New Roman"/>
          <w:sz w:val="24"/>
          <w:szCs w:val="24"/>
          <w:lang w:val="es-ES"/>
        </w:rPr>
        <w:t xml:space="preserve">l </w:t>
      </w:r>
      <w:r w:rsidR="00525566" w:rsidRPr="00B22CA9">
        <w:rPr>
          <w:rFonts w:ascii="Times New Roman" w:hAnsi="Times New Roman" w:cs="Times New Roman"/>
          <w:sz w:val="24"/>
          <w:szCs w:val="24"/>
          <w:lang w:val="es-ES"/>
        </w:rPr>
        <w:t>establecer</w:t>
      </w:r>
      <w:r w:rsidR="004D27A9" w:rsidRPr="00B22CA9">
        <w:rPr>
          <w:rFonts w:ascii="Times New Roman" w:hAnsi="Times New Roman" w:cs="Times New Roman"/>
          <w:sz w:val="24"/>
          <w:szCs w:val="24"/>
          <w:lang w:val="es-ES"/>
        </w:rPr>
        <w:t>se</w:t>
      </w:r>
      <w:r w:rsidR="00525566" w:rsidRPr="00B22CA9">
        <w:rPr>
          <w:rFonts w:ascii="Times New Roman" w:hAnsi="Times New Roman" w:cs="Times New Roman"/>
          <w:sz w:val="24"/>
          <w:szCs w:val="24"/>
          <w:lang w:val="es-ES"/>
        </w:rPr>
        <w:t xml:space="preserve"> una edad diferente para la jubilación de las juezas</w:t>
      </w:r>
      <w:r w:rsidR="0028113C" w:rsidRPr="00B22CA9">
        <w:rPr>
          <w:rFonts w:ascii="Times New Roman" w:hAnsi="Times New Roman" w:cs="Times New Roman"/>
          <w:sz w:val="24"/>
          <w:szCs w:val="24"/>
          <w:lang w:val="es-ES"/>
        </w:rPr>
        <w:t>, sesenta,</w:t>
      </w:r>
      <w:r w:rsidR="00525566" w:rsidRPr="00B22CA9">
        <w:rPr>
          <w:rFonts w:ascii="Times New Roman" w:hAnsi="Times New Roman" w:cs="Times New Roman"/>
          <w:sz w:val="24"/>
          <w:szCs w:val="24"/>
          <w:lang w:val="es-ES"/>
        </w:rPr>
        <w:t xml:space="preserve"> y de los jueces, </w:t>
      </w:r>
      <w:r w:rsidR="0028113C" w:rsidRPr="00B22CA9">
        <w:rPr>
          <w:rFonts w:ascii="Times New Roman" w:hAnsi="Times New Roman" w:cs="Times New Roman"/>
          <w:sz w:val="24"/>
          <w:szCs w:val="24"/>
          <w:lang w:val="es-ES"/>
        </w:rPr>
        <w:t>sesenta y cinco</w:t>
      </w:r>
      <w:r w:rsidR="004933A8" w:rsidRPr="00B22CA9">
        <w:rPr>
          <w:rFonts w:ascii="Times New Roman" w:hAnsi="Times New Roman" w:cs="Times New Roman"/>
          <w:sz w:val="24"/>
          <w:szCs w:val="24"/>
          <w:lang w:val="es-ES"/>
        </w:rPr>
        <w:t>. Afirma que</w:t>
      </w:r>
      <w:r w:rsidR="003D1E4A" w:rsidRPr="00B22CA9">
        <w:rPr>
          <w:rFonts w:ascii="Times New Roman" w:hAnsi="Times New Roman" w:cs="Times New Roman"/>
          <w:sz w:val="24"/>
          <w:szCs w:val="24"/>
          <w:lang w:val="es-ES"/>
        </w:rPr>
        <w:t xml:space="preserve"> la reforma del poder judicial contraviene el</w:t>
      </w:r>
      <w:r w:rsidR="00525566" w:rsidRPr="00B22CA9">
        <w:rPr>
          <w:rFonts w:ascii="Times New Roman" w:hAnsi="Times New Roman" w:cs="Times New Roman"/>
          <w:sz w:val="24"/>
          <w:szCs w:val="24"/>
          <w:lang w:val="es-ES"/>
        </w:rPr>
        <w:t xml:space="preserve"> artículo </w:t>
      </w:r>
      <w:r w:rsidR="00D232F4" w:rsidRPr="00B22CA9">
        <w:rPr>
          <w:rFonts w:ascii="Times New Roman" w:hAnsi="Times New Roman" w:cs="Times New Roman"/>
          <w:sz w:val="24"/>
          <w:szCs w:val="24"/>
          <w:lang w:val="es-ES"/>
        </w:rPr>
        <w:t xml:space="preserve">157 </w:t>
      </w:r>
      <w:r w:rsidR="002C5B76" w:rsidRPr="00B22CA9">
        <w:rPr>
          <w:rFonts w:ascii="Times New Roman" w:hAnsi="Times New Roman" w:cs="Times New Roman"/>
          <w:sz w:val="24"/>
          <w:szCs w:val="24"/>
          <w:lang w:val="es-ES"/>
        </w:rPr>
        <w:t>TFUE y la d</w:t>
      </w:r>
      <w:r w:rsidR="00525566" w:rsidRPr="00B22CA9">
        <w:rPr>
          <w:rFonts w:ascii="Times New Roman" w:hAnsi="Times New Roman" w:cs="Times New Roman"/>
          <w:sz w:val="24"/>
          <w:szCs w:val="24"/>
          <w:lang w:val="es-ES"/>
        </w:rPr>
        <w:t xml:space="preserve">irectiva </w:t>
      </w:r>
      <w:r w:rsidR="00D232F4" w:rsidRPr="00B22CA9">
        <w:rPr>
          <w:rFonts w:ascii="Times New Roman" w:hAnsi="Times New Roman" w:cs="Times New Roman"/>
          <w:sz w:val="24"/>
          <w:szCs w:val="24"/>
          <w:lang w:val="es-ES"/>
        </w:rPr>
        <w:t>2006/54</w:t>
      </w:r>
      <w:r w:rsidR="00525566" w:rsidRPr="00B22CA9">
        <w:rPr>
          <w:rFonts w:ascii="Times New Roman" w:hAnsi="Times New Roman" w:cs="Times New Roman"/>
          <w:sz w:val="24"/>
          <w:szCs w:val="24"/>
          <w:lang w:val="es-ES"/>
        </w:rPr>
        <w:t xml:space="preserve">/CE sobre igualdad de género en materia laboral. </w:t>
      </w:r>
      <w:r w:rsidR="004933A8" w:rsidRPr="00B22CA9">
        <w:rPr>
          <w:rFonts w:ascii="Times New Roman" w:hAnsi="Times New Roman" w:cs="Times New Roman"/>
          <w:sz w:val="24"/>
          <w:szCs w:val="24"/>
          <w:lang w:val="es-ES"/>
        </w:rPr>
        <w:t>L</w:t>
      </w:r>
      <w:r w:rsidR="003D1E4A" w:rsidRPr="00B22CA9">
        <w:rPr>
          <w:rFonts w:ascii="Times New Roman" w:hAnsi="Times New Roman" w:cs="Times New Roman"/>
          <w:sz w:val="24"/>
          <w:szCs w:val="24"/>
          <w:lang w:val="es-ES"/>
        </w:rPr>
        <w:t xml:space="preserve">a demanda </w:t>
      </w:r>
      <w:r w:rsidR="004933A8" w:rsidRPr="00B22CA9">
        <w:rPr>
          <w:rFonts w:ascii="Times New Roman" w:hAnsi="Times New Roman" w:cs="Times New Roman"/>
          <w:sz w:val="24"/>
          <w:szCs w:val="24"/>
          <w:lang w:val="es-ES"/>
        </w:rPr>
        <w:t xml:space="preserve">se ancla de forma evidente </w:t>
      </w:r>
      <w:r w:rsidR="003D1E4A" w:rsidRPr="00B22CA9">
        <w:rPr>
          <w:rFonts w:ascii="Times New Roman" w:hAnsi="Times New Roman" w:cs="Times New Roman"/>
          <w:sz w:val="24"/>
          <w:szCs w:val="24"/>
          <w:lang w:val="es-ES"/>
        </w:rPr>
        <w:t xml:space="preserve">en el ámbito de efectividad del derecho de la Unión </w:t>
      </w:r>
      <w:r w:rsidR="004933A8" w:rsidRPr="00B22CA9">
        <w:rPr>
          <w:rFonts w:ascii="Times New Roman" w:hAnsi="Times New Roman" w:cs="Times New Roman"/>
          <w:sz w:val="24"/>
          <w:szCs w:val="24"/>
          <w:lang w:val="es-ES"/>
        </w:rPr>
        <w:t xml:space="preserve">y es </w:t>
      </w:r>
      <w:r w:rsidR="003D1E4A" w:rsidRPr="00B22CA9">
        <w:rPr>
          <w:rFonts w:ascii="Times New Roman" w:hAnsi="Times New Roman" w:cs="Times New Roman"/>
          <w:sz w:val="24"/>
          <w:szCs w:val="24"/>
          <w:lang w:val="es-ES"/>
        </w:rPr>
        <w:t>conforme al artículo 51 de la Carta</w:t>
      </w:r>
      <w:r w:rsidR="004933A8" w:rsidRPr="00B22CA9">
        <w:rPr>
          <w:rFonts w:ascii="Times New Roman" w:hAnsi="Times New Roman" w:cs="Times New Roman"/>
          <w:sz w:val="24"/>
          <w:szCs w:val="24"/>
          <w:lang w:val="es-ES"/>
        </w:rPr>
        <w:t>, pero l</w:t>
      </w:r>
      <w:r w:rsidRPr="00B22CA9">
        <w:rPr>
          <w:rFonts w:ascii="Times New Roman" w:hAnsi="Times New Roman" w:cs="Times New Roman"/>
          <w:sz w:val="24"/>
          <w:szCs w:val="24"/>
          <w:lang w:val="es-ES"/>
        </w:rPr>
        <w:t xml:space="preserve">a conexión </w:t>
      </w:r>
      <w:r w:rsidR="00BD560F" w:rsidRPr="00B22CA9">
        <w:rPr>
          <w:rFonts w:ascii="Times New Roman" w:hAnsi="Times New Roman" w:cs="Times New Roman"/>
          <w:sz w:val="24"/>
          <w:szCs w:val="24"/>
          <w:lang w:val="es-ES"/>
        </w:rPr>
        <w:t>con los derechos fundamentales</w:t>
      </w:r>
      <w:r w:rsidR="004933A8" w:rsidRPr="00B22CA9">
        <w:rPr>
          <w:rFonts w:ascii="Times New Roman" w:hAnsi="Times New Roman" w:cs="Times New Roman"/>
          <w:sz w:val="24"/>
          <w:szCs w:val="24"/>
          <w:lang w:val="es-ES"/>
        </w:rPr>
        <w:t xml:space="preserve"> </w:t>
      </w:r>
      <w:r w:rsidR="004D27A9" w:rsidRPr="00B22CA9">
        <w:rPr>
          <w:rFonts w:ascii="Times New Roman" w:hAnsi="Times New Roman" w:cs="Times New Roman"/>
          <w:sz w:val="24"/>
          <w:szCs w:val="24"/>
          <w:lang w:val="es-ES"/>
        </w:rPr>
        <w:t xml:space="preserve">que concierne a la Comisión </w:t>
      </w:r>
      <w:r w:rsidR="004933A8" w:rsidRPr="00B22CA9">
        <w:rPr>
          <w:rFonts w:ascii="Times New Roman" w:hAnsi="Times New Roman" w:cs="Times New Roman"/>
          <w:sz w:val="24"/>
          <w:szCs w:val="24"/>
          <w:lang w:val="es-ES"/>
        </w:rPr>
        <w:t xml:space="preserve">no se </w:t>
      </w:r>
      <w:r w:rsidR="004D27A9" w:rsidRPr="00B22CA9">
        <w:rPr>
          <w:rFonts w:ascii="Times New Roman" w:hAnsi="Times New Roman" w:cs="Times New Roman"/>
          <w:sz w:val="24"/>
          <w:szCs w:val="24"/>
          <w:lang w:val="es-ES"/>
        </w:rPr>
        <w:t>focaliza en</w:t>
      </w:r>
      <w:r w:rsidR="004933A8" w:rsidRPr="00B22CA9">
        <w:rPr>
          <w:rFonts w:ascii="Times New Roman" w:hAnsi="Times New Roman" w:cs="Times New Roman"/>
          <w:sz w:val="24"/>
          <w:szCs w:val="24"/>
          <w:lang w:val="es-ES"/>
        </w:rPr>
        <w:t xml:space="preserve"> la igualdad, sino </w:t>
      </w:r>
      <w:r w:rsidR="004D27A9" w:rsidRPr="00B22CA9">
        <w:rPr>
          <w:rFonts w:ascii="Times New Roman" w:hAnsi="Times New Roman" w:cs="Times New Roman"/>
          <w:sz w:val="24"/>
          <w:szCs w:val="24"/>
          <w:lang w:val="es-ES"/>
        </w:rPr>
        <w:t>en</w:t>
      </w:r>
      <w:r w:rsidR="004933A8" w:rsidRPr="00B22CA9">
        <w:rPr>
          <w:rFonts w:ascii="Times New Roman" w:hAnsi="Times New Roman" w:cs="Times New Roman"/>
          <w:sz w:val="24"/>
          <w:szCs w:val="24"/>
          <w:lang w:val="es-ES"/>
        </w:rPr>
        <w:t xml:space="preserve"> la tutela judicial efectiva. Esa conexión se </w:t>
      </w:r>
      <w:r w:rsidR="00BD560F" w:rsidRPr="00B22CA9">
        <w:rPr>
          <w:rFonts w:ascii="Times New Roman" w:hAnsi="Times New Roman" w:cs="Times New Roman"/>
          <w:sz w:val="24"/>
          <w:szCs w:val="24"/>
          <w:lang w:val="es-ES"/>
        </w:rPr>
        <w:t>formula de forma</w:t>
      </w:r>
      <w:r w:rsidR="004933A8" w:rsidRPr="00B22CA9">
        <w:rPr>
          <w:rFonts w:ascii="Times New Roman" w:hAnsi="Times New Roman" w:cs="Times New Roman"/>
          <w:sz w:val="24"/>
          <w:szCs w:val="24"/>
          <w:lang w:val="es-ES"/>
        </w:rPr>
        <w:t xml:space="preserve"> </w:t>
      </w:r>
      <w:r w:rsidR="0028113C" w:rsidRPr="00B22CA9">
        <w:rPr>
          <w:rFonts w:ascii="Times New Roman" w:hAnsi="Times New Roman" w:cs="Times New Roman"/>
          <w:sz w:val="24"/>
          <w:szCs w:val="24"/>
          <w:lang w:val="es-ES"/>
        </w:rPr>
        <w:t>abstracta</w:t>
      </w:r>
      <w:r w:rsidR="004933A8" w:rsidRPr="00B22CA9">
        <w:rPr>
          <w:rFonts w:ascii="Times New Roman" w:hAnsi="Times New Roman" w:cs="Times New Roman"/>
          <w:sz w:val="24"/>
          <w:szCs w:val="24"/>
          <w:lang w:val="es-ES"/>
        </w:rPr>
        <w:t xml:space="preserve">: </w:t>
      </w:r>
      <w:r w:rsidR="00994661" w:rsidRPr="00B22CA9">
        <w:rPr>
          <w:rFonts w:ascii="Times New Roman" w:hAnsi="Times New Roman" w:cs="Times New Roman"/>
          <w:sz w:val="24"/>
          <w:szCs w:val="24"/>
          <w:lang w:val="es-ES"/>
        </w:rPr>
        <w:t>cuando</w:t>
      </w:r>
      <w:r w:rsidR="00607C3E" w:rsidRPr="00B22CA9">
        <w:rPr>
          <w:rFonts w:ascii="Times New Roman" w:hAnsi="Times New Roman" w:cs="Times New Roman"/>
          <w:sz w:val="24"/>
          <w:szCs w:val="24"/>
          <w:lang w:val="es-ES"/>
        </w:rPr>
        <w:t xml:space="preserve"> la ley</w:t>
      </w:r>
      <w:r w:rsidR="007B18B5" w:rsidRPr="00B22CA9">
        <w:rPr>
          <w:rFonts w:ascii="Times New Roman" w:hAnsi="Times New Roman" w:cs="Times New Roman"/>
          <w:sz w:val="24"/>
          <w:szCs w:val="24"/>
          <w:lang w:val="es-ES"/>
        </w:rPr>
        <w:t xml:space="preserve"> da al ministro de justicia la facultad de prolongar el mandato de los jueces que alcancen la edad de jubilación</w:t>
      </w:r>
      <w:r w:rsidR="00607C3E" w:rsidRPr="00B22CA9">
        <w:rPr>
          <w:rFonts w:ascii="Times New Roman" w:hAnsi="Times New Roman" w:cs="Times New Roman"/>
          <w:sz w:val="24"/>
          <w:szCs w:val="24"/>
          <w:lang w:val="es-ES"/>
        </w:rPr>
        <w:t xml:space="preserve">, se ataca la independencia del poder judicial y </w:t>
      </w:r>
      <w:r w:rsidR="0028113C" w:rsidRPr="00B22CA9">
        <w:rPr>
          <w:rFonts w:ascii="Times New Roman" w:hAnsi="Times New Roman" w:cs="Times New Roman"/>
          <w:sz w:val="24"/>
          <w:szCs w:val="24"/>
          <w:lang w:val="es-ES"/>
        </w:rPr>
        <w:t>se afecta a</w:t>
      </w:r>
      <w:r w:rsidR="007B18B5" w:rsidRPr="00B22CA9">
        <w:rPr>
          <w:rFonts w:ascii="Times New Roman" w:hAnsi="Times New Roman" w:cs="Times New Roman"/>
          <w:sz w:val="24"/>
          <w:szCs w:val="24"/>
          <w:lang w:val="es-ES"/>
        </w:rPr>
        <w:t>l derecho a la tutela judicial efectiva establecido en el artículo 47 de la Carta</w:t>
      </w:r>
      <w:r w:rsidR="004933A8" w:rsidRPr="00B22CA9">
        <w:rPr>
          <w:rFonts w:ascii="Times New Roman" w:hAnsi="Times New Roman" w:cs="Times New Roman"/>
          <w:sz w:val="24"/>
          <w:szCs w:val="24"/>
          <w:lang w:val="es-ES"/>
        </w:rPr>
        <w:t>. El conflicto está en la dimensió</w:t>
      </w:r>
      <w:r w:rsidRPr="00B22CA9">
        <w:rPr>
          <w:rFonts w:ascii="Times New Roman" w:hAnsi="Times New Roman" w:cs="Times New Roman"/>
          <w:sz w:val="24"/>
          <w:szCs w:val="24"/>
          <w:lang w:val="es-ES"/>
        </w:rPr>
        <w:t>n objetiva de</w:t>
      </w:r>
      <w:r w:rsidR="004933A8" w:rsidRPr="00B22CA9">
        <w:rPr>
          <w:rFonts w:ascii="Times New Roman" w:hAnsi="Times New Roman" w:cs="Times New Roman"/>
          <w:sz w:val="24"/>
          <w:szCs w:val="24"/>
          <w:lang w:val="es-ES"/>
        </w:rPr>
        <w:t>l</w:t>
      </w:r>
      <w:r w:rsidRPr="00B22CA9">
        <w:rPr>
          <w:rFonts w:ascii="Times New Roman" w:hAnsi="Times New Roman" w:cs="Times New Roman"/>
          <w:sz w:val="24"/>
          <w:szCs w:val="24"/>
          <w:lang w:val="es-ES"/>
        </w:rPr>
        <w:t xml:space="preserve"> derecho: al manipular la composición de la judicatura, afectando a la independencia de sus integrantes, los derechos de tutela de los ciudadanos estarían en peligro</w:t>
      </w:r>
      <w:r w:rsidR="00135A00" w:rsidRPr="00B22CA9">
        <w:rPr>
          <w:rFonts w:ascii="Times New Roman" w:hAnsi="Times New Roman" w:cs="Times New Roman"/>
          <w:sz w:val="24"/>
          <w:szCs w:val="24"/>
          <w:lang w:val="es-ES"/>
        </w:rPr>
        <w:t xml:space="preserve"> y, con ello, la efectividad general del </w:t>
      </w:r>
      <w:r w:rsidR="002377A5" w:rsidRPr="00B22CA9">
        <w:rPr>
          <w:rFonts w:ascii="Times New Roman" w:hAnsi="Times New Roman" w:cs="Times New Roman"/>
          <w:sz w:val="24"/>
          <w:szCs w:val="24"/>
          <w:lang w:val="es-ES"/>
        </w:rPr>
        <w:t>d</w:t>
      </w:r>
      <w:r w:rsidR="00135A00" w:rsidRPr="00B22CA9">
        <w:rPr>
          <w:rFonts w:ascii="Times New Roman" w:hAnsi="Times New Roman" w:cs="Times New Roman"/>
          <w:sz w:val="24"/>
          <w:szCs w:val="24"/>
          <w:lang w:val="es-ES"/>
        </w:rPr>
        <w:t xml:space="preserve">erecho </w:t>
      </w:r>
      <w:r w:rsidR="002377A5" w:rsidRPr="00B22CA9">
        <w:rPr>
          <w:rFonts w:ascii="Times New Roman" w:hAnsi="Times New Roman" w:cs="Times New Roman"/>
          <w:sz w:val="24"/>
          <w:szCs w:val="24"/>
          <w:lang w:val="es-ES"/>
        </w:rPr>
        <w:t>de la Unión</w:t>
      </w:r>
      <w:r w:rsidR="00135A00" w:rsidRPr="00B22CA9">
        <w:rPr>
          <w:rFonts w:ascii="Times New Roman" w:hAnsi="Times New Roman" w:cs="Times New Roman"/>
          <w:sz w:val="24"/>
          <w:szCs w:val="24"/>
          <w:lang w:val="es-ES"/>
        </w:rPr>
        <w:t xml:space="preserve"> que descansa, en primera instancia, en la acción de las jurisdicciones </w:t>
      </w:r>
      <w:r w:rsidR="00135A00" w:rsidRPr="00B22CA9">
        <w:rPr>
          <w:rFonts w:ascii="Times New Roman" w:hAnsi="Times New Roman" w:cs="Times New Roman"/>
          <w:sz w:val="24"/>
          <w:szCs w:val="24"/>
          <w:lang w:val="es-ES"/>
        </w:rPr>
        <w:lastRenderedPageBreak/>
        <w:t>estatales</w:t>
      </w:r>
      <w:r w:rsidRPr="00B22CA9">
        <w:rPr>
          <w:rFonts w:ascii="Times New Roman" w:hAnsi="Times New Roman" w:cs="Times New Roman"/>
          <w:sz w:val="24"/>
          <w:szCs w:val="24"/>
          <w:lang w:val="es-ES"/>
        </w:rPr>
        <w:t>.</w:t>
      </w:r>
      <w:r w:rsidR="004933A8" w:rsidRPr="00B22CA9">
        <w:rPr>
          <w:rFonts w:ascii="Times New Roman" w:hAnsi="Times New Roman" w:cs="Times New Roman"/>
          <w:sz w:val="24"/>
          <w:szCs w:val="24"/>
          <w:lang w:val="es-ES"/>
        </w:rPr>
        <w:t xml:space="preserve"> </w:t>
      </w:r>
      <w:r w:rsidR="00607C3E" w:rsidRPr="00B22CA9">
        <w:rPr>
          <w:rFonts w:ascii="Times New Roman" w:hAnsi="Times New Roman" w:cs="Times New Roman"/>
          <w:sz w:val="24"/>
          <w:szCs w:val="24"/>
          <w:lang w:val="es-ES"/>
        </w:rPr>
        <w:t>Se invoca entonces</w:t>
      </w:r>
      <w:r w:rsidR="004933A8" w:rsidRPr="00B22CA9">
        <w:rPr>
          <w:rFonts w:ascii="Times New Roman" w:hAnsi="Times New Roman" w:cs="Times New Roman"/>
          <w:sz w:val="24"/>
          <w:szCs w:val="24"/>
          <w:lang w:val="es-ES"/>
        </w:rPr>
        <w:t xml:space="preserve"> una norma de principio del TUE, recogid</w:t>
      </w:r>
      <w:r w:rsidR="00607C3E" w:rsidRPr="00B22CA9">
        <w:rPr>
          <w:rFonts w:ascii="Times New Roman" w:hAnsi="Times New Roman" w:cs="Times New Roman"/>
          <w:sz w:val="24"/>
          <w:szCs w:val="24"/>
          <w:lang w:val="es-ES"/>
        </w:rPr>
        <w:t>a</w:t>
      </w:r>
      <w:r w:rsidR="004933A8" w:rsidRPr="00B22CA9">
        <w:rPr>
          <w:rFonts w:ascii="Times New Roman" w:hAnsi="Times New Roman" w:cs="Times New Roman"/>
          <w:sz w:val="24"/>
          <w:szCs w:val="24"/>
          <w:lang w:val="es-ES"/>
        </w:rPr>
        <w:t xml:space="preserve"> en el artículo 19, sobre la obligación de los Estados miembros de establecer las vías de recurso necesarias para garantizar la tutela judicial efectiva en los ámbitos cubiertos por el derecho de la Unión.</w:t>
      </w:r>
      <w:r w:rsidRPr="00B22CA9">
        <w:rPr>
          <w:rFonts w:ascii="Times New Roman" w:hAnsi="Times New Roman" w:cs="Times New Roman"/>
          <w:sz w:val="24"/>
          <w:szCs w:val="24"/>
          <w:lang w:val="es-ES"/>
        </w:rPr>
        <w:t xml:space="preserve"> </w:t>
      </w:r>
    </w:p>
    <w:p w:rsidR="00AC6314" w:rsidRPr="00B22CA9" w:rsidRDefault="00993532" w:rsidP="007F11DF">
      <w:pPr>
        <w:spacing w:line="240" w:lineRule="auto"/>
        <w:jc w:val="both"/>
        <w:rPr>
          <w:rFonts w:ascii="Times New Roman" w:hAnsi="Times New Roman" w:cs="Times New Roman"/>
          <w:sz w:val="24"/>
          <w:szCs w:val="24"/>
          <w:lang w:val="es-ES"/>
        </w:rPr>
      </w:pPr>
      <w:r w:rsidRPr="00B22CA9">
        <w:rPr>
          <w:rFonts w:ascii="Times New Roman" w:hAnsi="Times New Roman" w:cs="Times New Roman"/>
          <w:sz w:val="24"/>
          <w:szCs w:val="24"/>
          <w:lang w:val="es-ES"/>
        </w:rPr>
        <w:tab/>
      </w:r>
      <w:r w:rsidR="00400C8E" w:rsidRPr="00B22CA9">
        <w:rPr>
          <w:rFonts w:ascii="Times New Roman" w:hAnsi="Times New Roman" w:cs="Times New Roman"/>
          <w:sz w:val="24"/>
          <w:szCs w:val="24"/>
          <w:lang w:val="es-ES"/>
        </w:rPr>
        <w:t>E</w:t>
      </w:r>
      <w:r w:rsidR="004933A8" w:rsidRPr="00B22CA9">
        <w:rPr>
          <w:rFonts w:ascii="Times New Roman" w:hAnsi="Times New Roman" w:cs="Times New Roman"/>
          <w:sz w:val="24"/>
          <w:szCs w:val="24"/>
          <w:lang w:val="es-ES"/>
        </w:rPr>
        <w:t xml:space="preserve">ste </w:t>
      </w:r>
      <w:r w:rsidR="00400C8E" w:rsidRPr="00B22CA9">
        <w:rPr>
          <w:rFonts w:ascii="Times New Roman" w:hAnsi="Times New Roman" w:cs="Times New Roman"/>
          <w:sz w:val="24"/>
          <w:szCs w:val="24"/>
          <w:lang w:val="es-ES"/>
        </w:rPr>
        <w:t xml:space="preserve">planteamiento es deudor de </w:t>
      </w:r>
      <w:r w:rsidR="004933A8" w:rsidRPr="00B22CA9">
        <w:rPr>
          <w:rFonts w:ascii="Times New Roman" w:hAnsi="Times New Roman" w:cs="Times New Roman"/>
          <w:sz w:val="24"/>
          <w:szCs w:val="24"/>
          <w:lang w:val="es-ES"/>
        </w:rPr>
        <w:t>ciertos</w:t>
      </w:r>
      <w:r w:rsidR="00AC6314" w:rsidRPr="00B22CA9">
        <w:rPr>
          <w:rFonts w:ascii="Times New Roman" w:hAnsi="Times New Roman" w:cs="Times New Roman"/>
          <w:sz w:val="24"/>
          <w:szCs w:val="24"/>
          <w:lang w:val="es-ES"/>
        </w:rPr>
        <w:t xml:space="preserve"> precedentes jurisprudenciales que una senda</w:t>
      </w:r>
      <w:r w:rsidR="004933A8" w:rsidRPr="00B22CA9">
        <w:rPr>
          <w:rFonts w:ascii="Times New Roman" w:hAnsi="Times New Roman" w:cs="Times New Roman"/>
          <w:sz w:val="24"/>
          <w:szCs w:val="24"/>
          <w:lang w:val="es-ES"/>
        </w:rPr>
        <w:t xml:space="preserve"> </w:t>
      </w:r>
      <w:r w:rsidR="00607C3E" w:rsidRPr="00B22CA9">
        <w:rPr>
          <w:rFonts w:ascii="Times New Roman" w:hAnsi="Times New Roman" w:cs="Times New Roman"/>
          <w:sz w:val="24"/>
          <w:szCs w:val="24"/>
          <w:lang w:val="es-ES"/>
        </w:rPr>
        <w:t xml:space="preserve">para </w:t>
      </w:r>
      <w:r w:rsidR="004933A8" w:rsidRPr="00B22CA9">
        <w:rPr>
          <w:rFonts w:ascii="Times New Roman" w:hAnsi="Times New Roman" w:cs="Times New Roman"/>
          <w:sz w:val="24"/>
          <w:szCs w:val="24"/>
          <w:lang w:val="es-ES"/>
        </w:rPr>
        <w:t>obtener</w:t>
      </w:r>
      <w:r w:rsidR="00AC6314" w:rsidRPr="00B22CA9">
        <w:rPr>
          <w:rFonts w:ascii="Times New Roman" w:hAnsi="Times New Roman" w:cs="Times New Roman"/>
          <w:sz w:val="24"/>
          <w:szCs w:val="24"/>
          <w:lang w:val="es-ES"/>
        </w:rPr>
        <w:t xml:space="preserve"> un pronunciamiento del Tribunal </w:t>
      </w:r>
      <w:r w:rsidR="00400C8E" w:rsidRPr="00B22CA9">
        <w:rPr>
          <w:rFonts w:ascii="Times New Roman" w:hAnsi="Times New Roman" w:cs="Times New Roman"/>
          <w:sz w:val="24"/>
          <w:szCs w:val="24"/>
          <w:lang w:val="es-ES"/>
        </w:rPr>
        <w:t>afirmando</w:t>
      </w:r>
      <w:r w:rsidR="00AC6314" w:rsidRPr="00B22CA9">
        <w:rPr>
          <w:rFonts w:ascii="Times New Roman" w:hAnsi="Times New Roman" w:cs="Times New Roman"/>
          <w:sz w:val="24"/>
          <w:szCs w:val="24"/>
          <w:lang w:val="es-ES"/>
        </w:rPr>
        <w:t xml:space="preserve"> </w:t>
      </w:r>
      <w:r w:rsidR="00400C8E" w:rsidRPr="00B22CA9">
        <w:rPr>
          <w:rFonts w:ascii="Times New Roman" w:hAnsi="Times New Roman" w:cs="Times New Roman"/>
          <w:sz w:val="24"/>
          <w:szCs w:val="24"/>
          <w:lang w:val="es-ES"/>
        </w:rPr>
        <w:t>que existe</w:t>
      </w:r>
      <w:r w:rsidR="00AC6314" w:rsidRPr="00B22CA9">
        <w:rPr>
          <w:rFonts w:ascii="Times New Roman" w:hAnsi="Times New Roman" w:cs="Times New Roman"/>
          <w:sz w:val="24"/>
          <w:szCs w:val="24"/>
          <w:lang w:val="es-ES"/>
        </w:rPr>
        <w:t xml:space="preserve"> infracción del derecho a la tutela judicial efectiva</w:t>
      </w:r>
      <w:r w:rsidR="002436BA" w:rsidRPr="00B22CA9">
        <w:rPr>
          <w:rFonts w:ascii="Times New Roman" w:hAnsi="Times New Roman" w:cs="Times New Roman"/>
          <w:sz w:val="24"/>
          <w:szCs w:val="24"/>
          <w:lang w:val="es-ES"/>
        </w:rPr>
        <w:t>.</w:t>
      </w:r>
      <w:r w:rsidR="00153DB7" w:rsidRPr="00B22CA9">
        <w:rPr>
          <w:rFonts w:ascii="Times New Roman" w:hAnsi="Times New Roman" w:cs="Times New Roman"/>
          <w:sz w:val="24"/>
          <w:szCs w:val="24"/>
          <w:lang w:val="es-ES"/>
        </w:rPr>
        <w:t xml:space="preserve"> </w:t>
      </w:r>
      <w:r w:rsidR="00AC6314" w:rsidRPr="00B22CA9">
        <w:rPr>
          <w:rFonts w:ascii="Times New Roman" w:hAnsi="Times New Roman" w:cs="Times New Roman"/>
          <w:sz w:val="24"/>
          <w:szCs w:val="24"/>
          <w:lang w:val="es-ES"/>
        </w:rPr>
        <w:t>El primer precedente e</w:t>
      </w:r>
      <w:r w:rsidR="002436BA" w:rsidRPr="00B22CA9">
        <w:rPr>
          <w:rFonts w:ascii="Times New Roman" w:hAnsi="Times New Roman" w:cs="Times New Roman"/>
          <w:sz w:val="24"/>
          <w:szCs w:val="24"/>
          <w:lang w:val="es-ES"/>
        </w:rPr>
        <w:t>s</w:t>
      </w:r>
      <w:r w:rsidR="00153DB7" w:rsidRPr="00B22CA9">
        <w:rPr>
          <w:rFonts w:ascii="Times New Roman" w:hAnsi="Times New Roman" w:cs="Times New Roman"/>
          <w:sz w:val="24"/>
          <w:szCs w:val="24"/>
          <w:lang w:val="es-ES"/>
        </w:rPr>
        <w:t xml:space="preserve"> la sentencia por incumplimiento </w:t>
      </w:r>
      <w:r w:rsidR="008B1F58" w:rsidRPr="00B22CA9">
        <w:rPr>
          <w:rFonts w:ascii="Times New Roman" w:hAnsi="Times New Roman" w:cs="Times New Roman"/>
          <w:sz w:val="24"/>
          <w:szCs w:val="24"/>
          <w:lang w:val="es-ES"/>
        </w:rPr>
        <w:t>d</w:t>
      </w:r>
      <w:r w:rsidR="00153DB7" w:rsidRPr="00B22CA9">
        <w:rPr>
          <w:rFonts w:ascii="Times New Roman" w:hAnsi="Times New Roman" w:cs="Times New Roman"/>
          <w:sz w:val="24"/>
          <w:szCs w:val="24"/>
          <w:lang w:val="es-ES"/>
        </w:rPr>
        <w:t xml:space="preserve">el asunto C-286/12, </w:t>
      </w:r>
      <w:r w:rsidR="00153DB7" w:rsidRPr="00B22CA9">
        <w:rPr>
          <w:rFonts w:ascii="Times New Roman" w:hAnsi="Times New Roman" w:cs="Times New Roman"/>
          <w:i/>
          <w:sz w:val="24"/>
          <w:szCs w:val="24"/>
          <w:lang w:val="es-ES"/>
        </w:rPr>
        <w:t>Comisión</w:t>
      </w:r>
      <w:r w:rsidR="00B90759" w:rsidRPr="00B22CA9">
        <w:rPr>
          <w:rFonts w:ascii="Times New Roman" w:hAnsi="Times New Roman" w:cs="Times New Roman"/>
          <w:i/>
          <w:sz w:val="24"/>
          <w:szCs w:val="24"/>
          <w:lang w:val="es-ES"/>
        </w:rPr>
        <w:t>/</w:t>
      </w:r>
      <w:r w:rsidR="00153DB7" w:rsidRPr="00B22CA9">
        <w:rPr>
          <w:rFonts w:ascii="Times New Roman" w:hAnsi="Times New Roman" w:cs="Times New Roman"/>
          <w:i/>
          <w:sz w:val="24"/>
          <w:szCs w:val="24"/>
          <w:lang w:val="es-ES"/>
        </w:rPr>
        <w:t>Hungría</w:t>
      </w:r>
      <w:r w:rsidR="00C464B3" w:rsidRPr="00B22CA9">
        <w:rPr>
          <w:rStyle w:val="Refdenotaalpie"/>
          <w:rFonts w:ascii="Times New Roman" w:hAnsi="Times New Roman" w:cs="Times New Roman"/>
          <w:i/>
          <w:sz w:val="24"/>
          <w:szCs w:val="24"/>
          <w:lang w:val="es-ES"/>
        </w:rPr>
        <w:footnoteReference w:id="51"/>
      </w:r>
      <w:r w:rsidR="00B05B8B" w:rsidRPr="00B22CA9">
        <w:rPr>
          <w:rFonts w:ascii="Times New Roman" w:hAnsi="Times New Roman" w:cs="Times New Roman"/>
          <w:sz w:val="24"/>
          <w:szCs w:val="24"/>
          <w:lang w:val="es-ES"/>
        </w:rPr>
        <w:t xml:space="preserve">, donde se </w:t>
      </w:r>
      <w:r w:rsidR="00AC6314" w:rsidRPr="00B22CA9">
        <w:rPr>
          <w:rFonts w:ascii="Times New Roman" w:hAnsi="Times New Roman" w:cs="Times New Roman"/>
          <w:sz w:val="24"/>
          <w:szCs w:val="24"/>
          <w:lang w:val="es-ES"/>
        </w:rPr>
        <w:t>denunciaba una</w:t>
      </w:r>
      <w:r w:rsidR="00B05B8B" w:rsidRPr="00B22CA9">
        <w:rPr>
          <w:rFonts w:ascii="Times New Roman" w:hAnsi="Times New Roman" w:cs="Times New Roman"/>
          <w:sz w:val="24"/>
          <w:szCs w:val="24"/>
          <w:lang w:val="es-ES"/>
        </w:rPr>
        <w:t xml:space="preserve"> modificación de la edad de jubilación de jueces y notarios </w:t>
      </w:r>
      <w:r w:rsidR="00607C3E" w:rsidRPr="00B22CA9">
        <w:rPr>
          <w:rFonts w:ascii="Times New Roman" w:hAnsi="Times New Roman" w:cs="Times New Roman"/>
          <w:sz w:val="24"/>
          <w:szCs w:val="24"/>
          <w:lang w:val="es-ES"/>
        </w:rPr>
        <w:t xml:space="preserve">que </w:t>
      </w:r>
      <w:r w:rsidR="00B05B8B" w:rsidRPr="00B22CA9">
        <w:rPr>
          <w:rFonts w:ascii="Times New Roman" w:hAnsi="Times New Roman" w:cs="Times New Roman"/>
          <w:sz w:val="24"/>
          <w:szCs w:val="24"/>
          <w:lang w:val="es-ES"/>
        </w:rPr>
        <w:t>contraven</w:t>
      </w:r>
      <w:r w:rsidR="00952762" w:rsidRPr="00B22CA9">
        <w:rPr>
          <w:rFonts w:ascii="Times New Roman" w:hAnsi="Times New Roman" w:cs="Times New Roman"/>
          <w:sz w:val="24"/>
          <w:szCs w:val="24"/>
          <w:lang w:val="es-ES"/>
        </w:rPr>
        <w:t>ía</w:t>
      </w:r>
      <w:r w:rsidR="002C5B76" w:rsidRPr="00B22CA9">
        <w:rPr>
          <w:rFonts w:ascii="Times New Roman" w:hAnsi="Times New Roman" w:cs="Times New Roman"/>
          <w:sz w:val="24"/>
          <w:szCs w:val="24"/>
          <w:lang w:val="es-ES"/>
        </w:rPr>
        <w:t xml:space="preserve"> la d</w:t>
      </w:r>
      <w:r w:rsidR="00B05B8B" w:rsidRPr="00B22CA9">
        <w:rPr>
          <w:rFonts w:ascii="Times New Roman" w:hAnsi="Times New Roman" w:cs="Times New Roman"/>
          <w:sz w:val="24"/>
          <w:szCs w:val="24"/>
          <w:lang w:val="es-ES"/>
        </w:rPr>
        <w:t>irectiva 2000/78/CE sobre igualdad de trato en el empleo</w:t>
      </w:r>
      <w:r w:rsidR="00952762" w:rsidRPr="00B22CA9">
        <w:rPr>
          <w:rFonts w:ascii="Times New Roman" w:hAnsi="Times New Roman" w:cs="Times New Roman"/>
          <w:sz w:val="24"/>
          <w:szCs w:val="24"/>
          <w:lang w:val="es-ES"/>
        </w:rPr>
        <w:t>. E</w:t>
      </w:r>
      <w:r w:rsidR="00AC6314" w:rsidRPr="00B22CA9">
        <w:rPr>
          <w:rFonts w:ascii="Times New Roman" w:hAnsi="Times New Roman" w:cs="Times New Roman"/>
          <w:sz w:val="24"/>
          <w:szCs w:val="24"/>
          <w:lang w:val="es-ES"/>
        </w:rPr>
        <w:t>l Tribunal de Justicia concluyó que la m</w:t>
      </w:r>
      <w:r w:rsidR="00952762" w:rsidRPr="00B22CA9">
        <w:rPr>
          <w:rFonts w:ascii="Times New Roman" w:hAnsi="Times New Roman" w:cs="Times New Roman"/>
          <w:sz w:val="24"/>
          <w:szCs w:val="24"/>
          <w:lang w:val="es-ES"/>
        </w:rPr>
        <w:t>edida</w:t>
      </w:r>
      <w:r w:rsidR="00AC6314" w:rsidRPr="00B22CA9">
        <w:rPr>
          <w:rFonts w:ascii="Times New Roman" w:hAnsi="Times New Roman" w:cs="Times New Roman"/>
          <w:sz w:val="24"/>
          <w:szCs w:val="24"/>
          <w:lang w:val="es-ES"/>
        </w:rPr>
        <w:t xml:space="preserve"> era discriminatoria</w:t>
      </w:r>
      <w:r w:rsidR="00952762" w:rsidRPr="00B22CA9">
        <w:rPr>
          <w:rFonts w:ascii="Times New Roman" w:hAnsi="Times New Roman" w:cs="Times New Roman"/>
          <w:sz w:val="24"/>
          <w:szCs w:val="24"/>
          <w:lang w:val="es-ES"/>
        </w:rPr>
        <w:t xml:space="preserve">, </w:t>
      </w:r>
      <w:r w:rsidR="00AC6314" w:rsidRPr="00B22CA9">
        <w:rPr>
          <w:rFonts w:ascii="Times New Roman" w:hAnsi="Times New Roman" w:cs="Times New Roman"/>
          <w:sz w:val="24"/>
          <w:szCs w:val="24"/>
          <w:lang w:val="es-ES"/>
        </w:rPr>
        <w:t>des</w:t>
      </w:r>
      <w:r w:rsidR="000818EF" w:rsidRPr="00B22CA9">
        <w:rPr>
          <w:rFonts w:ascii="Times New Roman" w:hAnsi="Times New Roman" w:cs="Times New Roman"/>
          <w:sz w:val="24"/>
          <w:szCs w:val="24"/>
          <w:lang w:val="es-ES"/>
        </w:rPr>
        <w:t>proporcionad</w:t>
      </w:r>
      <w:r w:rsidR="00AC6314" w:rsidRPr="00B22CA9">
        <w:rPr>
          <w:rFonts w:ascii="Times New Roman" w:hAnsi="Times New Roman" w:cs="Times New Roman"/>
          <w:sz w:val="24"/>
          <w:szCs w:val="24"/>
          <w:lang w:val="es-ES"/>
        </w:rPr>
        <w:t>a</w:t>
      </w:r>
      <w:r w:rsidR="00952762" w:rsidRPr="00B22CA9">
        <w:rPr>
          <w:rFonts w:ascii="Times New Roman" w:hAnsi="Times New Roman" w:cs="Times New Roman"/>
          <w:sz w:val="24"/>
          <w:szCs w:val="24"/>
          <w:lang w:val="es-ES"/>
        </w:rPr>
        <w:t xml:space="preserve"> y que</w:t>
      </w:r>
      <w:r w:rsidR="00400C8E" w:rsidRPr="00B22CA9">
        <w:rPr>
          <w:rFonts w:ascii="Times New Roman" w:hAnsi="Times New Roman" w:cs="Times New Roman"/>
          <w:sz w:val="24"/>
          <w:szCs w:val="24"/>
          <w:lang w:val="es-ES"/>
        </w:rPr>
        <w:t xml:space="preserve"> </w:t>
      </w:r>
      <w:r w:rsidR="00AC6314" w:rsidRPr="00B22CA9">
        <w:rPr>
          <w:rFonts w:ascii="Times New Roman" w:hAnsi="Times New Roman" w:cs="Times New Roman"/>
          <w:sz w:val="24"/>
          <w:szCs w:val="24"/>
          <w:lang w:val="es-ES"/>
        </w:rPr>
        <w:t>había incumplimiento</w:t>
      </w:r>
      <w:r w:rsidR="00400C8E" w:rsidRPr="00B22CA9">
        <w:rPr>
          <w:rFonts w:ascii="Times New Roman" w:hAnsi="Times New Roman" w:cs="Times New Roman"/>
          <w:sz w:val="24"/>
          <w:szCs w:val="24"/>
          <w:lang w:val="es-ES"/>
        </w:rPr>
        <w:t>. N</w:t>
      </w:r>
      <w:r w:rsidR="00952762" w:rsidRPr="00B22CA9">
        <w:rPr>
          <w:rFonts w:ascii="Times New Roman" w:hAnsi="Times New Roman" w:cs="Times New Roman"/>
          <w:sz w:val="24"/>
          <w:szCs w:val="24"/>
          <w:lang w:val="es-ES"/>
        </w:rPr>
        <w:t>o</w:t>
      </w:r>
      <w:r w:rsidR="00AC6314" w:rsidRPr="00B22CA9">
        <w:rPr>
          <w:rFonts w:ascii="Times New Roman" w:hAnsi="Times New Roman" w:cs="Times New Roman"/>
          <w:sz w:val="24"/>
          <w:szCs w:val="24"/>
          <w:lang w:val="es-ES"/>
        </w:rPr>
        <w:t xml:space="preserve"> se planteaba</w:t>
      </w:r>
      <w:r w:rsidR="00952762" w:rsidRPr="00B22CA9">
        <w:rPr>
          <w:rFonts w:ascii="Times New Roman" w:hAnsi="Times New Roman" w:cs="Times New Roman"/>
          <w:sz w:val="24"/>
          <w:szCs w:val="24"/>
          <w:lang w:val="es-ES"/>
        </w:rPr>
        <w:t>n</w:t>
      </w:r>
      <w:r w:rsidR="00AC6314" w:rsidRPr="00B22CA9">
        <w:rPr>
          <w:rFonts w:ascii="Times New Roman" w:hAnsi="Times New Roman" w:cs="Times New Roman"/>
          <w:sz w:val="24"/>
          <w:szCs w:val="24"/>
          <w:lang w:val="es-ES"/>
        </w:rPr>
        <w:t xml:space="preserve"> </w:t>
      </w:r>
      <w:r w:rsidR="00952762" w:rsidRPr="00B22CA9">
        <w:rPr>
          <w:rFonts w:ascii="Times New Roman" w:hAnsi="Times New Roman" w:cs="Times New Roman"/>
          <w:sz w:val="24"/>
          <w:szCs w:val="24"/>
          <w:lang w:val="es-ES"/>
        </w:rPr>
        <w:t>o</w:t>
      </w:r>
      <w:r w:rsidR="00AC6314" w:rsidRPr="00B22CA9">
        <w:rPr>
          <w:rFonts w:ascii="Times New Roman" w:hAnsi="Times New Roman" w:cs="Times New Roman"/>
          <w:sz w:val="24"/>
          <w:szCs w:val="24"/>
          <w:lang w:val="es-ES"/>
        </w:rPr>
        <w:t xml:space="preserve"> discutía</w:t>
      </w:r>
      <w:r w:rsidR="00952762" w:rsidRPr="00B22CA9">
        <w:rPr>
          <w:rFonts w:ascii="Times New Roman" w:hAnsi="Times New Roman" w:cs="Times New Roman"/>
          <w:sz w:val="24"/>
          <w:szCs w:val="24"/>
          <w:lang w:val="es-ES"/>
        </w:rPr>
        <w:t>n</w:t>
      </w:r>
      <w:r w:rsidR="00AC6314" w:rsidRPr="00B22CA9">
        <w:rPr>
          <w:rFonts w:ascii="Times New Roman" w:hAnsi="Times New Roman" w:cs="Times New Roman"/>
          <w:sz w:val="24"/>
          <w:szCs w:val="24"/>
          <w:lang w:val="es-ES"/>
        </w:rPr>
        <w:t xml:space="preserve"> conexi</w:t>
      </w:r>
      <w:r w:rsidR="00952762" w:rsidRPr="00B22CA9">
        <w:rPr>
          <w:rFonts w:ascii="Times New Roman" w:hAnsi="Times New Roman" w:cs="Times New Roman"/>
          <w:sz w:val="24"/>
          <w:szCs w:val="24"/>
          <w:lang w:val="es-ES"/>
        </w:rPr>
        <w:t>ones</w:t>
      </w:r>
      <w:r w:rsidR="00AC6314" w:rsidRPr="00B22CA9">
        <w:rPr>
          <w:rFonts w:ascii="Times New Roman" w:hAnsi="Times New Roman" w:cs="Times New Roman"/>
          <w:sz w:val="24"/>
          <w:szCs w:val="24"/>
          <w:lang w:val="es-ES"/>
        </w:rPr>
        <w:t xml:space="preserve"> con </w:t>
      </w:r>
      <w:r w:rsidR="000818EF" w:rsidRPr="00B22CA9">
        <w:rPr>
          <w:rFonts w:ascii="Times New Roman" w:hAnsi="Times New Roman" w:cs="Times New Roman"/>
          <w:sz w:val="24"/>
          <w:szCs w:val="24"/>
          <w:lang w:val="es-ES"/>
        </w:rPr>
        <w:t>el derecho a la tutela judicial efectiva</w:t>
      </w:r>
      <w:r w:rsidR="00607C3E" w:rsidRPr="00B22CA9">
        <w:rPr>
          <w:rFonts w:ascii="Times New Roman" w:hAnsi="Times New Roman" w:cs="Times New Roman"/>
          <w:sz w:val="24"/>
          <w:szCs w:val="24"/>
          <w:lang w:val="es-ES"/>
        </w:rPr>
        <w:t>. E</w:t>
      </w:r>
      <w:r w:rsidR="00400C8E" w:rsidRPr="00B22CA9">
        <w:rPr>
          <w:rFonts w:ascii="Times New Roman" w:hAnsi="Times New Roman" w:cs="Times New Roman"/>
          <w:sz w:val="24"/>
          <w:szCs w:val="24"/>
          <w:lang w:val="es-ES"/>
        </w:rPr>
        <w:t>l precedente</w:t>
      </w:r>
      <w:r w:rsidR="00AC6314" w:rsidRPr="00B22CA9">
        <w:rPr>
          <w:rFonts w:ascii="Times New Roman" w:hAnsi="Times New Roman" w:cs="Times New Roman"/>
          <w:i/>
          <w:sz w:val="24"/>
          <w:szCs w:val="24"/>
          <w:lang w:val="es-ES"/>
        </w:rPr>
        <w:t xml:space="preserve"> </w:t>
      </w:r>
      <w:r w:rsidR="00AC6314" w:rsidRPr="00B22CA9">
        <w:rPr>
          <w:rFonts w:ascii="Times New Roman" w:hAnsi="Times New Roman" w:cs="Times New Roman"/>
          <w:sz w:val="24"/>
          <w:szCs w:val="24"/>
          <w:lang w:val="es-ES"/>
        </w:rPr>
        <w:t xml:space="preserve">podría haberle bastado a la Comisión para atacar la ley </w:t>
      </w:r>
      <w:r w:rsidR="0070634D" w:rsidRPr="00B22CA9">
        <w:rPr>
          <w:rFonts w:ascii="Times New Roman" w:hAnsi="Times New Roman" w:cs="Times New Roman"/>
          <w:sz w:val="24"/>
          <w:szCs w:val="24"/>
          <w:lang w:val="es-ES"/>
        </w:rPr>
        <w:t>polaca sin necesidad de apelar a los derechos fundamentales.</w:t>
      </w:r>
      <w:r w:rsidR="00400C8E" w:rsidRPr="00B22CA9">
        <w:rPr>
          <w:rFonts w:ascii="Times New Roman" w:hAnsi="Times New Roman" w:cs="Times New Roman"/>
          <w:sz w:val="24"/>
          <w:szCs w:val="24"/>
          <w:lang w:val="es-ES"/>
        </w:rPr>
        <w:t xml:space="preserve"> </w:t>
      </w:r>
      <w:r w:rsidR="0070634D" w:rsidRPr="00B22CA9">
        <w:rPr>
          <w:rFonts w:ascii="Times New Roman" w:hAnsi="Times New Roman" w:cs="Times New Roman"/>
          <w:sz w:val="24"/>
          <w:szCs w:val="24"/>
          <w:lang w:val="es-ES"/>
        </w:rPr>
        <w:t>Es aquí donde aparece la relación con el segundo precedente</w:t>
      </w:r>
      <w:r w:rsidR="00952762" w:rsidRPr="00B22CA9">
        <w:rPr>
          <w:rFonts w:ascii="Times New Roman" w:hAnsi="Times New Roman" w:cs="Times New Roman"/>
          <w:sz w:val="24"/>
          <w:szCs w:val="24"/>
          <w:lang w:val="es-ES"/>
        </w:rPr>
        <w:t>, el asunto</w:t>
      </w:r>
      <w:r w:rsidR="00DF573D" w:rsidRPr="00B22CA9">
        <w:rPr>
          <w:rFonts w:ascii="Times New Roman" w:hAnsi="Times New Roman" w:cs="Times New Roman"/>
          <w:sz w:val="24"/>
          <w:szCs w:val="24"/>
          <w:lang w:val="es-ES"/>
        </w:rPr>
        <w:t xml:space="preserve"> prejudicial </w:t>
      </w:r>
      <w:proofErr w:type="spellStart"/>
      <w:r w:rsidR="00DF573D" w:rsidRPr="00B22CA9">
        <w:rPr>
          <w:rFonts w:ascii="Times New Roman" w:hAnsi="Times New Roman" w:cs="Times New Roman"/>
          <w:i/>
          <w:sz w:val="24"/>
          <w:szCs w:val="24"/>
          <w:lang w:val="es-ES"/>
        </w:rPr>
        <w:t>Associação</w:t>
      </w:r>
      <w:proofErr w:type="spellEnd"/>
      <w:r w:rsidR="00DF573D" w:rsidRPr="00B22CA9">
        <w:rPr>
          <w:rFonts w:ascii="Times New Roman" w:hAnsi="Times New Roman" w:cs="Times New Roman"/>
          <w:i/>
          <w:sz w:val="24"/>
          <w:szCs w:val="24"/>
          <w:lang w:val="es-ES"/>
        </w:rPr>
        <w:t xml:space="preserve"> Sindical dos </w:t>
      </w:r>
      <w:proofErr w:type="spellStart"/>
      <w:r w:rsidR="00DF573D" w:rsidRPr="00B22CA9">
        <w:rPr>
          <w:rFonts w:ascii="Times New Roman" w:hAnsi="Times New Roman" w:cs="Times New Roman"/>
          <w:i/>
          <w:sz w:val="24"/>
          <w:szCs w:val="24"/>
          <w:lang w:val="es-ES"/>
        </w:rPr>
        <w:t>Juízes</w:t>
      </w:r>
      <w:proofErr w:type="spellEnd"/>
      <w:r w:rsidR="00DF573D" w:rsidRPr="00B22CA9">
        <w:rPr>
          <w:rFonts w:ascii="Times New Roman" w:hAnsi="Times New Roman" w:cs="Times New Roman"/>
          <w:i/>
          <w:sz w:val="24"/>
          <w:szCs w:val="24"/>
          <w:lang w:val="es-ES"/>
        </w:rPr>
        <w:t xml:space="preserve"> Portugueses</w:t>
      </w:r>
      <w:r w:rsidR="00EF3F83" w:rsidRPr="00B22CA9">
        <w:rPr>
          <w:rStyle w:val="Refdenotaalpie"/>
          <w:rFonts w:ascii="Times New Roman" w:hAnsi="Times New Roman" w:cs="Times New Roman"/>
          <w:sz w:val="24"/>
          <w:szCs w:val="24"/>
          <w:lang w:val="es-ES"/>
        </w:rPr>
        <w:footnoteReference w:id="52"/>
      </w:r>
      <w:r w:rsidR="00BE762D" w:rsidRPr="00B22CA9">
        <w:rPr>
          <w:rFonts w:ascii="Times New Roman" w:hAnsi="Times New Roman" w:cs="Times New Roman"/>
          <w:sz w:val="24"/>
          <w:szCs w:val="24"/>
          <w:lang w:val="es-ES"/>
        </w:rPr>
        <w:t xml:space="preserve">. El conflicto gira en torno a una ley que recorta el salario de los jueces </w:t>
      </w:r>
      <w:r w:rsidR="00DE40F6" w:rsidRPr="00B22CA9">
        <w:rPr>
          <w:rFonts w:ascii="Times New Roman" w:hAnsi="Times New Roman" w:cs="Times New Roman"/>
          <w:sz w:val="24"/>
          <w:szCs w:val="24"/>
          <w:lang w:val="es-ES"/>
        </w:rPr>
        <w:t>portugueses, como medi</w:t>
      </w:r>
      <w:r w:rsidR="00607C3E" w:rsidRPr="00B22CA9">
        <w:rPr>
          <w:rFonts w:ascii="Times New Roman" w:hAnsi="Times New Roman" w:cs="Times New Roman"/>
          <w:sz w:val="24"/>
          <w:szCs w:val="24"/>
          <w:lang w:val="es-ES"/>
        </w:rPr>
        <w:t xml:space="preserve">da de </w:t>
      </w:r>
      <w:r w:rsidR="00CB7AA6" w:rsidRPr="00B22CA9">
        <w:rPr>
          <w:rFonts w:ascii="Times New Roman" w:hAnsi="Times New Roman" w:cs="Times New Roman"/>
          <w:sz w:val="24"/>
          <w:szCs w:val="24"/>
          <w:lang w:val="es-ES"/>
        </w:rPr>
        <w:t>equilibrio</w:t>
      </w:r>
      <w:r w:rsidR="00607C3E" w:rsidRPr="00B22CA9">
        <w:rPr>
          <w:rFonts w:ascii="Times New Roman" w:hAnsi="Times New Roman" w:cs="Times New Roman"/>
          <w:sz w:val="24"/>
          <w:szCs w:val="24"/>
          <w:lang w:val="es-ES"/>
        </w:rPr>
        <w:t xml:space="preserve"> financiero</w:t>
      </w:r>
      <w:r w:rsidR="00DE40F6" w:rsidRPr="00B22CA9">
        <w:rPr>
          <w:rFonts w:ascii="Times New Roman" w:hAnsi="Times New Roman" w:cs="Times New Roman"/>
          <w:sz w:val="24"/>
          <w:szCs w:val="24"/>
          <w:lang w:val="es-ES"/>
        </w:rPr>
        <w:t xml:space="preserve"> dentro de un contexto general de restricciones presupuestarias</w:t>
      </w:r>
      <w:r w:rsidR="00BE762D" w:rsidRPr="00B22CA9">
        <w:rPr>
          <w:rFonts w:ascii="Times New Roman" w:hAnsi="Times New Roman" w:cs="Times New Roman"/>
          <w:sz w:val="24"/>
          <w:szCs w:val="24"/>
          <w:lang w:val="es-ES"/>
        </w:rPr>
        <w:t xml:space="preserve">. </w:t>
      </w:r>
      <w:r w:rsidR="00DE40F6" w:rsidRPr="00B22CA9">
        <w:rPr>
          <w:rFonts w:ascii="Times New Roman" w:hAnsi="Times New Roman" w:cs="Times New Roman"/>
          <w:sz w:val="24"/>
          <w:szCs w:val="24"/>
          <w:lang w:val="es-ES"/>
        </w:rPr>
        <w:t>Los jueces</w:t>
      </w:r>
      <w:r w:rsidR="00BE762D" w:rsidRPr="00B22CA9">
        <w:rPr>
          <w:rFonts w:ascii="Times New Roman" w:hAnsi="Times New Roman" w:cs="Times New Roman"/>
          <w:sz w:val="24"/>
          <w:szCs w:val="24"/>
          <w:lang w:val="es-ES"/>
        </w:rPr>
        <w:t xml:space="preserve"> recurren </w:t>
      </w:r>
      <w:r w:rsidR="00DE40F6" w:rsidRPr="00B22CA9">
        <w:rPr>
          <w:rFonts w:ascii="Times New Roman" w:hAnsi="Times New Roman" w:cs="Times New Roman"/>
          <w:sz w:val="24"/>
          <w:szCs w:val="24"/>
          <w:lang w:val="es-ES"/>
        </w:rPr>
        <w:t>su aplicación y alegan</w:t>
      </w:r>
      <w:r w:rsidR="00BE762D" w:rsidRPr="00B22CA9">
        <w:rPr>
          <w:rFonts w:ascii="Times New Roman" w:hAnsi="Times New Roman" w:cs="Times New Roman"/>
          <w:sz w:val="24"/>
          <w:szCs w:val="24"/>
          <w:lang w:val="es-ES"/>
        </w:rPr>
        <w:t xml:space="preserve"> que ese recorte </w:t>
      </w:r>
      <w:r w:rsidR="00914813" w:rsidRPr="00B22CA9">
        <w:rPr>
          <w:rFonts w:ascii="Times New Roman" w:hAnsi="Times New Roman" w:cs="Times New Roman"/>
          <w:sz w:val="24"/>
          <w:szCs w:val="24"/>
          <w:lang w:val="es-ES"/>
        </w:rPr>
        <w:t>ataca</w:t>
      </w:r>
      <w:r w:rsidR="00BE762D" w:rsidRPr="00B22CA9">
        <w:rPr>
          <w:rFonts w:ascii="Times New Roman" w:hAnsi="Times New Roman" w:cs="Times New Roman"/>
          <w:sz w:val="24"/>
          <w:szCs w:val="24"/>
          <w:lang w:val="es-ES"/>
        </w:rPr>
        <w:t xml:space="preserve"> la independencia judicial, principio que se desprende tanto de la constitución nacional como del artículo 19 del TUE, en conexión con el 47 de la Carta. El Supremo Tribunal Administrativo </w:t>
      </w:r>
      <w:r w:rsidR="00914813" w:rsidRPr="00B22CA9">
        <w:rPr>
          <w:rFonts w:ascii="Times New Roman" w:hAnsi="Times New Roman" w:cs="Times New Roman"/>
          <w:sz w:val="24"/>
          <w:szCs w:val="24"/>
          <w:lang w:val="es-ES"/>
        </w:rPr>
        <w:t>portugués</w:t>
      </w:r>
      <w:r w:rsidR="00BE762D" w:rsidRPr="00B22CA9">
        <w:rPr>
          <w:rFonts w:ascii="Times New Roman" w:hAnsi="Times New Roman" w:cs="Times New Roman"/>
          <w:sz w:val="24"/>
          <w:szCs w:val="24"/>
          <w:lang w:val="es-ES"/>
        </w:rPr>
        <w:t xml:space="preserve"> consulta al </w:t>
      </w:r>
      <w:r w:rsidR="00DE40F6" w:rsidRPr="00B22CA9">
        <w:rPr>
          <w:rFonts w:ascii="Times New Roman" w:hAnsi="Times New Roman" w:cs="Times New Roman"/>
          <w:sz w:val="24"/>
          <w:szCs w:val="24"/>
          <w:lang w:val="es-ES"/>
        </w:rPr>
        <w:t>TJUE sobre este extremo y el juez europeo responde elevando ese principio de independencia judicial a una posición autónoma dentro del derecho de la Unión</w:t>
      </w:r>
      <w:r w:rsidR="00607C3E" w:rsidRPr="00B22CA9">
        <w:rPr>
          <w:rFonts w:ascii="Times New Roman" w:hAnsi="Times New Roman" w:cs="Times New Roman"/>
          <w:sz w:val="24"/>
          <w:szCs w:val="24"/>
          <w:lang w:val="es-ES"/>
        </w:rPr>
        <w:t>, pues lo conecta</w:t>
      </w:r>
      <w:r w:rsidR="00914813" w:rsidRPr="00B22CA9">
        <w:rPr>
          <w:rFonts w:ascii="Times New Roman" w:hAnsi="Times New Roman" w:cs="Times New Roman"/>
          <w:sz w:val="24"/>
          <w:szCs w:val="24"/>
          <w:lang w:val="es-ES"/>
        </w:rPr>
        <w:t xml:space="preserve"> con los valores democráticos defendidos en el artículo 2 TUE. En una resolución inédita, el TJUE responde a la consulta prejudicial sobre la sola base del artículo 19</w:t>
      </w:r>
      <w:r w:rsidR="00DE40F6" w:rsidRPr="00B22CA9">
        <w:rPr>
          <w:rFonts w:ascii="Times New Roman" w:hAnsi="Times New Roman" w:cs="Times New Roman"/>
          <w:sz w:val="24"/>
          <w:szCs w:val="24"/>
          <w:lang w:val="es-ES"/>
        </w:rPr>
        <w:t>, por más que al final decida que l</w:t>
      </w:r>
      <w:r w:rsidR="00914813" w:rsidRPr="00B22CA9">
        <w:rPr>
          <w:rFonts w:ascii="Times New Roman" w:hAnsi="Times New Roman" w:cs="Times New Roman"/>
          <w:sz w:val="24"/>
          <w:szCs w:val="24"/>
          <w:lang w:val="es-ES"/>
        </w:rPr>
        <w:t xml:space="preserve">os recortes </w:t>
      </w:r>
      <w:r w:rsidR="00DE40F6" w:rsidRPr="00B22CA9">
        <w:rPr>
          <w:rFonts w:ascii="Times New Roman" w:hAnsi="Times New Roman" w:cs="Times New Roman"/>
          <w:sz w:val="24"/>
          <w:szCs w:val="24"/>
          <w:lang w:val="es-ES"/>
        </w:rPr>
        <w:t>está</w:t>
      </w:r>
      <w:r w:rsidR="00914813" w:rsidRPr="00B22CA9">
        <w:rPr>
          <w:rFonts w:ascii="Times New Roman" w:hAnsi="Times New Roman" w:cs="Times New Roman"/>
          <w:sz w:val="24"/>
          <w:szCs w:val="24"/>
          <w:lang w:val="es-ES"/>
        </w:rPr>
        <w:t>n</w:t>
      </w:r>
      <w:r w:rsidR="00DE40F6" w:rsidRPr="00B22CA9">
        <w:rPr>
          <w:rFonts w:ascii="Times New Roman" w:hAnsi="Times New Roman" w:cs="Times New Roman"/>
          <w:sz w:val="24"/>
          <w:szCs w:val="24"/>
          <w:lang w:val="es-ES"/>
        </w:rPr>
        <w:t xml:space="preserve"> ju</w:t>
      </w:r>
      <w:r w:rsidR="00914813" w:rsidRPr="00B22CA9">
        <w:rPr>
          <w:rFonts w:ascii="Times New Roman" w:hAnsi="Times New Roman" w:cs="Times New Roman"/>
          <w:sz w:val="24"/>
          <w:szCs w:val="24"/>
          <w:lang w:val="es-ES"/>
        </w:rPr>
        <w:t>stificados</w:t>
      </w:r>
      <w:r w:rsidR="00DE40F6" w:rsidRPr="00B22CA9">
        <w:rPr>
          <w:rFonts w:ascii="Times New Roman" w:hAnsi="Times New Roman" w:cs="Times New Roman"/>
          <w:sz w:val="24"/>
          <w:szCs w:val="24"/>
          <w:lang w:val="es-ES"/>
        </w:rPr>
        <w:t xml:space="preserve"> en la </w:t>
      </w:r>
      <w:r w:rsidR="00CB7AA6" w:rsidRPr="00B22CA9">
        <w:rPr>
          <w:rFonts w:ascii="Times New Roman" w:hAnsi="Times New Roman" w:cs="Times New Roman"/>
          <w:sz w:val="24"/>
          <w:szCs w:val="24"/>
          <w:lang w:val="es-ES"/>
        </w:rPr>
        <w:t>coyuntura</w:t>
      </w:r>
      <w:r w:rsidR="00DE40F6" w:rsidRPr="00B22CA9">
        <w:rPr>
          <w:rFonts w:ascii="Times New Roman" w:hAnsi="Times New Roman" w:cs="Times New Roman"/>
          <w:sz w:val="24"/>
          <w:szCs w:val="24"/>
          <w:lang w:val="es-ES"/>
        </w:rPr>
        <w:t xml:space="preserve"> económica</w:t>
      </w:r>
      <w:r w:rsidR="00914813" w:rsidRPr="00B22CA9">
        <w:rPr>
          <w:rFonts w:ascii="Times New Roman" w:hAnsi="Times New Roman" w:cs="Times New Roman"/>
          <w:sz w:val="24"/>
          <w:szCs w:val="24"/>
          <w:lang w:val="es-ES"/>
        </w:rPr>
        <w:t xml:space="preserve"> y no infringen tal principio (Pech y </w:t>
      </w:r>
      <w:proofErr w:type="spellStart"/>
      <w:r w:rsidR="00914813" w:rsidRPr="00B22CA9">
        <w:rPr>
          <w:rFonts w:ascii="Times New Roman" w:hAnsi="Times New Roman" w:cs="Times New Roman"/>
          <w:sz w:val="24"/>
          <w:szCs w:val="24"/>
          <w:lang w:val="es-ES"/>
        </w:rPr>
        <w:t>Planton</w:t>
      </w:r>
      <w:proofErr w:type="spellEnd"/>
      <w:r w:rsidR="00914813" w:rsidRPr="00B22CA9">
        <w:rPr>
          <w:rFonts w:ascii="Times New Roman" w:hAnsi="Times New Roman" w:cs="Times New Roman"/>
          <w:sz w:val="24"/>
          <w:szCs w:val="24"/>
          <w:lang w:val="es-ES"/>
        </w:rPr>
        <w:t>, 2018)</w:t>
      </w:r>
      <w:r w:rsidR="00DE40F6" w:rsidRPr="00B22CA9">
        <w:rPr>
          <w:rFonts w:ascii="Times New Roman" w:hAnsi="Times New Roman" w:cs="Times New Roman"/>
          <w:sz w:val="24"/>
          <w:szCs w:val="24"/>
          <w:lang w:val="es-ES"/>
        </w:rPr>
        <w:t>.</w:t>
      </w:r>
      <w:r w:rsidR="00A97436" w:rsidRPr="00B22CA9">
        <w:rPr>
          <w:rFonts w:ascii="Times New Roman" w:hAnsi="Times New Roman" w:cs="Times New Roman"/>
          <w:sz w:val="24"/>
          <w:szCs w:val="24"/>
          <w:lang w:val="es-ES"/>
        </w:rPr>
        <w:t xml:space="preserve"> Por último, esta línea argumental se refuerza en el asunto </w:t>
      </w:r>
      <w:r w:rsidR="00A97436" w:rsidRPr="00B22CA9">
        <w:rPr>
          <w:rFonts w:ascii="Times New Roman" w:hAnsi="Times New Roman" w:cs="Times New Roman"/>
          <w:i/>
          <w:sz w:val="24"/>
          <w:szCs w:val="24"/>
          <w:lang w:val="es-ES"/>
        </w:rPr>
        <w:t>LM</w:t>
      </w:r>
      <w:r w:rsidR="00A97436" w:rsidRPr="00B22CA9">
        <w:rPr>
          <w:rFonts w:ascii="Times New Roman" w:hAnsi="Times New Roman" w:cs="Times New Roman"/>
          <w:sz w:val="24"/>
          <w:szCs w:val="24"/>
          <w:lang w:val="es-ES"/>
        </w:rPr>
        <w:t xml:space="preserve">, cuando la </w:t>
      </w:r>
      <w:r w:rsidR="00A97436" w:rsidRPr="00B22CA9">
        <w:rPr>
          <w:rFonts w:ascii="Times New Roman" w:hAnsi="Times New Roman" w:cs="Times New Roman"/>
          <w:i/>
          <w:sz w:val="24"/>
          <w:szCs w:val="24"/>
          <w:lang w:val="es-ES"/>
        </w:rPr>
        <w:t xml:space="preserve">High </w:t>
      </w:r>
      <w:proofErr w:type="spellStart"/>
      <w:r w:rsidR="00A97436" w:rsidRPr="00B22CA9">
        <w:rPr>
          <w:rFonts w:ascii="Times New Roman" w:hAnsi="Times New Roman" w:cs="Times New Roman"/>
          <w:i/>
          <w:sz w:val="24"/>
          <w:szCs w:val="24"/>
          <w:lang w:val="es-ES"/>
        </w:rPr>
        <w:t>Court</w:t>
      </w:r>
      <w:proofErr w:type="spellEnd"/>
      <w:r w:rsidR="00A97436" w:rsidRPr="00B22CA9">
        <w:rPr>
          <w:rFonts w:ascii="Times New Roman" w:hAnsi="Times New Roman" w:cs="Times New Roman"/>
          <w:sz w:val="24"/>
          <w:szCs w:val="24"/>
          <w:lang w:val="es-ES"/>
        </w:rPr>
        <w:t xml:space="preserve"> irlandesa consulta en vía prejudicial al Tribunal de Justicia si denegar una orden de detención europea emitida por Polonia, habiéndose activado contra ese Estado el procedimiento del artículo 7 TUE, estaría en línea con la jurisprudencia </w:t>
      </w:r>
      <w:proofErr w:type="spellStart"/>
      <w:r w:rsidR="00A97436" w:rsidRPr="00B22CA9">
        <w:rPr>
          <w:rFonts w:ascii="Times New Roman" w:hAnsi="Times New Roman" w:cs="Times New Roman"/>
          <w:i/>
          <w:sz w:val="24"/>
          <w:szCs w:val="24"/>
          <w:lang w:val="es-ES"/>
        </w:rPr>
        <w:t>Aranyosi</w:t>
      </w:r>
      <w:proofErr w:type="spellEnd"/>
      <w:r w:rsidR="002E4F2E" w:rsidRPr="00B22CA9">
        <w:rPr>
          <w:rStyle w:val="Refdenotaalpie"/>
          <w:rFonts w:ascii="Times New Roman" w:hAnsi="Times New Roman" w:cs="Times New Roman"/>
          <w:i/>
          <w:sz w:val="24"/>
          <w:szCs w:val="24"/>
          <w:lang w:val="es-ES"/>
        </w:rPr>
        <w:footnoteReference w:id="53"/>
      </w:r>
      <w:r w:rsidR="00A97436" w:rsidRPr="00B22CA9">
        <w:rPr>
          <w:rFonts w:ascii="Times New Roman" w:hAnsi="Times New Roman" w:cs="Times New Roman"/>
          <w:sz w:val="24"/>
          <w:szCs w:val="24"/>
          <w:lang w:val="es-ES"/>
        </w:rPr>
        <w:t xml:space="preserve">. El Tribunal de Justicia responde afirmativamente, precisando que tendrían que verse las peculiaridades del caso y las particulares del sujeto, </w:t>
      </w:r>
      <w:r w:rsidR="00607C3E" w:rsidRPr="00B22CA9">
        <w:rPr>
          <w:rFonts w:ascii="Times New Roman" w:hAnsi="Times New Roman" w:cs="Times New Roman"/>
          <w:sz w:val="24"/>
          <w:szCs w:val="24"/>
          <w:lang w:val="es-ES"/>
        </w:rPr>
        <w:t>pero</w:t>
      </w:r>
      <w:r w:rsidR="00A97436" w:rsidRPr="00B22CA9">
        <w:rPr>
          <w:rFonts w:ascii="Times New Roman" w:hAnsi="Times New Roman" w:cs="Times New Roman"/>
          <w:sz w:val="24"/>
          <w:szCs w:val="24"/>
          <w:lang w:val="es-ES"/>
        </w:rPr>
        <w:t xml:space="preserve"> lo hace recordando su sentencia sobre los jueces portugueses, aludiendo al artículo 19 TUE y a su conexión con los derechos del 47 de la Carta</w:t>
      </w:r>
      <w:r w:rsidR="00A97436" w:rsidRPr="00B22CA9">
        <w:rPr>
          <w:rStyle w:val="Refdenotaalpie"/>
          <w:rFonts w:ascii="Times New Roman" w:hAnsi="Times New Roman" w:cs="Times New Roman"/>
          <w:sz w:val="24"/>
          <w:szCs w:val="24"/>
          <w:lang w:val="es-ES"/>
        </w:rPr>
        <w:footnoteReference w:id="54"/>
      </w:r>
      <w:r w:rsidR="00A97436" w:rsidRPr="00B22CA9">
        <w:rPr>
          <w:rFonts w:ascii="Times New Roman" w:hAnsi="Times New Roman" w:cs="Times New Roman"/>
          <w:sz w:val="24"/>
          <w:szCs w:val="24"/>
          <w:lang w:val="es-ES"/>
        </w:rPr>
        <w:t xml:space="preserve">. </w:t>
      </w:r>
      <w:r w:rsidR="00DE40F6" w:rsidRPr="00B22CA9">
        <w:rPr>
          <w:rFonts w:ascii="Times New Roman" w:hAnsi="Times New Roman" w:cs="Times New Roman"/>
          <w:sz w:val="24"/>
          <w:szCs w:val="24"/>
          <w:lang w:val="es-ES"/>
        </w:rPr>
        <w:t xml:space="preserve"> </w:t>
      </w:r>
      <w:r w:rsidR="008B1F58" w:rsidRPr="00B22CA9">
        <w:rPr>
          <w:rFonts w:ascii="Times New Roman" w:hAnsi="Times New Roman" w:cs="Times New Roman"/>
          <w:sz w:val="24"/>
          <w:szCs w:val="24"/>
          <w:lang w:val="es-ES"/>
        </w:rPr>
        <w:t xml:space="preserve"> </w:t>
      </w:r>
    </w:p>
    <w:p w:rsidR="00D96494" w:rsidRPr="00B22CA9" w:rsidRDefault="00400C8E" w:rsidP="00EF3F83">
      <w:pPr>
        <w:spacing w:line="240" w:lineRule="auto"/>
        <w:jc w:val="both"/>
        <w:rPr>
          <w:rFonts w:ascii="Times New Roman" w:hAnsi="Times New Roman" w:cs="Times New Roman"/>
          <w:sz w:val="24"/>
          <w:szCs w:val="24"/>
          <w:lang w:val="es-ES"/>
        </w:rPr>
      </w:pPr>
      <w:r w:rsidRPr="00B22CA9">
        <w:rPr>
          <w:rFonts w:ascii="Times New Roman" w:hAnsi="Times New Roman" w:cs="Times New Roman"/>
          <w:sz w:val="24"/>
          <w:szCs w:val="24"/>
          <w:lang w:val="es-ES"/>
        </w:rPr>
        <w:tab/>
      </w:r>
      <w:r w:rsidR="00914813" w:rsidRPr="00B22CA9">
        <w:rPr>
          <w:rFonts w:ascii="Times New Roman" w:hAnsi="Times New Roman" w:cs="Times New Roman"/>
          <w:sz w:val="24"/>
          <w:szCs w:val="24"/>
          <w:lang w:val="es-ES"/>
        </w:rPr>
        <w:t xml:space="preserve">Es evidente que estos precedentes </w:t>
      </w:r>
      <w:r w:rsidR="00607C3E" w:rsidRPr="00B22CA9">
        <w:rPr>
          <w:rFonts w:ascii="Times New Roman" w:hAnsi="Times New Roman" w:cs="Times New Roman"/>
          <w:sz w:val="24"/>
          <w:szCs w:val="24"/>
          <w:lang w:val="es-ES"/>
        </w:rPr>
        <w:t>determinan</w:t>
      </w:r>
      <w:r w:rsidR="00914813" w:rsidRPr="00B22CA9">
        <w:rPr>
          <w:rFonts w:ascii="Times New Roman" w:hAnsi="Times New Roman" w:cs="Times New Roman"/>
          <w:sz w:val="24"/>
          <w:szCs w:val="24"/>
          <w:lang w:val="es-ES"/>
        </w:rPr>
        <w:t xml:space="preserve"> el contexto </w:t>
      </w:r>
      <w:r w:rsidR="00A97436" w:rsidRPr="00B22CA9">
        <w:rPr>
          <w:rFonts w:ascii="Times New Roman" w:hAnsi="Times New Roman" w:cs="Times New Roman"/>
          <w:sz w:val="24"/>
          <w:szCs w:val="24"/>
          <w:lang w:val="es-ES"/>
        </w:rPr>
        <w:t xml:space="preserve">de </w:t>
      </w:r>
      <w:r w:rsidR="00607C3E" w:rsidRPr="00B22CA9">
        <w:rPr>
          <w:rFonts w:ascii="Times New Roman" w:hAnsi="Times New Roman" w:cs="Times New Roman"/>
          <w:sz w:val="24"/>
          <w:szCs w:val="24"/>
          <w:lang w:val="es-ES"/>
        </w:rPr>
        <w:t>lo</w:t>
      </w:r>
      <w:r w:rsidR="00914813" w:rsidRPr="00B22CA9">
        <w:rPr>
          <w:rFonts w:ascii="Times New Roman" w:hAnsi="Times New Roman" w:cs="Times New Roman"/>
          <w:sz w:val="24"/>
          <w:szCs w:val="24"/>
          <w:lang w:val="es-ES"/>
        </w:rPr>
        <w:t>s procedimientos por incumplimiento</w:t>
      </w:r>
      <w:r w:rsidR="00607C3E" w:rsidRPr="00B22CA9">
        <w:rPr>
          <w:rFonts w:ascii="Times New Roman" w:hAnsi="Times New Roman" w:cs="Times New Roman"/>
          <w:sz w:val="24"/>
          <w:szCs w:val="24"/>
          <w:lang w:val="es-ES"/>
        </w:rPr>
        <w:t xml:space="preserve"> contra Polonia</w:t>
      </w:r>
      <w:r w:rsidR="00914813" w:rsidRPr="00B22CA9">
        <w:rPr>
          <w:rFonts w:ascii="Times New Roman" w:hAnsi="Times New Roman" w:cs="Times New Roman"/>
          <w:sz w:val="24"/>
          <w:szCs w:val="24"/>
          <w:lang w:val="es-ES"/>
        </w:rPr>
        <w:t xml:space="preserve">. </w:t>
      </w:r>
      <w:r w:rsidR="008B1F58" w:rsidRPr="00B22CA9">
        <w:rPr>
          <w:rFonts w:ascii="Times New Roman" w:hAnsi="Times New Roman" w:cs="Times New Roman"/>
          <w:sz w:val="24"/>
          <w:szCs w:val="24"/>
          <w:lang w:val="es-ES"/>
        </w:rPr>
        <w:t>C</w:t>
      </w:r>
      <w:r w:rsidR="000818EF" w:rsidRPr="00B22CA9">
        <w:rPr>
          <w:rFonts w:ascii="Times New Roman" w:hAnsi="Times New Roman" w:cs="Times New Roman"/>
          <w:sz w:val="24"/>
          <w:szCs w:val="24"/>
          <w:lang w:val="es-ES"/>
        </w:rPr>
        <w:t xml:space="preserve">omo </w:t>
      </w:r>
      <w:r w:rsidR="008B1F58" w:rsidRPr="00B22CA9">
        <w:rPr>
          <w:rFonts w:ascii="Times New Roman" w:hAnsi="Times New Roman" w:cs="Times New Roman"/>
          <w:sz w:val="24"/>
          <w:szCs w:val="24"/>
          <w:lang w:val="es-ES"/>
        </w:rPr>
        <w:t>en</w:t>
      </w:r>
      <w:r w:rsidR="000818EF" w:rsidRPr="00B22CA9">
        <w:rPr>
          <w:rFonts w:ascii="Times New Roman" w:hAnsi="Times New Roman" w:cs="Times New Roman"/>
          <w:sz w:val="24"/>
          <w:szCs w:val="24"/>
          <w:lang w:val="es-ES"/>
        </w:rPr>
        <w:t xml:space="preserve"> los casos húngaros, </w:t>
      </w:r>
      <w:r w:rsidR="00B962D6" w:rsidRPr="00B22CA9">
        <w:rPr>
          <w:rFonts w:ascii="Times New Roman" w:hAnsi="Times New Roman" w:cs="Times New Roman"/>
          <w:sz w:val="24"/>
          <w:szCs w:val="24"/>
          <w:lang w:val="es-ES"/>
        </w:rPr>
        <w:t xml:space="preserve">se puede especular si el </w:t>
      </w:r>
      <w:r w:rsidR="000818EF" w:rsidRPr="00B22CA9">
        <w:rPr>
          <w:rFonts w:ascii="Times New Roman" w:hAnsi="Times New Roman" w:cs="Times New Roman"/>
          <w:sz w:val="24"/>
          <w:szCs w:val="24"/>
          <w:lang w:val="es-ES"/>
        </w:rPr>
        <w:t>TJUE, en su momento, det</w:t>
      </w:r>
      <w:r w:rsidR="00B962D6" w:rsidRPr="00B22CA9">
        <w:rPr>
          <w:rFonts w:ascii="Times New Roman" w:hAnsi="Times New Roman" w:cs="Times New Roman"/>
          <w:sz w:val="24"/>
          <w:szCs w:val="24"/>
          <w:lang w:val="es-ES"/>
        </w:rPr>
        <w:t>e</w:t>
      </w:r>
      <w:r w:rsidR="000818EF" w:rsidRPr="00B22CA9">
        <w:rPr>
          <w:rFonts w:ascii="Times New Roman" w:hAnsi="Times New Roman" w:cs="Times New Roman"/>
          <w:sz w:val="24"/>
          <w:szCs w:val="24"/>
          <w:lang w:val="es-ES"/>
        </w:rPr>
        <w:t>n</w:t>
      </w:r>
      <w:r w:rsidR="00B962D6" w:rsidRPr="00B22CA9">
        <w:rPr>
          <w:rFonts w:ascii="Times New Roman" w:hAnsi="Times New Roman" w:cs="Times New Roman"/>
          <w:sz w:val="24"/>
          <w:szCs w:val="24"/>
          <w:lang w:val="es-ES"/>
        </w:rPr>
        <w:t xml:space="preserve">drá </w:t>
      </w:r>
      <w:r w:rsidR="000818EF" w:rsidRPr="00B22CA9">
        <w:rPr>
          <w:rFonts w:ascii="Times New Roman" w:hAnsi="Times New Roman" w:cs="Times New Roman"/>
          <w:sz w:val="24"/>
          <w:szCs w:val="24"/>
          <w:lang w:val="es-ES"/>
        </w:rPr>
        <w:t xml:space="preserve">su apreciación de incumplimiento tras considerar la discriminación laboral o si, </w:t>
      </w:r>
      <w:r w:rsidR="000B778C" w:rsidRPr="00B22CA9">
        <w:rPr>
          <w:rFonts w:ascii="Times New Roman" w:hAnsi="Times New Roman" w:cs="Times New Roman"/>
          <w:sz w:val="24"/>
          <w:szCs w:val="24"/>
          <w:lang w:val="es-ES"/>
        </w:rPr>
        <w:t>efectuando una</w:t>
      </w:r>
      <w:r w:rsidR="000818EF" w:rsidRPr="00B22CA9">
        <w:rPr>
          <w:rFonts w:ascii="Times New Roman" w:hAnsi="Times New Roman" w:cs="Times New Roman"/>
          <w:sz w:val="24"/>
          <w:szCs w:val="24"/>
          <w:lang w:val="es-ES"/>
        </w:rPr>
        <w:t xml:space="preserve"> revisión constitucional de </w:t>
      </w:r>
      <w:r w:rsidR="0009659B" w:rsidRPr="00B22CA9">
        <w:rPr>
          <w:rFonts w:ascii="Times New Roman" w:hAnsi="Times New Roman" w:cs="Times New Roman"/>
          <w:sz w:val="24"/>
          <w:szCs w:val="24"/>
          <w:lang w:val="es-ES"/>
        </w:rPr>
        <w:t>la</w:t>
      </w:r>
      <w:r w:rsidR="000818EF" w:rsidRPr="00B22CA9">
        <w:rPr>
          <w:rFonts w:ascii="Times New Roman" w:hAnsi="Times New Roman" w:cs="Times New Roman"/>
          <w:sz w:val="24"/>
          <w:szCs w:val="24"/>
          <w:lang w:val="es-ES"/>
        </w:rPr>
        <w:t xml:space="preserve"> ley</w:t>
      </w:r>
      <w:r w:rsidR="0009659B" w:rsidRPr="00B22CA9">
        <w:rPr>
          <w:rFonts w:ascii="Times New Roman" w:hAnsi="Times New Roman" w:cs="Times New Roman"/>
          <w:sz w:val="24"/>
          <w:szCs w:val="24"/>
          <w:lang w:val="es-ES"/>
        </w:rPr>
        <w:t xml:space="preserve"> estatal, </w:t>
      </w:r>
      <w:r w:rsidR="00EA6435" w:rsidRPr="00B22CA9">
        <w:rPr>
          <w:rFonts w:ascii="Times New Roman" w:hAnsi="Times New Roman" w:cs="Times New Roman"/>
          <w:sz w:val="24"/>
          <w:szCs w:val="24"/>
          <w:lang w:val="es-ES"/>
        </w:rPr>
        <w:t>no aprobada en desarrollo del d</w:t>
      </w:r>
      <w:r w:rsidR="000818EF" w:rsidRPr="00B22CA9">
        <w:rPr>
          <w:rFonts w:ascii="Times New Roman" w:hAnsi="Times New Roman" w:cs="Times New Roman"/>
          <w:sz w:val="24"/>
          <w:szCs w:val="24"/>
          <w:lang w:val="es-ES"/>
        </w:rPr>
        <w:t xml:space="preserve">erecho de la Unión, </w:t>
      </w:r>
      <w:r w:rsidR="000B778C" w:rsidRPr="00B22CA9">
        <w:rPr>
          <w:rFonts w:ascii="Times New Roman" w:hAnsi="Times New Roman" w:cs="Times New Roman"/>
          <w:sz w:val="24"/>
          <w:szCs w:val="24"/>
          <w:lang w:val="es-ES"/>
        </w:rPr>
        <w:t>valora</w:t>
      </w:r>
      <w:r w:rsidR="00607C3E" w:rsidRPr="00B22CA9">
        <w:rPr>
          <w:rFonts w:ascii="Times New Roman" w:hAnsi="Times New Roman" w:cs="Times New Roman"/>
          <w:sz w:val="24"/>
          <w:szCs w:val="24"/>
          <w:lang w:val="es-ES"/>
        </w:rPr>
        <w:t>rá</w:t>
      </w:r>
      <w:r w:rsidR="000B778C" w:rsidRPr="00B22CA9">
        <w:rPr>
          <w:rFonts w:ascii="Times New Roman" w:hAnsi="Times New Roman" w:cs="Times New Roman"/>
          <w:sz w:val="24"/>
          <w:szCs w:val="24"/>
          <w:lang w:val="es-ES"/>
        </w:rPr>
        <w:t xml:space="preserve"> el daño que la independencia judicial y el</w:t>
      </w:r>
      <w:r w:rsidR="000818EF" w:rsidRPr="00B22CA9">
        <w:rPr>
          <w:rFonts w:ascii="Times New Roman" w:hAnsi="Times New Roman" w:cs="Times New Roman"/>
          <w:sz w:val="24"/>
          <w:szCs w:val="24"/>
          <w:lang w:val="es-ES"/>
        </w:rPr>
        <w:t xml:space="preserve"> derecho a l</w:t>
      </w:r>
      <w:r w:rsidR="00B962D6" w:rsidRPr="00B22CA9">
        <w:rPr>
          <w:rFonts w:ascii="Times New Roman" w:hAnsi="Times New Roman" w:cs="Times New Roman"/>
          <w:sz w:val="24"/>
          <w:szCs w:val="24"/>
          <w:lang w:val="es-ES"/>
        </w:rPr>
        <w:t xml:space="preserve">a tutela judicial efectiva </w:t>
      </w:r>
      <w:r w:rsidR="000818EF" w:rsidRPr="00B22CA9">
        <w:rPr>
          <w:rFonts w:ascii="Times New Roman" w:hAnsi="Times New Roman" w:cs="Times New Roman"/>
          <w:sz w:val="24"/>
          <w:szCs w:val="24"/>
          <w:lang w:val="es-ES"/>
        </w:rPr>
        <w:t>est</w:t>
      </w:r>
      <w:r w:rsidR="0009659B" w:rsidRPr="00B22CA9">
        <w:rPr>
          <w:rFonts w:ascii="Times New Roman" w:hAnsi="Times New Roman" w:cs="Times New Roman"/>
          <w:sz w:val="24"/>
          <w:szCs w:val="24"/>
          <w:lang w:val="es-ES"/>
        </w:rPr>
        <w:t>én</w:t>
      </w:r>
      <w:r w:rsidR="000818EF" w:rsidRPr="00B22CA9">
        <w:rPr>
          <w:rFonts w:ascii="Times New Roman" w:hAnsi="Times New Roman" w:cs="Times New Roman"/>
          <w:sz w:val="24"/>
          <w:szCs w:val="24"/>
          <w:lang w:val="es-ES"/>
        </w:rPr>
        <w:t xml:space="preserve"> sufriendo en Polonia.</w:t>
      </w:r>
      <w:r w:rsidR="000B778C" w:rsidRPr="00B22CA9">
        <w:rPr>
          <w:rFonts w:ascii="Times New Roman" w:hAnsi="Times New Roman" w:cs="Times New Roman"/>
          <w:sz w:val="24"/>
          <w:szCs w:val="24"/>
          <w:lang w:val="es-ES"/>
        </w:rPr>
        <w:t xml:space="preserve"> No sería aventurado </w:t>
      </w:r>
      <w:r w:rsidR="00B962D6" w:rsidRPr="00B22CA9">
        <w:rPr>
          <w:rFonts w:ascii="Times New Roman" w:hAnsi="Times New Roman" w:cs="Times New Roman"/>
          <w:sz w:val="24"/>
          <w:szCs w:val="24"/>
          <w:lang w:val="es-ES"/>
        </w:rPr>
        <w:t>vaticinar</w:t>
      </w:r>
      <w:r w:rsidR="000B778C" w:rsidRPr="00B22CA9">
        <w:rPr>
          <w:rFonts w:ascii="Times New Roman" w:hAnsi="Times New Roman" w:cs="Times New Roman"/>
          <w:sz w:val="24"/>
          <w:szCs w:val="24"/>
          <w:lang w:val="es-ES"/>
        </w:rPr>
        <w:t xml:space="preserve"> que, </w:t>
      </w:r>
      <w:r w:rsidR="00B962D6" w:rsidRPr="00B22CA9">
        <w:rPr>
          <w:rFonts w:ascii="Times New Roman" w:hAnsi="Times New Roman" w:cs="Times New Roman"/>
          <w:sz w:val="24"/>
          <w:szCs w:val="24"/>
          <w:lang w:val="es-ES"/>
        </w:rPr>
        <w:t>en concordancia con</w:t>
      </w:r>
      <w:r w:rsidR="000B778C" w:rsidRPr="00B22CA9">
        <w:rPr>
          <w:rFonts w:ascii="Times New Roman" w:hAnsi="Times New Roman" w:cs="Times New Roman"/>
          <w:sz w:val="24"/>
          <w:szCs w:val="24"/>
          <w:lang w:val="es-ES"/>
        </w:rPr>
        <w:t xml:space="preserve"> las estrategias </w:t>
      </w:r>
      <w:r w:rsidR="00B962D6" w:rsidRPr="00B22CA9">
        <w:rPr>
          <w:rFonts w:ascii="Times New Roman" w:hAnsi="Times New Roman" w:cs="Times New Roman"/>
          <w:sz w:val="24"/>
          <w:szCs w:val="24"/>
          <w:lang w:val="es-ES"/>
        </w:rPr>
        <w:t>descritas como</w:t>
      </w:r>
      <w:r w:rsidR="000B778C" w:rsidRPr="00B22CA9">
        <w:rPr>
          <w:rFonts w:ascii="Times New Roman" w:hAnsi="Times New Roman" w:cs="Times New Roman"/>
          <w:sz w:val="24"/>
          <w:szCs w:val="24"/>
          <w:lang w:val="es-ES"/>
        </w:rPr>
        <w:t xml:space="preserve"> integración encubierta, </w:t>
      </w:r>
      <w:r w:rsidR="00B962D6" w:rsidRPr="00B22CA9">
        <w:rPr>
          <w:rFonts w:ascii="Times New Roman" w:hAnsi="Times New Roman" w:cs="Times New Roman"/>
          <w:sz w:val="24"/>
          <w:szCs w:val="24"/>
          <w:lang w:val="es-ES"/>
        </w:rPr>
        <w:t>en esta ocasión el Tribunal se decidiese a articular una argumentación que potenciase el valor de la declaración de incumplimiento</w:t>
      </w:r>
      <w:r w:rsidR="0009659B" w:rsidRPr="00B22CA9">
        <w:rPr>
          <w:rFonts w:ascii="Times New Roman" w:hAnsi="Times New Roman" w:cs="Times New Roman"/>
          <w:sz w:val="24"/>
          <w:szCs w:val="24"/>
          <w:lang w:val="es-ES"/>
        </w:rPr>
        <w:t>,</w:t>
      </w:r>
      <w:r w:rsidR="00B962D6" w:rsidRPr="00B22CA9">
        <w:rPr>
          <w:rFonts w:ascii="Times New Roman" w:hAnsi="Times New Roman" w:cs="Times New Roman"/>
          <w:sz w:val="24"/>
          <w:szCs w:val="24"/>
          <w:lang w:val="es-ES"/>
        </w:rPr>
        <w:t xml:space="preserve"> </w:t>
      </w:r>
      <w:r w:rsidR="00B962D6" w:rsidRPr="00B22CA9">
        <w:rPr>
          <w:rFonts w:ascii="Times New Roman" w:hAnsi="Times New Roman" w:cs="Times New Roman"/>
          <w:sz w:val="24"/>
          <w:szCs w:val="24"/>
          <w:lang w:val="es-ES"/>
        </w:rPr>
        <w:lastRenderedPageBreak/>
        <w:t xml:space="preserve">incluyendo la infracción de los derechos. Los precedentes sentados aportan el asidero del artículo 19 TUE, este facilita la justificación conforme al 51 de la Carta y el apoyo en la directiva antidiscriminación evita un fallo </w:t>
      </w:r>
      <w:r w:rsidR="0009659B" w:rsidRPr="00B22CA9">
        <w:rPr>
          <w:rFonts w:ascii="Times New Roman" w:hAnsi="Times New Roman" w:cs="Times New Roman"/>
          <w:sz w:val="24"/>
          <w:szCs w:val="24"/>
          <w:lang w:val="es-ES"/>
        </w:rPr>
        <w:t>basado solo en interpretaciones de principios. Un</w:t>
      </w:r>
      <w:r w:rsidR="00B962D6" w:rsidRPr="00B22CA9">
        <w:rPr>
          <w:rFonts w:ascii="Times New Roman" w:hAnsi="Times New Roman" w:cs="Times New Roman"/>
          <w:sz w:val="24"/>
          <w:szCs w:val="24"/>
          <w:lang w:val="es-ES"/>
        </w:rPr>
        <w:t xml:space="preserve"> resultado</w:t>
      </w:r>
      <w:r w:rsidR="0009659B" w:rsidRPr="00B22CA9">
        <w:rPr>
          <w:rFonts w:ascii="Times New Roman" w:hAnsi="Times New Roman" w:cs="Times New Roman"/>
          <w:sz w:val="24"/>
          <w:szCs w:val="24"/>
          <w:lang w:val="es-ES"/>
        </w:rPr>
        <w:t xml:space="preserve"> así</w:t>
      </w:r>
      <w:r w:rsidR="00B962D6" w:rsidRPr="00B22CA9">
        <w:rPr>
          <w:rFonts w:ascii="Times New Roman" w:hAnsi="Times New Roman" w:cs="Times New Roman"/>
          <w:sz w:val="24"/>
          <w:szCs w:val="24"/>
          <w:lang w:val="es-ES"/>
        </w:rPr>
        <w:t xml:space="preserve"> facilitaría, en casos venideros, la sanción de las actuaciones estatales no respetuosas con la tutela judicial.</w:t>
      </w:r>
      <w:r w:rsidR="0009659B" w:rsidRPr="00B22CA9">
        <w:rPr>
          <w:rFonts w:ascii="Times New Roman" w:hAnsi="Times New Roman" w:cs="Times New Roman"/>
          <w:sz w:val="24"/>
          <w:szCs w:val="24"/>
          <w:lang w:val="es-ES"/>
        </w:rPr>
        <w:t xml:space="preserve"> Sobre otros derechos fundament</w:t>
      </w:r>
      <w:r w:rsidR="00607C3E" w:rsidRPr="00B22CA9">
        <w:rPr>
          <w:rFonts w:ascii="Times New Roman" w:hAnsi="Times New Roman" w:cs="Times New Roman"/>
          <w:sz w:val="24"/>
          <w:szCs w:val="24"/>
          <w:lang w:val="es-ES"/>
        </w:rPr>
        <w:t>ales aún es difícil conjeturar</w:t>
      </w:r>
      <w:r w:rsidR="0009659B" w:rsidRPr="00B22CA9">
        <w:rPr>
          <w:rFonts w:ascii="Times New Roman" w:hAnsi="Times New Roman" w:cs="Times New Roman"/>
          <w:sz w:val="24"/>
          <w:szCs w:val="24"/>
          <w:lang w:val="es-ES"/>
        </w:rPr>
        <w:t>.</w:t>
      </w:r>
      <w:r w:rsidR="00B962D6" w:rsidRPr="00B22CA9">
        <w:rPr>
          <w:rFonts w:ascii="Times New Roman" w:hAnsi="Times New Roman" w:cs="Times New Roman"/>
          <w:sz w:val="24"/>
          <w:szCs w:val="24"/>
          <w:lang w:val="es-ES"/>
        </w:rPr>
        <w:t xml:space="preserve">  </w:t>
      </w:r>
    </w:p>
    <w:p w:rsidR="00EF3F83" w:rsidRPr="00B22CA9" w:rsidRDefault="00EF3F83" w:rsidP="00EF3F83">
      <w:pPr>
        <w:spacing w:line="240" w:lineRule="auto"/>
        <w:jc w:val="both"/>
        <w:rPr>
          <w:rFonts w:ascii="Times New Roman" w:hAnsi="Times New Roman" w:cs="Times New Roman"/>
          <w:sz w:val="24"/>
          <w:szCs w:val="24"/>
          <w:lang w:val="es-ES"/>
        </w:rPr>
      </w:pPr>
    </w:p>
    <w:p w:rsidR="00C873BC" w:rsidRPr="00B22CA9" w:rsidRDefault="00CD4967" w:rsidP="007F11DF">
      <w:pPr>
        <w:spacing w:line="240" w:lineRule="auto"/>
        <w:rPr>
          <w:rFonts w:ascii="Times New Roman" w:hAnsi="Times New Roman" w:cs="Times New Roman"/>
          <w:b/>
          <w:bCs/>
          <w:sz w:val="24"/>
          <w:szCs w:val="24"/>
          <w:lang w:val="es-ES"/>
        </w:rPr>
      </w:pPr>
      <w:r w:rsidRPr="00B22CA9">
        <w:rPr>
          <w:rFonts w:ascii="Times New Roman" w:hAnsi="Times New Roman" w:cs="Times New Roman"/>
          <w:b/>
          <w:bCs/>
          <w:sz w:val="24"/>
          <w:szCs w:val="24"/>
          <w:lang w:val="es-ES"/>
        </w:rPr>
        <w:t>V</w:t>
      </w:r>
      <w:r w:rsidR="00C873BC" w:rsidRPr="00B22CA9">
        <w:rPr>
          <w:rFonts w:ascii="Times New Roman" w:hAnsi="Times New Roman" w:cs="Times New Roman"/>
          <w:b/>
          <w:bCs/>
          <w:sz w:val="24"/>
          <w:szCs w:val="24"/>
          <w:lang w:val="es-ES"/>
        </w:rPr>
        <w:t xml:space="preserve">. </w:t>
      </w:r>
      <w:r w:rsidR="00674907" w:rsidRPr="00B22CA9">
        <w:rPr>
          <w:rFonts w:ascii="Times New Roman" w:hAnsi="Times New Roman" w:cs="Times New Roman"/>
          <w:b/>
          <w:bCs/>
          <w:sz w:val="24"/>
          <w:szCs w:val="24"/>
          <w:lang w:val="es-ES"/>
        </w:rPr>
        <w:tab/>
      </w:r>
      <w:r w:rsidR="00C873BC" w:rsidRPr="00B22CA9">
        <w:rPr>
          <w:rFonts w:ascii="Times New Roman" w:hAnsi="Times New Roman" w:cs="Times New Roman"/>
          <w:b/>
          <w:bCs/>
          <w:sz w:val="24"/>
          <w:szCs w:val="24"/>
          <w:lang w:val="es-ES"/>
        </w:rPr>
        <w:t xml:space="preserve">Conclusiones </w:t>
      </w:r>
    </w:p>
    <w:p w:rsidR="00674907" w:rsidRPr="00B22CA9" w:rsidRDefault="00433988" w:rsidP="00674907">
      <w:pPr>
        <w:spacing w:line="240" w:lineRule="auto"/>
        <w:ind w:firstLine="720"/>
        <w:jc w:val="both"/>
        <w:rPr>
          <w:rFonts w:ascii="Times New Roman" w:hAnsi="Times New Roman" w:cs="Times New Roman"/>
          <w:sz w:val="24"/>
          <w:szCs w:val="24"/>
          <w:lang w:val="es-ES"/>
        </w:rPr>
      </w:pPr>
      <w:r w:rsidRPr="00B22CA9">
        <w:rPr>
          <w:rFonts w:ascii="Times New Roman" w:hAnsi="Times New Roman" w:cs="Times New Roman"/>
          <w:sz w:val="24"/>
          <w:szCs w:val="24"/>
          <w:lang w:val="es-ES"/>
        </w:rPr>
        <w:t>La caracterización justiciable</w:t>
      </w:r>
      <w:r w:rsidR="00674907" w:rsidRPr="00B22CA9">
        <w:rPr>
          <w:rFonts w:ascii="Times New Roman" w:hAnsi="Times New Roman" w:cs="Times New Roman"/>
          <w:sz w:val="24"/>
          <w:szCs w:val="24"/>
          <w:lang w:val="es-ES"/>
        </w:rPr>
        <w:t xml:space="preserve"> de los derechos fundamentales a través del r</w:t>
      </w:r>
      <w:r w:rsidR="00491F26" w:rsidRPr="00B22CA9">
        <w:rPr>
          <w:rFonts w:ascii="Times New Roman" w:hAnsi="Times New Roman" w:cs="Times New Roman"/>
          <w:sz w:val="24"/>
          <w:szCs w:val="24"/>
          <w:lang w:val="es-ES"/>
        </w:rPr>
        <w:t>ecurso por incumplimiento ahonda en</w:t>
      </w:r>
      <w:r w:rsidR="00674907" w:rsidRPr="00B22CA9">
        <w:rPr>
          <w:rFonts w:ascii="Times New Roman" w:hAnsi="Times New Roman" w:cs="Times New Roman"/>
          <w:sz w:val="24"/>
          <w:szCs w:val="24"/>
          <w:lang w:val="es-ES"/>
        </w:rPr>
        <w:t xml:space="preserve"> la naturaleza constitucional y federal de</w:t>
      </w:r>
      <w:r w:rsidR="00491F26" w:rsidRPr="00B22CA9">
        <w:rPr>
          <w:rFonts w:ascii="Times New Roman" w:hAnsi="Times New Roman" w:cs="Times New Roman"/>
          <w:sz w:val="24"/>
          <w:szCs w:val="24"/>
          <w:lang w:val="es-ES"/>
        </w:rPr>
        <w:t xml:space="preserve"> </w:t>
      </w:r>
      <w:r w:rsidR="00674907" w:rsidRPr="00B22CA9">
        <w:rPr>
          <w:rFonts w:ascii="Times New Roman" w:hAnsi="Times New Roman" w:cs="Times New Roman"/>
          <w:sz w:val="24"/>
          <w:szCs w:val="24"/>
          <w:lang w:val="es-ES"/>
        </w:rPr>
        <w:t>l</w:t>
      </w:r>
      <w:r w:rsidR="00491F26" w:rsidRPr="00B22CA9">
        <w:rPr>
          <w:rFonts w:ascii="Times New Roman" w:hAnsi="Times New Roman" w:cs="Times New Roman"/>
          <w:sz w:val="24"/>
          <w:szCs w:val="24"/>
          <w:lang w:val="es-ES"/>
        </w:rPr>
        <w:t>a Unión Europea</w:t>
      </w:r>
      <w:r w:rsidR="00674907" w:rsidRPr="00B22CA9">
        <w:rPr>
          <w:rFonts w:ascii="Times New Roman" w:hAnsi="Times New Roman" w:cs="Times New Roman"/>
          <w:sz w:val="24"/>
          <w:szCs w:val="24"/>
          <w:lang w:val="es-ES"/>
        </w:rPr>
        <w:t xml:space="preserve">. Todo complejo normativo de naturaleza constitucional requiere mecanismos de garantía de los derechos y de los principios constitucionales democráticos. </w:t>
      </w:r>
      <w:r w:rsidR="00491F26" w:rsidRPr="00B22CA9">
        <w:rPr>
          <w:rFonts w:ascii="Times New Roman" w:hAnsi="Times New Roman" w:cs="Times New Roman"/>
          <w:sz w:val="24"/>
          <w:szCs w:val="24"/>
          <w:lang w:val="es-ES"/>
        </w:rPr>
        <w:t>Pero e</w:t>
      </w:r>
      <w:r w:rsidR="00674907" w:rsidRPr="00B22CA9">
        <w:rPr>
          <w:rFonts w:ascii="Times New Roman" w:hAnsi="Times New Roman" w:cs="Times New Roman"/>
          <w:sz w:val="24"/>
          <w:szCs w:val="24"/>
          <w:lang w:val="es-ES"/>
        </w:rPr>
        <w:t xml:space="preserve">n la Unión, la eficacia de esos mecanismos ha de equilibrarse conforme a los parámetros propios de </w:t>
      </w:r>
      <w:r w:rsidR="009A171C" w:rsidRPr="00B22CA9">
        <w:rPr>
          <w:rFonts w:ascii="Times New Roman" w:hAnsi="Times New Roman" w:cs="Times New Roman"/>
          <w:sz w:val="24"/>
          <w:szCs w:val="24"/>
          <w:lang w:val="es-ES"/>
        </w:rPr>
        <w:t>la</w:t>
      </w:r>
      <w:r w:rsidR="00674907" w:rsidRPr="00B22CA9">
        <w:rPr>
          <w:rFonts w:ascii="Times New Roman" w:hAnsi="Times New Roman" w:cs="Times New Roman"/>
          <w:sz w:val="24"/>
          <w:szCs w:val="24"/>
          <w:lang w:val="es-ES"/>
        </w:rPr>
        <w:t xml:space="preserve"> pluralidad constitucional</w:t>
      </w:r>
      <w:r w:rsidR="009A171C" w:rsidRPr="00B22CA9">
        <w:rPr>
          <w:rFonts w:ascii="Times New Roman" w:hAnsi="Times New Roman" w:cs="Times New Roman"/>
          <w:sz w:val="24"/>
          <w:szCs w:val="24"/>
          <w:lang w:val="es-ES"/>
        </w:rPr>
        <w:t xml:space="preserve"> en la que se sustentan sus relaciones con los Estados</w:t>
      </w:r>
      <w:r w:rsidR="00491F26" w:rsidRPr="00B22CA9">
        <w:rPr>
          <w:rFonts w:ascii="Times New Roman" w:hAnsi="Times New Roman" w:cs="Times New Roman"/>
          <w:sz w:val="24"/>
          <w:szCs w:val="24"/>
          <w:lang w:val="es-ES"/>
        </w:rPr>
        <w:t xml:space="preserve">. </w:t>
      </w:r>
      <w:r w:rsidR="00674907" w:rsidRPr="00B22CA9">
        <w:rPr>
          <w:rFonts w:ascii="Times New Roman" w:hAnsi="Times New Roman" w:cs="Times New Roman"/>
          <w:sz w:val="24"/>
          <w:szCs w:val="24"/>
          <w:lang w:val="es-ES"/>
        </w:rPr>
        <w:t xml:space="preserve">  </w:t>
      </w:r>
    </w:p>
    <w:p w:rsidR="00F71839" w:rsidRPr="00B22CA9" w:rsidRDefault="00674907" w:rsidP="007F11DF">
      <w:pPr>
        <w:spacing w:line="240" w:lineRule="auto"/>
        <w:jc w:val="both"/>
        <w:rPr>
          <w:rFonts w:ascii="Times New Roman" w:hAnsi="Times New Roman" w:cs="Times New Roman"/>
          <w:sz w:val="24"/>
          <w:szCs w:val="24"/>
          <w:lang w:val="es-ES"/>
        </w:rPr>
      </w:pPr>
      <w:r w:rsidRPr="00B22CA9">
        <w:rPr>
          <w:rFonts w:ascii="Times New Roman" w:hAnsi="Times New Roman" w:cs="Times New Roman"/>
          <w:sz w:val="24"/>
          <w:szCs w:val="24"/>
          <w:lang w:val="es-ES"/>
        </w:rPr>
        <w:tab/>
      </w:r>
      <w:r w:rsidR="00914813" w:rsidRPr="00B22CA9">
        <w:rPr>
          <w:rFonts w:ascii="Times New Roman" w:hAnsi="Times New Roman" w:cs="Times New Roman"/>
          <w:sz w:val="24"/>
          <w:szCs w:val="24"/>
          <w:lang w:val="es-ES"/>
        </w:rPr>
        <w:t xml:space="preserve">El recurso por incumplimiento </w:t>
      </w:r>
      <w:r w:rsidR="00491F26" w:rsidRPr="00B22CA9">
        <w:rPr>
          <w:rFonts w:ascii="Times New Roman" w:hAnsi="Times New Roman" w:cs="Times New Roman"/>
          <w:sz w:val="24"/>
          <w:szCs w:val="24"/>
          <w:lang w:val="es-ES"/>
        </w:rPr>
        <w:t xml:space="preserve">es una </w:t>
      </w:r>
      <w:r w:rsidR="00F71839" w:rsidRPr="00B22CA9">
        <w:rPr>
          <w:rFonts w:ascii="Times New Roman" w:hAnsi="Times New Roman" w:cs="Times New Roman"/>
          <w:sz w:val="24"/>
          <w:szCs w:val="24"/>
          <w:lang w:val="es-ES"/>
        </w:rPr>
        <w:t>herramienta</w:t>
      </w:r>
      <w:r w:rsidR="00491F26" w:rsidRPr="00B22CA9">
        <w:rPr>
          <w:rFonts w:ascii="Times New Roman" w:hAnsi="Times New Roman" w:cs="Times New Roman"/>
          <w:sz w:val="24"/>
          <w:szCs w:val="24"/>
          <w:lang w:val="es-ES"/>
        </w:rPr>
        <w:t xml:space="preserve"> limitada</w:t>
      </w:r>
      <w:r w:rsidR="00F71839" w:rsidRPr="00B22CA9">
        <w:rPr>
          <w:rFonts w:ascii="Times New Roman" w:hAnsi="Times New Roman" w:cs="Times New Roman"/>
          <w:sz w:val="24"/>
          <w:szCs w:val="24"/>
          <w:lang w:val="es-ES"/>
        </w:rPr>
        <w:t xml:space="preserve"> </w:t>
      </w:r>
      <w:r w:rsidR="00491F26" w:rsidRPr="00B22CA9">
        <w:rPr>
          <w:rFonts w:ascii="Times New Roman" w:hAnsi="Times New Roman" w:cs="Times New Roman"/>
          <w:sz w:val="24"/>
          <w:szCs w:val="24"/>
          <w:lang w:val="es-ES"/>
        </w:rPr>
        <w:t>para proteger l</w:t>
      </w:r>
      <w:r w:rsidR="00F71839" w:rsidRPr="00B22CA9">
        <w:rPr>
          <w:rFonts w:ascii="Times New Roman" w:hAnsi="Times New Roman" w:cs="Times New Roman"/>
          <w:sz w:val="24"/>
          <w:szCs w:val="24"/>
          <w:lang w:val="es-ES"/>
        </w:rPr>
        <w:t xml:space="preserve">os derechos fundamentales </w:t>
      </w:r>
      <w:r w:rsidR="00491F26" w:rsidRPr="00B22CA9">
        <w:rPr>
          <w:rFonts w:ascii="Times New Roman" w:hAnsi="Times New Roman" w:cs="Times New Roman"/>
          <w:sz w:val="24"/>
          <w:szCs w:val="24"/>
          <w:lang w:val="es-ES"/>
        </w:rPr>
        <w:t>en los Estados miembros</w:t>
      </w:r>
      <w:r w:rsidR="00F454AA" w:rsidRPr="00B22CA9">
        <w:rPr>
          <w:rFonts w:ascii="Times New Roman" w:hAnsi="Times New Roman" w:cs="Times New Roman"/>
          <w:sz w:val="24"/>
          <w:szCs w:val="24"/>
          <w:lang w:val="es-ES"/>
        </w:rPr>
        <w:t xml:space="preserve"> y para </w:t>
      </w:r>
      <w:r w:rsidR="00491F26" w:rsidRPr="00B22CA9">
        <w:rPr>
          <w:rFonts w:ascii="Times New Roman" w:hAnsi="Times New Roman" w:cs="Times New Roman"/>
          <w:sz w:val="24"/>
          <w:szCs w:val="24"/>
          <w:lang w:val="es-ES"/>
        </w:rPr>
        <w:t>que se</w:t>
      </w:r>
      <w:r w:rsidR="00F454AA" w:rsidRPr="00B22CA9">
        <w:rPr>
          <w:rFonts w:ascii="Times New Roman" w:hAnsi="Times New Roman" w:cs="Times New Roman"/>
          <w:sz w:val="24"/>
          <w:szCs w:val="24"/>
          <w:lang w:val="es-ES"/>
        </w:rPr>
        <w:t xml:space="preserve"> rectifi</w:t>
      </w:r>
      <w:r w:rsidR="00491F26" w:rsidRPr="00B22CA9">
        <w:rPr>
          <w:rFonts w:ascii="Times New Roman" w:hAnsi="Times New Roman" w:cs="Times New Roman"/>
          <w:sz w:val="24"/>
          <w:szCs w:val="24"/>
          <w:lang w:val="es-ES"/>
        </w:rPr>
        <w:t>quen</w:t>
      </w:r>
      <w:r w:rsidR="00F454AA" w:rsidRPr="00B22CA9">
        <w:rPr>
          <w:rFonts w:ascii="Times New Roman" w:hAnsi="Times New Roman" w:cs="Times New Roman"/>
          <w:sz w:val="24"/>
          <w:szCs w:val="24"/>
          <w:lang w:val="es-ES"/>
        </w:rPr>
        <w:t xml:space="preserve"> </w:t>
      </w:r>
      <w:r w:rsidR="00491F26" w:rsidRPr="00B22CA9">
        <w:rPr>
          <w:rFonts w:ascii="Times New Roman" w:hAnsi="Times New Roman" w:cs="Times New Roman"/>
          <w:sz w:val="24"/>
          <w:szCs w:val="24"/>
          <w:lang w:val="es-ES"/>
        </w:rPr>
        <w:t>la</w:t>
      </w:r>
      <w:r w:rsidR="00F454AA" w:rsidRPr="00B22CA9">
        <w:rPr>
          <w:rFonts w:ascii="Times New Roman" w:hAnsi="Times New Roman" w:cs="Times New Roman"/>
          <w:sz w:val="24"/>
          <w:szCs w:val="24"/>
          <w:lang w:val="es-ES"/>
        </w:rPr>
        <w:t xml:space="preserve"> infracciones</w:t>
      </w:r>
      <w:r w:rsidR="00F71839" w:rsidRPr="00B22CA9">
        <w:rPr>
          <w:rFonts w:ascii="Times New Roman" w:hAnsi="Times New Roman" w:cs="Times New Roman"/>
          <w:sz w:val="24"/>
          <w:szCs w:val="24"/>
          <w:lang w:val="es-ES"/>
        </w:rPr>
        <w:t xml:space="preserve">. </w:t>
      </w:r>
      <w:r w:rsidR="00491F26" w:rsidRPr="00B22CA9">
        <w:rPr>
          <w:rFonts w:ascii="Times New Roman" w:hAnsi="Times New Roman" w:cs="Times New Roman"/>
          <w:sz w:val="24"/>
          <w:szCs w:val="24"/>
          <w:lang w:val="es-ES"/>
        </w:rPr>
        <w:t>La</w:t>
      </w:r>
      <w:r w:rsidR="00F71839" w:rsidRPr="00B22CA9">
        <w:rPr>
          <w:rFonts w:ascii="Times New Roman" w:hAnsi="Times New Roman" w:cs="Times New Roman"/>
          <w:sz w:val="24"/>
          <w:szCs w:val="24"/>
          <w:lang w:val="es-ES"/>
        </w:rPr>
        <w:t>s limitaciones s</w:t>
      </w:r>
      <w:r w:rsidR="00C95B5D" w:rsidRPr="00B22CA9">
        <w:rPr>
          <w:rFonts w:ascii="Times New Roman" w:hAnsi="Times New Roman" w:cs="Times New Roman"/>
          <w:sz w:val="24"/>
          <w:szCs w:val="24"/>
          <w:lang w:val="es-ES"/>
        </w:rPr>
        <w:t>on</w:t>
      </w:r>
      <w:r w:rsidR="00F71839" w:rsidRPr="00B22CA9">
        <w:rPr>
          <w:rFonts w:ascii="Times New Roman" w:hAnsi="Times New Roman" w:cs="Times New Roman"/>
          <w:sz w:val="24"/>
          <w:szCs w:val="24"/>
          <w:lang w:val="es-ES"/>
        </w:rPr>
        <w:t xml:space="preserve"> menos</w:t>
      </w:r>
      <w:r w:rsidR="00F454AA" w:rsidRPr="00B22CA9">
        <w:rPr>
          <w:rFonts w:ascii="Times New Roman" w:hAnsi="Times New Roman" w:cs="Times New Roman"/>
          <w:sz w:val="24"/>
          <w:szCs w:val="24"/>
          <w:lang w:val="es-ES"/>
        </w:rPr>
        <w:t xml:space="preserve"> significativas</w:t>
      </w:r>
      <w:r w:rsidR="00F71839" w:rsidRPr="00B22CA9">
        <w:rPr>
          <w:rFonts w:ascii="Times New Roman" w:hAnsi="Times New Roman" w:cs="Times New Roman"/>
          <w:sz w:val="24"/>
          <w:szCs w:val="24"/>
          <w:lang w:val="es-ES"/>
        </w:rPr>
        <w:t xml:space="preserve"> cuando se trata de rectificar incumplimientos de derechos fundamentales relacionados directamente con el desarrollo del </w:t>
      </w:r>
      <w:r w:rsidR="00F63142" w:rsidRPr="00B22CA9">
        <w:rPr>
          <w:rFonts w:ascii="Times New Roman" w:hAnsi="Times New Roman" w:cs="Times New Roman"/>
          <w:sz w:val="24"/>
          <w:szCs w:val="24"/>
          <w:lang w:val="es-ES"/>
        </w:rPr>
        <w:t>d</w:t>
      </w:r>
      <w:r w:rsidR="00F71839" w:rsidRPr="00B22CA9">
        <w:rPr>
          <w:rFonts w:ascii="Times New Roman" w:hAnsi="Times New Roman" w:cs="Times New Roman"/>
          <w:sz w:val="24"/>
          <w:szCs w:val="24"/>
          <w:lang w:val="es-ES"/>
        </w:rPr>
        <w:t xml:space="preserve">erecho </w:t>
      </w:r>
      <w:r w:rsidR="00F63142" w:rsidRPr="00B22CA9">
        <w:rPr>
          <w:rFonts w:ascii="Times New Roman" w:hAnsi="Times New Roman" w:cs="Times New Roman"/>
          <w:sz w:val="24"/>
          <w:szCs w:val="24"/>
          <w:lang w:val="es-ES"/>
        </w:rPr>
        <w:t>de la Unión</w:t>
      </w:r>
      <w:r w:rsidR="00C95B5D" w:rsidRPr="00B22CA9">
        <w:rPr>
          <w:rFonts w:ascii="Times New Roman" w:hAnsi="Times New Roman" w:cs="Times New Roman"/>
          <w:sz w:val="24"/>
          <w:szCs w:val="24"/>
          <w:lang w:val="es-ES"/>
        </w:rPr>
        <w:t xml:space="preserve">, </w:t>
      </w:r>
      <w:r w:rsidR="001542C9" w:rsidRPr="00B22CA9">
        <w:rPr>
          <w:rFonts w:ascii="Times New Roman" w:hAnsi="Times New Roman" w:cs="Times New Roman"/>
          <w:sz w:val="24"/>
          <w:szCs w:val="24"/>
          <w:lang w:val="es-ES"/>
        </w:rPr>
        <w:t xml:space="preserve">como transponer </w:t>
      </w:r>
      <w:r w:rsidR="00C95B5D" w:rsidRPr="00B22CA9">
        <w:rPr>
          <w:rFonts w:ascii="Times New Roman" w:hAnsi="Times New Roman" w:cs="Times New Roman"/>
          <w:sz w:val="24"/>
          <w:szCs w:val="24"/>
          <w:lang w:val="es-ES"/>
        </w:rPr>
        <w:t>una directiva o adop</w:t>
      </w:r>
      <w:r w:rsidR="001542C9" w:rsidRPr="00B22CA9">
        <w:rPr>
          <w:rFonts w:ascii="Times New Roman" w:hAnsi="Times New Roman" w:cs="Times New Roman"/>
          <w:sz w:val="24"/>
          <w:szCs w:val="24"/>
          <w:lang w:val="es-ES"/>
        </w:rPr>
        <w:t>tar</w:t>
      </w:r>
      <w:r w:rsidR="00C95B5D" w:rsidRPr="00B22CA9">
        <w:rPr>
          <w:rFonts w:ascii="Times New Roman" w:hAnsi="Times New Roman" w:cs="Times New Roman"/>
          <w:sz w:val="24"/>
          <w:szCs w:val="24"/>
          <w:lang w:val="es-ES"/>
        </w:rPr>
        <w:t xml:space="preserve"> medidas para la ejecución de un reglamento</w:t>
      </w:r>
      <w:r w:rsidR="00F71839" w:rsidRPr="00B22CA9">
        <w:rPr>
          <w:rFonts w:ascii="Times New Roman" w:hAnsi="Times New Roman" w:cs="Times New Roman"/>
          <w:sz w:val="24"/>
          <w:szCs w:val="24"/>
          <w:lang w:val="es-ES"/>
        </w:rPr>
        <w:t xml:space="preserve">. En esos casos los obstáculos </w:t>
      </w:r>
      <w:r w:rsidR="00C95B5D" w:rsidRPr="00B22CA9">
        <w:rPr>
          <w:rFonts w:ascii="Times New Roman" w:hAnsi="Times New Roman" w:cs="Times New Roman"/>
          <w:sz w:val="24"/>
          <w:szCs w:val="24"/>
          <w:lang w:val="es-ES"/>
        </w:rPr>
        <w:t>son los propios de cualquier procedimiento de esta naturaleza</w:t>
      </w:r>
      <w:r w:rsidR="00F71839" w:rsidRPr="00B22CA9">
        <w:rPr>
          <w:rFonts w:ascii="Times New Roman" w:hAnsi="Times New Roman" w:cs="Times New Roman"/>
          <w:sz w:val="24"/>
          <w:szCs w:val="24"/>
          <w:lang w:val="es-ES"/>
        </w:rPr>
        <w:t>: la discrecionalidad en la iniciativa</w:t>
      </w:r>
      <w:r w:rsidR="00F454AA" w:rsidRPr="00B22CA9">
        <w:rPr>
          <w:rFonts w:ascii="Times New Roman" w:hAnsi="Times New Roman" w:cs="Times New Roman"/>
          <w:sz w:val="24"/>
          <w:szCs w:val="24"/>
          <w:lang w:val="es-ES"/>
        </w:rPr>
        <w:t xml:space="preserve"> de la Comisión</w:t>
      </w:r>
      <w:r w:rsidR="00F71839" w:rsidRPr="00B22CA9">
        <w:rPr>
          <w:rFonts w:ascii="Times New Roman" w:hAnsi="Times New Roman" w:cs="Times New Roman"/>
          <w:sz w:val="24"/>
          <w:szCs w:val="24"/>
          <w:lang w:val="es-ES"/>
        </w:rPr>
        <w:t xml:space="preserve">, la opacidad de la fase precontenciosa, las condiciones de efectividad de las sentencias… </w:t>
      </w:r>
      <w:r w:rsidR="00C95B5D" w:rsidRPr="00B22CA9">
        <w:rPr>
          <w:rFonts w:ascii="Times New Roman" w:hAnsi="Times New Roman" w:cs="Times New Roman"/>
          <w:sz w:val="24"/>
          <w:szCs w:val="24"/>
          <w:lang w:val="es-ES"/>
        </w:rPr>
        <w:t>Pero los asuntos que más dificultad</w:t>
      </w:r>
      <w:r w:rsidR="00F71839" w:rsidRPr="00B22CA9">
        <w:rPr>
          <w:rFonts w:ascii="Times New Roman" w:hAnsi="Times New Roman" w:cs="Times New Roman"/>
          <w:sz w:val="24"/>
          <w:szCs w:val="24"/>
          <w:lang w:val="es-ES"/>
        </w:rPr>
        <w:t xml:space="preserve"> </w:t>
      </w:r>
      <w:r w:rsidR="009A171C" w:rsidRPr="00B22CA9">
        <w:rPr>
          <w:rFonts w:ascii="Times New Roman" w:hAnsi="Times New Roman" w:cs="Times New Roman"/>
          <w:sz w:val="24"/>
          <w:szCs w:val="24"/>
          <w:lang w:val="es-ES"/>
        </w:rPr>
        <w:t>plantean</w:t>
      </w:r>
      <w:r w:rsidR="00F71839" w:rsidRPr="00B22CA9">
        <w:rPr>
          <w:rFonts w:ascii="Times New Roman" w:hAnsi="Times New Roman" w:cs="Times New Roman"/>
          <w:sz w:val="24"/>
          <w:szCs w:val="24"/>
          <w:lang w:val="es-ES"/>
        </w:rPr>
        <w:t xml:space="preserve"> no son </w:t>
      </w:r>
      <w:r w:rsidR="00C95B5D" w:rsidRPr="00B22CA9">
        <w:rPr>
          <w:rFonts w:ascii="Times New Roman" w:hAnsi="Times New Roman" w:cs="Times New Roman"/>
          <w:sz w:val="24"/>
          <w:szCs w:val="24"/>
          <w:lang w:val="es-ES"/>
        </w:rPr>
        <w:t>estos</w:t>
      </w:r>
      <w:r w:rsidR="00F71839" w:rsidRPr="00B22CA9">
        <w:rPr>
          <w:rFonts w:ascii="Times New Roman" w:hAnsi="Times New Roman" w:cs="Times New Roman"/>
          <w:sz w:val="24"/>
          <w:szCs w:val="24"/>
          <w:lang w:val="es-ES"/>
        </w:rPr>
        <w:t xml:space="preserve">, sino </w:t>
      </w:r>
      <w:r w:rsidR="00C95B5D" w:rsidRPr="00B22CA9">
        <w:rPr>
          <w:rFonts w:ascii="Times New Roman" w:hAnsi="Times New Roman" w:cs="Times New Roman"/>
          <w:sz w:val="24"/>
          <w:szCs w:val="24"/>
          <w:lang w:val="es-ES"/>
        </w:rPr>
        <w:t>aquellos en los que la</w:t>
      </w:r>
      <w:r w:rsidR="00F71839" w:rsidRPr="00B22CA9">
        <w:rPr>
          <w:rFonts w:ascii="Times New Roman" w:hAnsi="Times New Roman" w:cs="Times New Roman"/>
          <w:sz w:val="24"/>
          <w:szCs w:val="24"/>
          <w:lang w:val="es-ES"/>
        </w:rPr>
        <w:t xml:space="preserve"> Comisión se enfrenta con actuaciones de los Estados miembros en situaciones </w:t>
      </w:r>
      <w:r w:rsidR="00F454AA" w:rsidRPr="00B22CA9">
        <w:rPr>
          <w:rFonts w:ascii="Times New Roman" w:hAnsi="Times New Roman" w:cs="Times New Roman"/>
          <w:sz w:val="24"/>
          <w:szCs w:val="24"/>
          <w:lang w:val="es-ES"/>
        </w:rPr>
        <w:t xml:space="preserve">casi o </w:t>
      </w:r>
      <w:r w:rsidR="00F63142" w:rsidRPr="00B22CA9">
        <w:rPr>
          <w:rFonts w:ascii="Times New Roman" w:hAnsi="Times New Roman" w:cs="Times New Roman"/>
          <w:sz w:val="24"/>
          <w:szCs w:val="24"/>
          <w:lang w:val="es-ES"/>
        </w:rPr>
        <w:t xml:space="preserve">puramente </w:t>
      </w:r>
      <w:r w:rsidR="00F71839" w:rsidRPr="00B22CA9">
        <w:rPr>
          <w:rFonts w:ascii="Times New Roman" w:hAnsi="Times New Roman" w:cs="Times New Roman"/>
          <w:sz w:val="24"/>
          <w:szCs w:val="24"/>
          <w:lang w:val="es-ES"/>
        </w:rPr>
        <w:t>internas</w:t>
      </w:r>
      <w:r w:rsidR="00C95B5D" w:rsidRPr="00B22CA9">
        <w:rPr>
          <w:rFonts w:ascii="Times New Roman" w:hAnsi="Times New Roman" w:cs="Times New Roman"/>
          <w:sz w:val="24"/>
          <w:szCs w:val="24"/>
          <w:lang w:val="es-ES"/>
        </w:rPr>
        <w:t xml:space="preserve">. La alegación de incumplimiento ha de anudarse, ahí, a un mandato de derecho de la Unión que permita proyectar sobre ese ámbito la acción tutelar de la Carta, salvando las limitaciones de su artículo 51. En esos supuestos, </w:t>
      </w:r>
      <w:r w:rsidR="009A171C" w:rsidRPr="00B22CA9">
        <w:rPr>
          <w:rFonts w:ascii="Times New Roman" w:hAnsi="Times New Roman" w:cs="Times New Roman"/>
          <w:sz w:val="24"/>
          <w:szCs w:val="24"/>
          <w:lang w:val="es-ES"/>
        </w:rPr>
        <w:t>l</w:t>
      </w:r>
      <w:r w:rsidR="00C95B5D" w:rsidRPr="00B22CA9">
        <w:rPr>
          <w:rFonts w:ascii="Times New Roman" w:hAnsi="Times New Roman" w:cs="Times New Roman"/>
          <w:sz w:val="24"/>
          <w:szCs w:val="24"/>
          <w:lang w:val="es-ES"/>
        </w:rPr>
        <w:t>a conexión</w:t>
      </w:r>
      <w:r w:rsidR="009A171C" w:rsidRPr="00B22CA9">
        <w:rPr>
          <w:rFonts w:ascii="Times New Roman" w:hAnsi="Times New Roman" w:cs="Times New Roman"/>
          <w:sz w:val="24"/>
          <w:szCs w:val="24"/>
          <w:lang w:val="es-ES"/>
        </w:rPr>
        <w:t xml:space="preserve"> con los derechos fundamentales</w:t>
      </w:r>
      <w:r w:rsidR="00C95B5D" w:rsidRPr="00B22CA9">
        <w:rPr>
          <w:rFonts w:ascii="Times New Roman" w:hAnsi="Times New Roman" w:cs="Times New Roman"/>
          <w:sz w:val="24"/>
          <w:szCs w:val="24"/>
          <w:lang w:val="es-ES"/>
        </w:rPr>
        <w:t xml:space="preserve"> </w:t>
      </w:r>
      <w:r w:rsidR="009A171C" w:rsidRPr="00B22CA9">
        <w:rPr>
          <w:rFonts w:ascii="Times New Roman" w:hAnsi="Times New Roman" w:cs="Times New Roman"/>
          <w:sz w:val="24"/>
          <w:szCs w:val="24"/>
          <w:lang w:val="es-ES"/>
        </w:rPr>
        <w:t>se ha intentado bien sobre la base de las</w:t>
      </w:r>
      <w:r w:rsidR="00C95B5D" w:rsidRPr="00B22CA9">
        <w:rPr>
          <w:rFonts w:ascii="Times New Roman" w:hAnsi="Times New Roman" w:cs="Times New Roman"/>
          <w:sz w:val="24"/>
          <w:szCs w:val="24"/>
          <w:lang w:val="es-ES"/>
        </w:rPr>
        <w:t xml:space="preserve"> libertades económicas, </w:t>
      </w:r>
      <w:r w:rsidR="00F71839" w:rsidRPr="00B22CA9">
        <w:rPr>
          <w:rFonts w:ascii="Times New Roman" w:hAnsi="Times New Roman" w:cs="Times New Roman"/>
          <w:sz w:val="24"/>
          <w:szCs w:val="24"/>
          <w:lang w:val="es-ES"/>
        </w:rPr>
        <w:t>como en los dos casos de Hungría</w:t>
      </w:r>
      <w:r w:rsidR="00C95B5D" w:rsidRPr="00B22CA9">
        <w:rPr>
          <w:rFonts w:ascii="Times New Roman" w:hAnsi="Times New Roman" w:cs="Times New Roman"/>
          <w:sz w:val="24"/>
          <w:szCs w:val="24"/>
          <w:lang w:val="es-ES"/>
        </w:rPr>
        <w:t xml:space="preserve">, </w:t>
      </w:r>
      <w:r w:rsidR="00F71839" w:rsidRPr="00B22CA9">
        <w:rPr>
          <w:rFonts w:ascii="Times New Roman" w:hAnsi="Times New Roman" w:cs="Times New Roman"/>
          <w:sz w:val="24"/>
          <w:szCs w:val="24"/>
          <w:lang w:val="es-ES"/>
        </w:rPr>
        <w:t xml:space="preserve">bien </w:t>
      </w:r>
      <w:r w:rsidR="009A171C" w:rsidRPr="00B22CA9">
        <w:rPr>
          <w:rFonts w:ascii="Times New Roman" w:hAnsi="Times New Roman" w:cs="Times New Roman"/>
          <w:sz w:val="24"/>
          <w:szCs w:val="24"/>
          <w:lang w:val="es-ES"/>
        </w:rPr>
        <w:t>b</w:t>
      </w:r>
      <w:r w:rsidR="001542C9" w:rsidRPr="00B22CA9">
        <w:rPr>
          <w:rFonts w:ascii="Times New Roman" w:hAnsi="Times New Roman" w:cs="Times New Roman"/>
          <w:sz w:val="24"/>
          <w:szCs w:val="24"/>
          <w:lang w:val="es-ES"/>
        </w:rPr>
        <w:t>usca</w:t>
      </w:r>
      <w:r w:rsidR="009A171C" w:rsidRPr="00B22CA9">
        <w:rPr>
          <w:rFonts w:ascii="Times New Roman" w:hAnsi="Times New Roman" w:cs="Times New Roman"/>
          <w:sz w:val="24"/>
          <w:szCs w:val="24"/>
          <w:lang w:val="es-ES"/>
        </w:rPr>
        <w:t>ndo</w:t>
      </w:r>
      <w:r w:rsidR="001542C9" w:rsidRPr="00B22CA9">
        <w:rPr>
          <w:rFonts w:ascii="Times New Roman" w:hAnsi="Times New Roman" w:cs="Times New Roman"/>
          <w:sz w:val="24"/>
          <w:szCs w:val="24"/>
          <w:lang w:val="es-ES"/>
        </w:rPr>
        <w:t xml:space="preserve"> </w:t>
      </w:r>
      <w:r w:rsidR="00C95B5D" w:rsidRPr="00B22CA9">
        <w:rPr>
          <w:rFonts w:ascii="Times New Roman" w:hAnsi="Times New Roman" w:cs="Times New Roman"/>
          <w:sz w:val="24"/>
          <w:szCs w:val="24"/>
          <w:lang w:val="es-ES"/>
        </w:rPr>
        <w:t xml:space="preserve">una conexión </w:t>
      </w:r>
      <w:r w:rsidR="00F71839" w:rsidRPr="00B22CA9">
        <w:rPr>
          <w:rFonts w:ascii="Times New Roman" w:hAnsi="Times New Roman" w:cs="Times New Roman"/>
          <w:sz w:val="24"/>
          <w:szCs w:val="24"/>
          <w:lang w:val="es-ES"/>
        </w:rPr>
        <w:t>abstracta</w:t>
      </w:r>
      <w:r w:rsidR="009A171C" w:rsidRPr="00B22CA9">
        <w:rPr>
          <w:rFonts w:ascii="Times New Roman" w:hAnsi="Times New Roman" w:cs="Times New Roman"/>
          <w:sz w:val="24"/>
          <w:szCs w:val="24"/>
          <w:lang w:val="es-ES"/>
        </w:rPr>
        <w:t>:</w:t>
      </w:r>
      <w:r w:rsidR="00F71839" w:rsidRPr="00B22CA9">
        <w:rPr>
          <w:rFonts w:ascii="Times New Roman" w:hAnsi="Times New Roman" w:cs="Times New Roman"/>
          <w:sz w:val="24"/>
          <w:szCs w:val="24"/>
          <w:lang w:val="es-ES"/>
        </w:rPr>
        <w:t xml:space="preserve"> </w:t>
      </w:r>
      <w:r w:rsidR="00C95B5D" w:rsidRPr="00B22CA9">
        <w:rPr>
          <w:rFonts w:ascii="Times New Roman" w:hAnsi="Times New Roman" w:cs="Times New Roman"/>
          <w:sz w:val="24"/>
          <w:szCs w:val="24"/>
          <w:lang w:val="es-ES"/>
        </w:rPr>
        <w:t>saltando del derecho derivado aplicable al plano de los principios</w:t>
      </w:r>
      <w:r w:rsidR="001542C9" w:rsidRPr="00B22CA9">
        <w:rPr>
          <w:rFonts w:ascii="Times New Roman" w:hAnsi="Times New Roman" w:cs="Times New Roman"/>
          <w:sz w:val="24"/>
          <w:szCs w:val="24"/>
          <w:lang w:val="es-ES"/>
        </w:rPr>
        <w:t xml:space="preserve"> del Tratado y de ahí a los derechos</w:t>
      </w:r>
      <w:r w:rsidR="00C95B5D" w:rsidRPr="00B22CA9">
        <w:rPr>
          <w:rFonts w:ascii="Times New Roman" w:hAnsi="Times New Roman" w:cs="Times New Roman"/>
          <w:sz w:val="24"/>
          <w:szCs w:val="24"/>
          <w:lang w:val="es-ES"/>
        </w:rPr>
        <w:t>. Es</w:t>
      </w:r>
      <w:r w:rsidR="009A171C" w:rsidRPr="00B22CA9">
        <w:rPr>
          <w:rFonts w:ascii="Times New Roman" w:hAnsi="Times New Roman" w:cs="Times New Roman"/>
          <w:sz w:val="24"/>
          <w:szCs w:val="24"/>
          <w:lang w:val="es-ES"/>
        </w:rPr>
        <w:t xml:space="preserve">e es el esquema </w:t>
      </w:r>
      <w:r w:rsidR="00C95B5D" w:rsidRPr="00B22CA9">
        <w:rPr>
          <w:rFonts w:ascii="Times New Roman" w:hAnsi="Times New Roman" w:cs="Times New Roman"/>
          <w:sz w:val="24"/>
          <w:szCs w:val="24"/>
          <w:lang w:val="es-ES"/>
        </w:rPr>
        <w:t>argument</w:t>
      </w:r>
      <w:r w:rsidR="009A171C" w:rsidRPr="00B22CA9">
        <w:rPr>
          <w:rFonts w:ascii="Times New Roman" w:hAnsi="Times New Roman" w:cs="Times New Roman"/>
          <w:sz w:val="24"/>
          <w:szCs w:val="24"/>
          <w:lang w:val="es-ES"/>
        </w:rPr>
        <w:t>al con el que se</w:t>
      </w:r>
      <w:r w:rsidR="001542C9" w:rsidRPr="00B22CA9">
        <w:rPr>
          <w:rFonts w:ascii="Times New Roman" w:hAnsi="Times New Roman" w:cs="Times New Roman"/>
          <w:sz w:val="24"/>
          <w:szCs w:val="24"/>
          <w:lang w:val="es-ES"/>
        </w:rPr>
        <w:t xml:space="preserve"> ataca</w:t>
      </w:r>
      <w:r w:rsidR="00C95B5D" w:rsidRPr="00B22CA9">
        <w:rPr>
          <w:rFonts w:ascii="Times New Roman" w:hAnsi="Times New Roman" w:cs="Times New Roman"/>
          <w:sz w:val="24"/>
          <w:szCs w:val="24"/>
          <w:lang w:val="es-ES"/>
        </w:rPr>
        <w:t xml:space="preserve"> </w:t>
      </w:r>
      <w:r w:rsidR="00F71839" w:rsidRPr="00B22CA9">
        <w:rPr>
          <w:rFonts w:ascii="Times New Roman" w:hAnsi="Times New Roman" w:cs="Times New Roman"/>
          <w:sz w:val="24"/>
          <w:szCs w:val="24"/>
          <w:lang w:val="es-ES"/>
        </w:rPr>
        <w:t>la reforma judicial polaca</w:t>
      </w:r>
      <w:r w:rsidR="009A171C" w:rsidRPr="00B22CA9">
        <w:rPr>
          <w:rFonts w:ascii="Times New Roman" w:hAnsi="Times New Roman" w:cs="Times New Roman"/>
          <w:sz w:val="24"/>
          <w:szCs w:val="24"/>
          <w:lang w:val="es-ES"/>
        </w:rPr>
        <w:t>, vinculándola</w:t>
      </w:r>
      <w:r w:rsidR="00F71839" w:rsidRPr="00B22CA9">
        <w:rPr>
          <w:rFonts w:ascii="Times New Roman" w:hAnsi="Times New Roman" w:cs="Times New Roman"/>
          <w:sz w:val="24"/>
          <w:szCs w:val="24"/>
          <w:lang w:val="es-ES"/>
        </w:rPr>
        <w:t xml:space="preserve"> con el derecho a la tutela judicial efectiva</w:t>
      </w:r>
      <w:r w:rsidR="00094D7F" w:rsidRPr="00B22CA9">
        <w:rPr>
          <w:rFonts w:ascii="Times New Roman" w:hAnsi="Times New Roman" w:cs="Times New Roman"/>
          <w:sz w:val="24"/>
          <w:szCs w:val="24"/>
          <w:lang w:val="es-ES"/>
        </w:rPr>
        <w:t xml:space="preserve"> y </w:t>
      </w:r>
      <w:r w:rsidR="00C95B5D" w:rsidRPr="00B22CA9">
        <w:rPr>
          <w:rFonts w:ascii="Times New Roman" w:hAnsi="Times New Roman" w:cs="Times New Roman"/>
          <w:sz w:val="24"/>
          <w:szCs w:val="24"/>
          <w:lang w:val="es-ES"/>
        </w:rPr>
        <w:t>con</w:t>
      </w:r>
      <w:r w:rsidR="00094D7F" w:rsidRPr="00B22CA9">
        <w:rPr>
          <w:rFonts w:ascii="Times New Roman" w:hAnsi="Times New Roman" w:cs="Times New Roman"/>
          <w:sz w:val="24"/>
          <w:szCs w:val="24"/>
          <w:lang w:val="es-ES"/>
        </w:rPr>
        <w:t xml:space="preserve"> la obligación de los Estados de garantizarla conforme al artículo 19 del TUE.</w:t>
      </w:r>
      <w:r w:rsidR="00F71839" w:rsidRPr="00B22CA9">
        <w:rPr>
          <w:rFonts w:ascii="Times New Roman" w:hAnsi="Times New Roman" w:cs="Times New Roman"/>
          <w:sz w:val="24"/>
          <w:szCs w:val="24"/>
          <w:lang w:val="es-ES"/>
        </w:rPr>
        <w:t xml:space="preserve">  </w:t>
      </w:r>
    </w:p>
    <w:p w:rsidR="00852F41" w:rsidRPr="00B22CA9" w:rsidRDefault="00F71839" w:rsidP="007F11DF">
      <w:pPr>
        <w:spacing w:line="240" w:lineRule="auto"/>
        <w:jc w:val="both"/>
        <w:rPr>
          <w:rFonts w:ascii="Times New Roman" w:hAnsi="Times New Roman" w:cs="Times New Roman"/>
          <w:sz w:val="24"/>
          <w:szCs w:val="24"/>
          <w:lang w:val="es-ES"/>
        </w:rPr>
      </w:pPr>
      <w:r w:rsidRPr="00B22CA9">
        <w:rPr>
          <w:rFonts w:ascii="Times New Roman" w:hAnsi="Times New Roman" w:cs="Times New Roman"/>
          <w:sz w:val="24"/>
          <w:szCs w:val="24"/>
          <w:lang w:val="es-ES"/>
        </w:rPr>
        <w:tab/>
      </w:r>
      <w:r w:rsidR="00C95B5D" w:rsidRPr="00B22CA9">
        <w:rPr>
          <w:rFonts w:ascii="Times New Roman" w:hAnsi="Times New Roman" w:cs="Times New Roman"/>
          <w:sz w:val="24"/>
          <w:szCs w:val="24"/>
          <w:lang w:val="es-ES"/>
        </w:rPr>
        <w:t>A</w:t>
      </w:r>
      <w:r w:rsidRPr="00B22CA9">
        <w:rPr>
          <w:rFonts w:ascii="Times New Roman" w:hAnsi="Times New Roman" w:cs="Times New Roman"/>
          <w:sz w:val="24"/>
          <w:szCs w:val="24"/>
          <w:lang w:val="es-ES"/>
        </w:rPr>
        <w:t>ún</w:t>
      </w:r>
      <w:r w:rsidR="00C95B5D" w:rsidRPr="00B22CA9">
        <w:rPr>
          <w:rFonts w:ascii="Times New Roman" w:hAnsi="Times New Roman" w:cs="Times New Roman"/>
          <w:sz w:val="24"/>
          <w:szCs w:val="24"/>
          <w:lang w:val="es-ES"/>
        </w:rPr>
        <w:t xml:space="preserve"> es incierta</w:t>
      </w:r>
      <w:r w:rsidRPr="00B22CA9">
        <w:rPr>
          <w:rFonts w:ascii="Times New Roman" w:hAnsi="Times New Roman" w:cs="Times New Roman"/>
          <w:sz w:val="24"/>
          <w:szCs w:val="24"/>
          <w:lang w:val="es-ES"/>
        </w:rPr>
        <w:t xml:space="preserve"> la manera en la que el Tribunal de Justicia </w:t>
      </w:r>
      <w:r w:rsidR="00094D7F" w:rsidRPr="00B22CA9">
        <w:rPr>
          <w:rFonts w:ascii="Times New Roman" w:hAnsi="Times New Roman" w:cs="Times New Roman"/>
          <w:sz w:val="24"/>
          <w:szCs w:val="24"/>
          <w:lang w:val="es-ES"/>
        </w:rPr>
        <w:t>dará</w:t>
      </w:r>
      <w:r w:rsidRPr="00B22CA9">
        <w:rPr>
          <w:rFonts w:ascii="Times New Roman" w:hAnsi="Times New Roman" w:cs="Times New Roman"/>
          <w:sz w:val="24"/>
          <w:szCs w:val="24"/>
          <w:lang w:val="es-ES"/>
        </w:rPr>
        <w:t xml:space="preserve"> respuesta a</w:t>
      </w:r>
      <w:r w:rsidR="00C95B5D" w:rsidRPr="00B22CA9">
        <w:rPr>
          <w:rFonts w:ascii="Times New Roman" w:hAnsi="Times New Roman" w:cs="Times New Roman"/>
          <w:sz w:val="24"/>
          <w:szCs w:val="24"/>
          <w:lang w:val="es-ES"/>
        </w:rPr>
        <w:t xml:space="preserve"> ese</w:t>
      </w:r>
      <w:r w:rsidRPr="00B22CA9">
        <w:rPr>
          <w:rFonts w:ascii="Times New Roman" w:hAnsi="Times New Roman" w:cs="Times New Roman"/>
          <w:sz w:val="24"/>
          <w:szCs w:val="24"/>
          <w:lang w:val="es-ES"/>
        </w:rPr>
        <w:t xml:space="preserve"> segundo conjunto de casos. </w:t>
      </w:r>
      <w:r w:rsidR="001542C9" w:rsidRPr="00B22CA9">
        <w:rPr>
          <w:rFonts w:ascii="Times New Roman" w:hAnsi="Times New Roman" w:cs="Times New Roman"/>
          <w:sz w:val="24"/>
          <w:szCs w:val="24"/>
          <w:lang w:val="es-ES"/>
        </w:rPr>
        <w:t xml:space="preserve">La hermenéutica </w:t>
      </w:r>
      <w:r w:rsidRPr="00B22CA9">
        <w:rPr>
          <w:rFonts w:ascii="Times New Roman" w:hAnsi="Times New Roman" w:cs="Times New Roman"/>
          <w:sz w:val="24"/>
          <w:szCs w:val="24"/>
          <w:lang w:val="es-ES"/>
        </w:rPr>
        <w:t>habitual</w:t>
      </w:r>
      <w:r w:rsidR="001542C9" w:rsidRPr="00B22CA9">
        <w:rPr>
          <w:rFonts w:ascii="Times New Roman" w:hAnsi="Times New Roman" w:cs="Times New Roman"/>
          <w:sz w:val="24"/>
          <w:szCs w:val="24"/>
          <w:lang w:val="es-ES"/>
        </w:rPr>
        <w:t>,</w:t>
      </w:r>
      <w:r w:rsidRPr="00B22CA9">
        <w:rPr>
          <w:rFonts w:ascii="Times New Roman" w:hAnsi="Times New Roman" w:cs="Times New Roman"/>
          <w:sz w:val="24"/>
          <w:szCs w:val="24"/>
          <w:lang w:val="es-ES"/>
        </w:rPr>
        <w:t xml:space="preserve"> </w:t>
      </w:r>
      <w:r w:rsidR="001542C9" w:rsidRPr="00B22CA9">
        <w:rPr>
          <w:rFonts w:ascii="Times New Roman" w:hAnsi="Times New Roman" w:cs="Times New Roman"/>
          <w:sz w:val="24"/>
          <w:szCs w:val="24"/>
          <w:lang w:val="es-ES"/>
        </w:rPr>
        <w:t xml:space="preserve">basada en </w:t>
      </w:r>
      <w:r w:rsidRPr="00B22CA9">
        <w:rPr>
          <w:rFonts w:ascii="Times New Roman" w:hAnsi="Times New Roman" w:cs="Times New Roman"/>
          <w:sz w:val="24"/>
          <w:szCs w:val="24"/>
          <w:lang w:val="es-ES"/>
        </w:rPr>
        <w:t>los fines de la integración</w:t>
      </w:r>
      <w:r w:rsidR="001542C9" w:rsidRPr="00B22CA9">
        <w:rPr>
          <w:rFonts w:ascii="Times New Roman" w:hAnsi="Times New Roman" w:cs="Times New Roman"/>
          <w:sz w:val="24"/>
          <w:szCs w:val="24"/>
          <w:lang w:val="es-ES"/>
        </w:rPr>
        <w:t xml:space="preserve">, </w:t>
      </w:r>
      <w:r w:rsidRPr="00B22CA9">
        <w:rPr>
          <w:rFonts w:ascii="Times New Roman" w:hAnsi="Times New Roman" w:cs="Times New Roman"/>
          <w:sz w:val="24"/>
          <w:szCs w:val="24"/>
          <w:lang w:val="es-ES"/>
        </w:rPr>
        <w:t xml:space="preserve">interpreta funcionalmente el </w:t>
      </w:r>
      <w:r w:rsidR="00F63142" w:rsidRPr="00B22CA9">
        <w:rPr>
          <w:rFonts w:ascii="Times New Roman" w:hAnsi="Times New Roman" w:cs="Times New Roman"/>
          <w:sz w:val="24"/>
          <w:szCs w:val="24"/>
          <w:lang w:val="es-ES"/>
        </w:rPr>
        <w:t>d</w:t>
      </w:r>
      <w:r w:rsidRPr="00B22CA9">
        <w:rPr>
          <w:rFonts w:ascii="Times New Roman" w:hAnsi="Times New Roman" w:cs="Times New Roman"/>
          <w:sz w:val="24"/>
          <w:szCs w:val="24"/>
          <w:lang w:val="es-ES"/>
        </w:rPr>
        <w:t>erecho del Estado miembro que coli</w:t>
      </w:r>
      <w:r w:rsidR="00F454AA" w:rsidRPr="00B22CA9">
        <w:rPr>
          <w:rFonts w:ascii="Times New Roman" w:hAnsi="Times New Roman" w:cs="Times New Roman"/>
          <w:sz w:val="24"/>
          <w:szCs w:val="24"/>
          <w:lang w:val="es-ES"/>
        </w:rPr>
        <w:t>siona con las obligaciones establecidas en el derecho de la UE</w:t>
      </w:r>
      <w:r w:rsidR="001542C9" w:rsidRPr="00B22CA9">
        <w:rPr>
          <w:rFonts w:ascii="Times New Roman" w:hAnsi="Times New Roman" w:cs="Times New Roman"/>
          <w:sz w:val="24"/>
          <w:szCs w:val="24"/>
          <w:lang w:val="es-ES"/>
        </w:rPr>
        <w:t>. Esa hermenéutica</w:t>
      </w:r>
      <w:r w:rsidR="00047642" w:rsidRPr="00B22CA9">
        <w:rPr>
          <w:rFonts w:ascii="Times New Roman" w:hAnsi="Times New Roman" w:cs="Times New Roman"/>
          <w:sz w:val="24"/>
          <w:szCs w:val="24"/>
          <w:lang w:val="es-ES"/>
        </w:rPr>
        <w:t xml:space="preserve"> no </w:t>
      </w:r>
      <w:r w:rsidR="00F454AA" w:rsidRPr="00B22CA9">
        <w:rPr>
          <w:rFonts w:ascii="Times New Roman" w:hAnsi="Times New Roman" w:cs="Times New Roman"/>
          <w:sz w:val="24"/>
          <w:szCs w:val="24"/>
          <w:lang w:val="es-ES"/>
        </w:rPr>
        <w:t>p</w:t>
      </w:r>
      <w:r w:rsidR="00852F41" w:rsidRPr="00B22CA9">
        <w:rPr>
          <w:rFonts w:ascii="Times New Roman" w:hAnsi="Times New Roman" w:cs="Times New Roman"/>
          <w:sz w:val="24"/>
          <w:szCs w:val="24"/>
          <w:lang w:val="es-ES"/>
        </w:rPr>
        <w:t>uede</w:t>
      </w:r>
      <w:r w:rsidR="00F454AA" w:rsidRPr="00B22CA9">
        <w:rPr>
          <w:rFonts w:ascii="Times New Roman" w:hAnsi="Times New Roman" w:cs="Times New Roman"/>
          <w:sz w:val="24"/>
          <w:szCs w:val="24"/>
          <w:lang w:val="es-ES"/>
        </w:rPr>
        <w:t xml:space="preserve"> </w:t>
      </w:r>
      <w:r w:rsidR="00852F41" w:rsidRPr="00B22CA9">
        <w:rPr>
          <w:rFonts w:ascii="Times New Roman" w:hAnsi="Times New Roman" w:cs="Times New Roman"/>
          <w:sz w:val="24"/>
          <w:szCs w:val="24"/>
          <w:lang w:val="es-ES"/>
        </w:rPr>
        <w:t xml:space="preserve">actuar </w:t>
      </w:r>
      <w:r w:rsidR="00047642" w:rsidRPr="00B22CA9">
        <w:rPr>
          <w:rFonts w:ascii="Times New Roman" w:hAnsi="Times New Roman" w:cs="Times New Roman"/>
          <w:sz w:val="24"/>
          <w:szCs w:val="24"/>
          <w:lang w:val="es-ES"/>
        </w:rPr>
        <w:t xml:space="preserve">para garantizar los derechos de la Carta </w:t>
      </w:r>
      <w:r w:rsidR="00852F41" w:rsidRPr="00B22CA9">
        <w:rPr>
          <w:rFonts w:ascii="Times New Roman" w:hAnsi="Times New Roman" w:cs="Times New Roman"/>
          <w:sz w:val="24"/>
          <w:szCs w:val="24"/>
          <w:lang w:val="es-ES"/>
        </w:rPr>
        <w:t xml:space="preserve">si la acción del </w:t>
      </w:r>
      <w:r w:rsidR="00047642" w:rsidRPr="00B22CA9">
        <w:rPr>
          <w:rFonts w:ascii="Times New Roman" w:hAnsi="Times New Roman" w:cs="Times New Roman"/>
          <w:sz w:val="24"/>
          <w:szCs w:val="24"/>
          <w:lang w:val="es-ES"/>
        </w:rPr>
        <w:t>Estado m</w:t>
      </w:r>
      <w:r w:rsidR="00852F41" w:rsidRPr="00B22CA9">
        <w:rPr>
          <w:rFonts w:ascii="Times New Roman" w:hAnsi="Times New Roman" w:cs="Times New Roman"/>
          <w:sz w:val="24"/>
          <w:szCs w:val="24"/>
          <w:lang w:val="es-ES"/>
        </w:rPr>
        <w:t>iembro los afecta</w:t>
      </w:r>
      <w:r w:rsidR="00047642" w:rsidRPr="00B22CA9">
        <w:rPr>
          <w:rFonts w:ascii="Times New Roman" w:hAnsi="Times New Roman" w:cs="Times New Roman"/>
          <w:sz w:val="24"/>
          <w:szCs w:val="24"/>
          <w:lang w:val="es-ES"/>
        </w:rPr>
        <w:t xml:space="preserve"> a través de regulaciones que caen fuera de las competencias atribuidas</w:t>
      </w:r>
      <w:r w:rsidR="00852F41" w:rsidRPr="00B22CA9">
        <w:rPr>
          <w:rFonts w:ascii="Times New Roman" w:hAnsi="Times New Roman" w:cs="Times New Roman"/>
          <w:sz w:val="24"/>
          <w:szCs w:val="24"/>
          <w:lang w:val="es-ES"/>
        </w:rPr>
        <w:t xml:space="preserve">. </w:t>
      </w:r>
      <w:r w:rsidR="001542C9" w:rsidRPr="00B22CA9">
        <w:rPr>
          <w:rFonts w:ascii="Times New Roman" w:hAnsi="Times New Roman" w:cs="Times New Roman"/>
          <w:sz w:val="24"/>
          <w:szCs w:val="24"/>
          <w:lang w:val="es-ES"/>
        </w:rPr>
        <w:t>S</w:t>
      </w:r>
      <w:r w:rsidR="00852F41" w:rsidRPr="00B22CA9">
        <w:rPr>
          <w:rFonts w:ascii="Times New Roman" w:hAnsi="Times New Roman" w:cs="Times New Roman"/>
          <w:sz w:val="24"/>
          <w:szCs w:val="24"/>
          <w:lang w:val="es-ES"/>
        </w:rPr>
        <w:t>i las rozan tangencialmente</w:t>
      </w:r>
      <w:r w:rsidR="001542C9" w:rsidRPr="00B22CA9">
        <w:rPr>
          <w:rFonts w:ascii="Times New Roman" w:hAnsi="Times New Roman" w:cs="Times New Roman"/>
          <w:sz w:val="24"/>
          <w:szCs w:val="24"/>
          <w:lang w:val="es-ES"/>
        </w:rPr>
        <w:t>, la cuestión es</w:t>
      </w:r>
      <w:r w:rsidR="00852F41" w:rsidRPr="00B22CA9">
        <w:rPr>
          <w:rFonts w:ascii="Times New Roman" w:hAnsi="Times New Roman" w:cs="Times New Roman"/>
          <w:sz w:val="24"/>
          <w:szCs w:val="24"/>
          <w:lang w:val="es-ES"/>
        </w:rPr>
        <w:t xml:space="preserve"> cómo articular un argumento de defensa de los derechos que evite el riesgo de </w:t>
      </w:r>
      <w:r w:rsidR="00852F41" w:rsidRPr="00B22CA9">
        <w:rPr>
          <w:rFonts w:ascii="Times New Roman" w:hAnsi="Times New Roman" w:cs="Times New Roman"/>
          <w:i/>
          <w:sz w:val="24"/>
          <w:szCs w:val="24"/>
          <w:lang w:val="es-ES"/>
        </w:rPr>
        <w:t>ultra vires</w:t>
      </w:r>
      <w:r w:rsidR="00852F41" w:rsidRPr="00B22CA9">
        <w:rPr>
          <w:rFonts w:ascii="Times New Roman" w:hAnsi="Times New Roman" w:cs="Times New Roman"/>
          <w:sz w:val="24"/>
          <w:szCs w:val="24"/>
          <w:lang w:val="es-ES"/>
        </w:rPr>
        <w:t xml:space="preserve">. El artículo </w:t>
      </w:r>
      <w:r w:rsidR="00047642" w:rsidRPr="00B22CA9">
        <w:rPr>
          <w:rFonts w:ascii="Times New Roman" w:hAnsi="Times New Roman" w:cs="Times New Roman"/>
          <w:sz w:val="24"/>
          <w:szCs w:val="24"/>
          <w:lang w:val="es-ES"/>
        </w:rPr>
        <w:t xml:space="preserve">51 de la Carta es una barrera </w:t>
      </w:r>
      <w:r w:rsidR="00852F41" w:rsidRPr="00B22CA9">
        <w:rPr>
          <w:rFonts w:ascii="Times New Roman" w:hAnsi="Times New Roman" w:cs="Times New Roman"/>
          <w:sz w:val="24"/>
          <w:szCs w:val="24"/>
          <w:lang w:val="es-ES"/>
        </w:rPr>
        <w:t>y, aunque</w:t>
      </w:r>
      <w:r w:rsidR="00047642" w:rsidRPr="00B22CA9">
        <w:rPr>
          <w:rFonts w:ascii="Times New Roman" w:hAnsi="Times New Roman" w:cs="Times New Roman"/>
          <w:sz w:val="24"/>
          <w:szCs w:val="24"/>
          <w:lang w:val="es-ES"/>
        </w:rPr>
        <w:t xml:space="preserve"> haya sido interpretado de una manera abierta por el Tribunal de Justicia</w:t>
      </w:r>
      <w:r w:rsidR="00852F41" w:rsidRPr="00B22CA9">
        <w:rPr>
          <w:rFonts w:ascii="Times New Roman" w:hAnsi="Times New Roman" w:cs="Times New Roman"/>
          <w:sz w:val="24"/>
          <w:szCs w:val="24"/>
          <w:lang w:val="es-ES"/>
        </w:rPr>
        <w:t xml:space="preserve"> en el ámbito de la cuestión prejudicial</w:t>
      </w:r>
      <w:r w:rsidR="00047642" w:rsidRPr="00B22CA9">
        <w:rPr>
          <w:rFonts w:ascii="Times New Roman" w:hAnsi="Times New Roman" w:cs="Times New Roman"/>
          <w:sz w:val="24"/>
          <w:szCs w:val="24"/>
          <w:lang w:val="es-ES"/>
        </w:rPr>
        <w:t xml:space="preserve">, </w:t>
      </w:r>
      <w:r w:rsidR="00852F41" w:rsidRPr="00B22CA9">
        <w:rPr>
          <w:rFonts w:ascii="Times New Roman" w:hAnsi="Times New Roman" w:cs="Times New Roman"/>
          <w:sz w:val="24"/>
          <w:szCs w:val="24"/>
          <w:lang w:val="es-ES"/>
        </w:rPr>
        <w:t xml:space="preserve">eso </w:t>
      </w:r>
      <w:r w:rsidR="00047642" w:rsidRPr="00B22CA9">
        <w:rPr>
          <w:rFonts w:ascii="Times New Roman" w:hAnsi="Times New Roman" w:cs="Times New Roman"/>
          <w:sz w:val="24"/>
          <w:szCs w:val="24"/>
          <w:lang w:val="es-ES"/>
        </w:rPr>
        <w:t xml:space="preserve">no significa que </w:t>
      </w:r>
      <w:r w:rsidR="001542C9" w:rsidRPr="00B22CA9">
        <w:rPr>
          <w:rFonts w:ascii="Times New Roman" w:hAnsi="Times New Roman" w:cs="Times New Roman"/>
          <w:sz w:val="24"/>
          <w:szCs w:val="24"/>
          <w:lang w:val="es-ES"/>
        </w:rPr>
        <w:t xml:space="preserve">esas pautas </w:t>
      </w:r>
      <w:r w:rsidR="00047642" w:rsidRPr="00B22CA9">
        <w:rPr>
          <w:rFonts w:ascii="Times New Roman" w:hAnsi="Times New Roman" w:cs="Times New Roman"/>
          <w:sz w:val="24"/>
          <w:szCs w:val="24"/>
          <w:lang w:val="es-ES"/>
        </w:rPr>
        <w:t>pueda</w:t>
      </w:r>
      <w:r w:rsidR="001542C9" w:rsidRPr="00B22CA9">
        <w:rPr>
          <w:rFonts w:ascii="Times New Roman" w:hAnsi="Times New Roman" w:cs="Times New Roman"/>
          <w:sz w:val="24"/>
          <w:szCs w:val="24"/>
          <w:lang w:val="es-ES"/>
        </w:rPr>
        <w:t>n</w:t>
      </w:r>
      <w:r w:rsidR="00047642" w:rsidRPr="00B22CA9">
        <w:rPr>
          <w:rFonts w:ascii="Times New Roman" w:hAnsi="Times New Roman" w:cs="Times New Roman"/>
          <w:sz w:val="24"/>
          <w:szCs w:val="24"/>
          <w:lang w:val="es-ES"/>
        </w:rPr>
        <w:t xml:space="preserve"> trasladarse en los mismos términos a la esfera del recurso por incumplimiento.</w:t>
      </w:r>
      <w:r w:rsidR="00F454AA" w:rsidRPr="00B22CA9">
        <w:rPr>
          <w:rFonts w:ascii="Times New Roman" w:hAnsi="Times New Roman" w:cs="Times New Roman"/>
          <w:sz w:val="24"/>
          <w:szCs w:val="24"/>
          <w:lang w:val="es-ES"/>
        </w:rPr>
        <w:t xml:space="preserve"> </w:t>
      </w:r>
      <w:r w:rsidR="001542C9" w:rsidRPr="00B22CA9">
        <w:rPr>
          <w:rFonts w:ascii="Times New Roman" w:hAnsi="Times New Roman" w:cs="Times New Roman"/>
          <w:sz w:val="24"/>
          <w:szCs w:val="24"/>
          <w:lang w:val="es-ES"/>
        </w:rPr>
        <w:t>Por otra parte,</w:t>
      </w:r>
      <w:r w:rsidR="00852F41" w:rsidRPr="00B22CA9">
        <w:rPr>
          <w:rFonts w:ascii="Times New Roman" w:hAnsi="Times New Roman" w:cs="Times New Roman"/>
          <w:sz w:val="24"/>
          <w:szCs w:val="24"/>
          <w:lang w:val="es-ES"/>
        </w:rPr>
        <w:t xml:space="preserve"> t</w:t>
      </w:r>
      <w:r w:rsidR="00F454AA" w:rsidRPr="00B22CA9">
        <w:rPr>
          <w:rFonts w:ascii="Times New Roman" w:hAnsi="Times New Roman" w:cs="Times New Roman"/>
          <w:sz w:val="24"/>
          <w:szCs w:val="24"/>
          <w:lang w:val="es-ES"/>
        </w:rPr>
        <w:t>ampoco esa jurisprudencia está libre de límites.</w:t>
      </w:r>
      <w:r w:rsidR="00A66CA1" w:rsidRPr="00B22CA9">
        <w:rPr>
          <w:rFonts w:ascii="Times New Roman" w:hAnsi="Times New Roman" w:cs="Times New Roman"/>
          <w:sz w:val="24"/>
          <w:szCs w:val="24"/>
          <w:lang w:val="es-ES"/>
        </w:rPr>
        <w:t xml:space="preserve"> </w:t>
      </w:r>
    </w:p>
    <w:p w:rsidR="00C873BC" w:rsidRPr="00B22CA9" w:rsidRDefault="00852F41" w:rsidP="007F11DF">
      <w:pPr>
        <w:spacing w:line="240" w:lineRule="auto"/>
        <w:jc w:val="both"/>
        <w:rPr>
          <w:rFonts w:ascii="Times New Roman" w:hAnsi="Times New Roman" w:cs="Times New Roman"/>
          <w:sz w:val="24"/>
          <w:szCs w:val="24"/>
          <w:lang w:val="es-ES"/>
        </w:rPr>
      </w:pPr>
      <w:r w:rsidRPr="00B22CA9">
        <w:rPr>
          <w:rFonts w:ascii="Times New Roman" w:hAnsi="Times New Roman" w:cs="Times New Roman"/>
          <w:sz w:val="24"/>
          <w:szCs w:val="24"/>
          <w:lang w:val="es-ES"/>
        </w:rPr>
        <w:lastRenderedPageBreak/>
        <w:tab/>
        <w:t>L</w:t>
      </w:r>
      <w:r w:rsidR="00A66CA1" w:rsidRPr="00B22CA9">
        <w:rPr>
          <w:rFonts w:ascii="Times New Roman" w:hAnsi="Times New Roman" w:cs="Times New Roman"/>
          <w:sz w:val="24"/>
          <w:szCs w:val="24"/>
          <w:lang w:val="es-ES"/>
        </w:rPr>
        <w:t xml:space="preserve">as estrategias </w:t>
      </w:r>
      <w:r w:rsidR="001542C9" w:rsidRPr="00B22CA9">
        <w:rPr>
          <w:rFonts w:ascii="Times New Roman" w:hAnsi="Times New Roman" w:cs="Times New Roman"/>
          <w:sz w:val="24"/>
          <w:szCs w:val="24"/>
          <w:lang w:val="es-ES"/>
        </w:rPr>
        <w:t>conocidas</w:t>
      </w:r>
      <w:r w:rsidR="00A66CA1" w:rsidRPr="00B22CA9">
        <w:rPr>
          <w:rFonts w:ascii="Times New Roman" w:hAnsi="Times New Roman" w:cs="Times New Roman"/>
          <w:sz w:val="24"/>
          <w:szCs w:val="24"/>
          <w:lang w:val="es-ES"/>
        </w:rPr>
        <w:t xml:space="preserve"> </w:t>
      </w:r>
      <w:r w:rsidRPr="00B22CA9">
        <w:rPr>
          <w:rFonts w:ascii="Times New Roman" w:hAnsi="Times New Roman" w:cs="Times New Roman"/>
          <w:sz w:val="24"/>
          <w:szCs w:val="24"/>
          <w:lang w:val="es-ES"/>
        </w:rPr>
        <w:t>como técnica</w:t>
      </w:r>
      <w:r w:rsidR="001542C9" w:rsidRPr="00B22CA9">
        <w:rPr>
          <w:rFonts w:ascii="Times New Roman" w:hAnsi="Times New Roman" w:cs="Times New Roman"/>
          <w:sz w:val="24"/>
          <w:szCs w:val="24"/>
          <w:lang w:val="es-ES"/>
        </w:rPr>
        <w:t>s</w:t>
      </w:r>
      <w:r w:rsidRPr="00B22CA9">
        <w:rPr>
          <w:rFonts w:ascii="Times New Roman" w:hAnsi="Times New Roman" w:cs="Times New Roman"/>
          <w:sz w:val="24"/>
          <w:szCs w:val="24"/>
          <w:lang w:val="es-ES"/>
        </w:rPr>
        <w:t xml:space="preserve"> de integración encubierta</w:t>
      </w:r>
      <w:r w:rsidR="001542C9" w:rsidRPr="00B22CA9">
        <w:rPr>
          <w:rFonts w:ascii="Times New Roman" w:hAnsi="Times New Roman" w:cs="Times New Roman"/>
          <w:sz w:val="24"/>
          <w:szCs w:val="24"/>
          <w:lang w:val="es-ES"/>
        </w:rPr>
        <w:t>, empleadas</w:t>
      </w:r>
      <w:r w:rsidRPr="00B22CA9">
        <w:rPr>
          <w:rFonts w:ascii="Times New Roman" w:hAnsi="Times New Roman" w:cs="Times New Roman"/>
          <w:sz w:val="24"/>
          <w:szCs w:val="24"/>
          <w:lang w:val="es-ES"/>
        </w:rPr>
        <w:t xml:space="preserve"> </w:t>
      </w:r>
      <w:r w:rsidR="00A66CA1" w:rsidRPr="00B22CA9">
        <w:rPr>
          <w:rFonts w:ascii="Times New Roman" w:hAnsi="Times New Roman" w:cs="Times New Roman"/>
          <w:sz w:val="24"/>
          <w:szCs w:val="24"/>
          <w:lang w:val="es-ES"/>
        </w:rPr>
        <w:t>por la Comisión</w:t>
      </w:r>
      <w:r w:rsidRPr="00B22CA9">
        <w:rPr>
          <w:rFonts w:ascii="Times New Roman" w:hAnsi="Times New Roman" w:cs="Times New Roman"/>
          <w:sz w:val="24"/>
          <w:szCs w:val="24"/>
          <w:lang w:val="es-ES"/>
        </w:rPr>
        <w:t xml:space="preserve"> a través de</w:t>
      </w:r>
      <w:r w:rsidR="00A66CA1" w:rsidRPr="00B22CA9">
        <w:rPr>
          <w:rFonts w:ascii="Times New Roman" w:hAnsi="Times New Roman" w:cs="Times New Roman"/>
          <w:sz w:val="24"/>
          <w:szCs w:val="24"/>
          <w:lang w:val="es-ES"/>
        </w:rPr>
        <w:t xml:space="preserve"> demandas por incumplimiento, </w:t>
      </w:r>
      <w:r w:rsidRPr="00B22CA9">
        <w:rPr>
          <w:rFonts w:ascii="Times New Roman" w:hAnsi="Times New Roman" w:cs="Times New Roman"/>
          <w:sz w:val="24"/>
          <w:szCs w:val="24"/>
          <w:lang w:val="es-ES"/>
        </w:rPr>
        <w:t>apelan</w:t>
      </w:r>
      <w:r w:rsidR="00A66CA1" w:rsidRPr="00B22CA9">
        <w:rPr>
          <w:rFonts w:ascii="Times New Roman" w:hAnsi="Times New Roman" w:cs="Times New Roman"/>
          <w:sz w:val="24"/>
          <w:szCs w:val="24"/>
          <w:lang w:val="es-ES"/>
        </w:rPr>
        <w:t xml:space="preserve"> a principios normativos del Tratado y</w:t>
      </w:r>
      <w:r w:rsidRPr="00B22CA9">
        <w:rPr>
          <w:rFonts w:ascii="Times New Roman" w:hAnsi="Times New Roman" w:cs="Times New Roman"/>
          <w:sz w:val="24"/>
          <w:szCs w:val="24"/>
          <w:lang w:val="es-ES"/>
        </w:rPr>
        <w:t xml:space="preserve"> los</w:t>
      </w:r>
      <w:r w:rsidR="00A66CA1" w:rsidRPr="00B22CA9">
        <w:rPr>
          <w:rFonts w:ascii="Times New Roman" w:hAnsi="Times New Roman" w:cs="Times New Roman"/>
          <w:sz w:val="24"/>
          <w:szCs w:val="24"/>
          <w:lang w:val="es-ES"/>
        </w:rPr>
        <w:t xml:space="preserve"> proyect</w:t>
      </w:r>
      <w:r w:rsidRPr="00B22CA9">
        <w:rPr>
          <w:rFonts w:ascii="Times New Roman" w:hAnsi="Times New Roman" w:cs="Times New Roman"/>
          <w:sz w:val="24"/>
          <w:szCs w:val="24"/>
          <w:lang w:val="es-ES"/>
        </w:rPr>
        <w:t>an</w:t>
      </w:r>
      <w:r w:rsidR="00A66CA1" w:rsidRPr="00B22CA9">
        <w:rPr>
          <w:rFonts w:ascii="Times New Roman" w:hAnsi="Times New Roman" w:cs="Times New Roman"/>
          <w:sz w:val="24"/>
          <w:szCs w:val="24"/>
          <w:lang w:val="es-ES"/>
        </w:rPr>
        <w:t xml:space="preserve"> sobre la acción del Estados</w:t>
      </w:r>
      <w:r w:rsidRPr="00B22CA9">
        <w:rPr>
          <w:rFonts w:ascii="Times New Roman" w:hAnsi="Times New Roman" w:cs="Times New Roman"/>
          <w:sz w:val="24"/>
          <w:szCs w:val="24"/>
          <w:lang w:val="es-ES"/>
        </w:rPr>
        <w:t xml:space="preserve">. </w:t>
      </w:r>
      <w:r w:rsidR="001542C9" w:rsidRPr="00B22CA9">
        <w:rPr>
          <w:rFonts w:ascii="Times New Roman" w:hAnsi="Times New Roman" w:cs="Times New Roman"/>
          <w:sz w:val="24"/>
          <w:szCs w:val="24"/>
          <w:lang w:val="es-ES"/>
        </w:rPr>
        <w:t>Su</w:t>
      </w:r>
      <w:r w:rsidRPr="00B22CA9">
        <w:rPr>
          <w:rFonts w:ascii="Times New Roman" w:hAnsi="Times New Roman" w:cs="Times New Roman"/>
          <w:sz w:val="24"/>
          <w:szCs w:val="24"/>
          <w:lang w:val="es-ES"/>
        </w:rPr>
        <w:t xml:space="preserve"> objetivo es</w:t>
      </w:r>
      <w:r w:rsidR="00A66CA1" w:rsidRPr="00B22CA9">
        <w:rPr>
          <w:rFonts w:ascii="Times New Roman" w:hAnsi="Times New Roman" w:cs="Times New Roman"/>
          <w:sz w:val="24"/>
          <w:szCs w:val="24"/>
          <w:lang w:val="es-ES"/>
        </w:rPr>
        <w:t xml:space="preserve"> conseguir del TJUE un pronunciamiento favo</w:t>
      </w:r>
      <w:r w:rsidRPr="00B22CA9">
        <w:rPr>
          <w:rFonts w:ascii="Times New Roman" w:hAnsi="Times New Roman" w:cs="Times New Roman"/>
          <w:sz w:val="24"/>
          <w:szCs w:val="24"/>
          <w:lang w:val="es-ES"/>
        </w:rPr>
        <w:t xml:space="preserve">rable a las propuestas de la Comisión. El planteamiento de los recursos por incumplimiento contra Polonia en relación con la independencia del poder judicial ha tomado ese camino: anudar una </w:t>
      </w:r>
      <w:r w:rsidR="00A66CA1" w:rsidRPr="00B22CA9">
        <w:rPr>
          <w:rFonts w:ascii="Times New Roman" w:hAnsi="Times New Roman" w:cs="Times New Roman"/>
          <w:sz w:val="24"/>
          <w:szCs w:val="24"/>
          <w:lang w:val="es-ES"/>
        </w:rPr>
        <w:t xml:space="preserve">discriminación </w:t>
      </w:r>
      <w:r w:rsidRPr="00B22CA9">
        <w:rPr>
          <w:rFonts w:ascii="Times New Roman" w:hAnsi="Times New Roman" w:cs="Times New Roman"/>
          <w:sz w:val="24"/>
          <w:szCs w:val="24"/>
          <w:lang w:val="es-ES"/>
        </w:rPr>
        <w:t>a</w:t>
      </w:r>
      <w:r w:rsidR="00A66CA1" w:rsidRPr="00B22CA9">
        <w:rPr>
          <w:rFonts w:ascii="Times New Roman" w:hAnsi="Times New Roman" w:cs="Times New Roman"/>
          <w:sz w:val="24"/>
          <w:szCs w:val="24"/>
          <w:lang w:val="es-ES"/>
        </w:rPr>
        <w:t xml:space="preserve"> los jueces por edad y sexo</w:t>
      </w:r>
      <w:r w:rsidRPr="00B22CA9">
        <w:rPr>
          <w:rFonts w:ascii="Times New Roman" w:hAnsi="Times New Roman" w:cs="Times New Roman"/>
          <w:sz w:val="24"/>
          <w:szCs w:val="24"/>
          <w:lang w:val="es-ES"/>
        </w:rPr>
        <w:t>,</w:t>
      </w:r>
      <w:r w:rsidR="00A66CA1" w:rsidRPr="00B22CA9">
        <w:rPr>
          <w:rFonts w:ascii="Times New Roman" w:hAnsi="Times New Roman" w:cs="Times New Roman"/>
          <w:sz w:val="24"/>
          <w:szCs w:val="24"/>
          <w:lang w:val="es-ES"/>
        </w:rPr>
        <w:t xml:space="preserve"> </w:t>
      </w:r>
      <w:r w:rsidRPr="00B22CA9">
        <w:rPr>
          <w:rFonts w:ascii="Times New Roman" w:hAnsi="Times New Roman" w:cs="Times New Roman"/>
          <w:sz w:val="24"/>
          <w:szCs w:val="24"/>
          <w:lang w:val="es-ES"/>
        </w:rPr>
        <w:t xml:space="preserve">que es </w:t>
      </w:r>
      <w:r w:rsidR="00A66CA1" w:rsidRPr="00B22CA9">
        <w:rPr>
          <w:rFonts w:ascii="Times New Roman" w:hAnsi="Times New Roman" w:cs="Times New Roman"/>
          <w:sz w:val="24"/>
          <w:szCs w:val="24"/>
          <w:lang w:val="es-ES"/>
        </w:rPr>
        <w:t>contraria a una directiva, con el artículo 19 del TUE</w:t>
      </w:r>
      <w:r w:rsidRPr="00B22CA9">
        <w:rPr>
          <w:rFonts w:ascii="Times New Roman" w:hAnsi="Times New Roman" w:cs="Times New Roman"/>
          <w:sz w:val="24"/>
          <w:szCs w:val="24"/>
          <w:lang w:val="es-ES"/>
        </w:rPr>
        <w:t xml:space="preserve"> y con</w:t>
      </w:r>
      <w:r w:rsidR="00A66CA1" w:rsidRPr="00B22CA9">
        <w:rPr>
          <w:rFonts w:ascii="Times New Roman" w:hAnsi="Times New Roman" w:cs="Times New Roman"/>
          <w:sz w:val="24"/>
          <w:szCs w:val="24"/>
          <w:lang w:val="es-ES"/>
        </w:rPr>
        <w:t xml:space="preserve"> la obligación de los Estados de salvaguardar la tutela judicial</w:t>
      </w:r>
      <w:r w:rsidRPr="00B22CA9">
        <w:rPr>
          <w:rFonts w:ascii="Times New Roman" w:hAnsi="Times New Roman" w:cs="Times New Roman"/>
          <w:sz w:val="24"/>
          <w:szCs w:val="24"/>
          <w:lang w:val="es-ES"/>
        </w:rPr>
        <w:t>.</w:t>
      </w:r>
      <w:r w:rsidR="00A66CA1" w:rsidRPr="00B22CA9">
        <w:rPr>
          <w:rFonts w:ascii="Times New Roman" w:hAnsi="Times New Roman" w:cs="Times New Roman"/>
          <w:sz w:val="24"/>
          <w:szCs w:val="24"/>
          <w:lang w:val="es-ES"/>
        </w:rPr>
        <w:t xml:space="preserve">  </w:t>
      </w:r>
      <w:r w:rsidR="00EA6435" w:rsidRPr="00B22CA9">
        <w:rPr>
          <w:rFonts w:ascii="Times New Roman" w:hAnsi="Times New Roman" w:cs="Times New Roman"/>
          <w:sz w:val="24"/>
          <w:szCs w:val="24"/>
          <w:lang w:val="es-ES"/>
        </w:rPr>
        <w:t xml:space="preserve">  </w:t>
      </w:r>
      <w:r w:rsidR="001542C9" w:rsidRPr="00B22CA9">
        <w:rPr>
          <w:rFonts w:ascii="Times New Roman" w:hAnsi="Times New Roman" w:cs="Times New Roman"/>
          <w:sz w:val="24"/>
          <w:szCs w:val="24"/>
          <w:lang w:val="es-ES"/>
        </w:rPr>
        <w:t xml:space="preserve">Es en este orden de cuestiones en el que </w:t>
      </w:r>
      <w:r w:rsidR="006D5D49" w:rsidRPr="00B22CA9">
        <w:rPr>
          <w:rFonts w:ascii="Times New Roman" w:hAnsi="Times New Roman" w:cs="Times New Roman"/>
          <w:sz w:val="24"/>
          <w:szCs w:val="24"/>
          <w:lang w:val="es-ES"/>
        </w:rPr>
        <w:t>hay que considerar la po</w:t>
      </w:r>
      <w:r w:rsidR="00047642" w:rsidRPr="00B22CA9">
        <w:rPr>
          <w:rFonts w:ascii="Times New Roman" w:hAnsi="Times New Roman" w:cs="Times New Roman"/>
          <w:sz w:val="24"/>
          <w:szCs w:val="24"/>
          <w:lang w:val="es-ES"/>
        </w:rPr>
        <w:t>sición de la Comisión</w:t>
      </w:r>
      <w:r w:rsidR="006D5D49" w:rsidRPr="00B22CA9">
        <w:rPr>
          <w:rFonts w:ascii="Times New Roman" w:hAnsi="Times New Roman" w:cs="Times New Roman"/>
          <w:sz w:val="24"/>
          <w:szCs w:val="24"/>
          <w:lang w:val="es-ES"/>
        </w:rPr>
        <w:t xml:space="preserve"> en el procedimiento de incumplimiento. </w:t>
      </w:r>
      <w:r w:rsidR="009A171C" w:rsidRPr="00B22CA9">
        <w:rPr>
          <w:rFonts w:ascii="Times New Roman" w:hAnsi="Times New Roman" w:cs="Times New Roman"/>
          <w:sz w:val="24"/>
          <w:szCs w:val="24"/>
          <w:lang w:val="es-ES"/>
        </w:rPr>
        <w:t>El</w:t>
      </w:r>
      <w:r w:rsidR="00047642" w:rsidRPr="00B22CA9">
        <w:rPr>
          <w:rFonts w:ascii="Times New Roman" w:hAnsi="Times New Roman" w:cs="Times New Roman"/>
          <w:sz w:val="24"/>
          <w:szCs w:val="24"/>
          <w:lang w:val="es-ES"/>
        </w:rPr>
        <w:t xml:space="preserve"> margen de </w:t>
      </w:r>
      <w:r w:rsidR="005D0865" w:rsidRPr="00B22CA9">
        <w:rPr>
          <w:rFonts w:ascii="Times New Roman" w:hAnsi="Times New Roman" w:cs="Times New Roman"/>
          <w:sz w:val="24"/>
          <w:szCs w:val="24"/>
          <w:lang w:val="es-ES"/>
        </w:rPr>
        <w:t xml:space="preserve">discrecionalidad, </w:t>
      </w:r>
      <w:r w:rsidR="00047642" w:rsidRPr="00B22CA9">
        <w:rPr>
          <w:rFonts w:ascii="Times New Roman" w:hAnsi="Times New Roman" w:cs="Times New Roman"/>
          <w:sz w:val="24"/>
          <w:szCs w:val="24"/>
          <w:lang w:val="es-ES"/>
        </w:rPr>
        <w:t>arma de doble filo</w:t>
      </w:r>
      <w:r w:rsidR="005D0865" w:rsidRPr="00B22CA9">
        <w:rPr>
          <w:rFonts w:ascii="Times New Roman" w:hAnsi="Times New Roman" w:cs="Times New Roman"/>
          <w:sz w:val="24"/>
          <w:szCs w:val="24"/>
          <w:lang w:val="es-ES"/>
        </w:rPr>
        <w:t xml:space="preserve"> en cualquier </w:t>
      </w:r>
      <w:r w:rsidR="008355C1" w:rsidRPr="00B22CA9">
        <w:rPr>
          <w:rFonts w:ascii="Times New Roman" w:hAnsi="Times New Roman" w:cs="Times New Roman"/>
          <w:sz w:val="24"/>
          <w:szCs w:val="24"/>
          <w:lang w:val="es-ES"/>
        </w:rPr>
        <w:t>situación</w:t>
      </w:r>
      <w:r w:rsidR="005D0865" w:rsidRPr="00B22CA9">
        <w:rPr>
          <w:rFonts w:ascii="Times New Roman" w:hAnsi="Times New Roman" w:cs="Times New Roman"/>
          <w:sz w:val="24"/>
          <w:szCs w:val="24"/>
          <w:lang w:val="es-ES"/>
        </w:rPr>
        <w:t>, debe ser escrupulosamente utilizado en materia de derechos fundamentales</w:t>
      </w:r>
      <w:r w:rsidR="00047642" w:rsidRPr="00B22CA9">
        <w:rPr>
          <w:rFonts w:ascii="Times New Roman" w:hAnsi="Times New Roman" w:cs="Times New Roman"/>
          <w:sz w:val="24"/>
          <w:szCs w:val="24"/>
          <w:lang w:val="es-ES"/>
        </w:rPr>
        <w:t xml:space="preserve">. Mientras la Comisión </w:t>
      </w:r>
      <w:r w:rsidR="005D0865" w:rsidRPr="00B22CA9">
        <w:rPr>
          <w:rFonts w:ascii="Times New Roman" w:hAnsi="Times New Roman" w:cs="Times New Roman"/>
          <w:sz w:val="24"/>
          <w:szCs w:val="24"/>
          <w:lang w:val="es-ES"/>
        </w:rPr>
        <w:t>actúe</w:t>
      </w:r>
      <w:r w:rsidR="0044111A" w:rsidRPr="00B22CA9">
        <w:rPr>
          <w:rFonts w:ascii="Times New Roman" w:hAnsi="Times New Roman" w:cs="Times New Roman"/>
          <w:sz w:val="24"/>
          <w:szCs w:val="24"/>
          <w:lang w:val="es-ES"/>
        </w:rPr>
        <w:t xml:space="preserve"> dentro de los parámetros normativos del procedimiento</w:t>
      </w:r>
      <w:r w:rsidR="00047642" w:rsidRPr="00B22CA9">
        <w:rPr>
          <w:rFonts w:ascii="Times New Roman" w:hAnsi="Times New Roman" w:cs="Times New Roman"/>
          <w:sz w:val="24"/>
          <w:szCs w:val="24"/>
          <w:lang w:val="es-ES"/>
        </w:rPr>
        <w:t xml:space="preserve"> y de las competencias atribuidas, </w:t>
      </w:r>
      <w:r w:rsidR="00E221AB" w:rsidRPr="00B22CA9">
        <w:rPr>
          <w:rFonts w:ascii="Times New Roman" w:hAnsi="Times New Roman" w:cs="Times New Roman"/>
          <w:sz w:val="24"/>
          <w:szCs w:val="24"/>
          <w:lang w:val="es-ES"/>
        </w:rPr>
        <w:t xml:space="preserve">incluso </w:t>
      </w:r>
      <w:r w:rsidR="00047642" w:rsidRPr="00B22CA9">
        <w:rPr>
          <w:rFonts w:ascii="Times New Roman" w:hAnsi="Times New Roman" w:cs="Times New Roman"/>
          <w:sz w:val="24"/>
          <w:szCs w:val="24"/>
          <w:lang w:val="es-ES"/>
        </w:rPr>
        <w:t>con la comprensión extensiva que siempre ha tenido</w:t>
      </w:r>
      <w:r w:rsidR="009A171C" w:rsidRPr="00B22CA9">
        <w:rPr>
          <w:rFonts w:ascii="Times New Roman" w:hAnsi="Times New Roman" w:cs="Times New Roman"/>
          <w:sz w:val="24"/>
          <w:szCs w:val="24"/>
          <w:lang w:val="es-ES"/>
        </w:rPr>
        <w:t xml:space="preserve"> de</w:t>
      </w:r>
      <w:r w:rsidR="00E221AB" w:rsidRPr="00B22CA9">
        <w:rPr>
          <w:rFonts w:ascii="Times New Roman" w:hAnsi="Times New Roman" w:cs="Times New Roman"/>
          <w:sz w:val="24"/>
          <w:szCs w:val="24"/>
          <w:lang w:val="es-ES"/>
        </w:rPr>
        <w:t xml:space="preserve"> las mismas</w:t>
      </w:r>
      <w:r w:rsidR="0044111A" w:rsidRPr="00B22CA9">
        <w:rPr>
          <w:rFonts w:ascii="Times New Roman" w:hAnsi="Times New Roman" w:cs="Times New Roman"/>
          <w:sz w:val="24"/>
          <w:szCs w:val="24"/>
          <w:lang w:val="es-ES"/>
        </w:rPr>
        <w:t>,</w:t>
      </w:r>
      <w:r w:rsidR="00E221AB" w:rsidRPr="00B22CA9">
        <w:rPr>
          <w:rFonts w:ascii="Times New Roman" w:hAnsi="Times New Roman" w:cs="Times New Roman"/>
          <w:sz w:val="24"/>
          <w:szCs w:val="24"/>
          <w:lang w:val="es-ES"/>
        </w:rPr>
        <w:t xml:space="preserve"> la acción contra el incumplimiento de los Estados </w:t>
      </w:r>
      <w:r w:rsidR="0044111A" w:rsidRPr="00B22CA9">
        <w:rPr>
          <w:rFonts w:ascii="Times New Roman" w:hAnsi="Times New Roman" w:cs="Times New Roman"/>
          <w:sz w:val="24"/>
          <w:szCs w:val="24"/>
          <w:lang w:val="es-ES"/>
        </w:rPr>
        <w:t>seguirá siendo benefici</w:t>
      </w:r>
      <w:r w:rsidR="00E221AB" w:rsidRPr="00B22CA9">
        <w:rPr>
          <w:rFonts w:ascii="Times New Roman" w:hAnsi="Times New Roman" w:cs="Times New Roman"/>
          <w:sz w:val="24"/>
          <w:szCs w:val="24"/>
          <w:lang w:val="es-ES"/>
        </w:rPr>
        <w:t xml:space="preserve">osa </w:t>
      </w:r>
      <w:r w:rsidR="005D0865" w:rsidRPr="00B22CA9">
        <w:rPr>
          <w:rFonts w:ascii="Times New Roman" w:hAnsi="Times New Roman" w:cs="Times New Roman"/>
          <w:sz w:val="24"/>
          <w:szCs w:val="24"/>
          <w:lang w:val="es-ES"/>
        </w:rPr>
        <w:t>para la integración</w:t>
      </w:r>
      <w:r w:rsidR="0044111A" w:rsidRPr="00B22CA9">
        <w:rPr>
          <w:rFonts w:ascii="Times New Roman" w:hAnsi="Times New Roman" w:cs="Times New Roman"/>
          <w:sz w:val="24"/>
          <w:szCs w:val="24"/>
          <w:lang w:val="es-ES"/>
        </w:rPr>
        <w:t xml:space="preserve"> (Evans, 1979: 456)</w:t>
      </w:r>
      <w:r w:rsidR="009A171C" w:rsidRPr="00B22CA9">
        <w:rPr>
          <w:rFonts w:ascii="Times New Roman" w:hAnsi="Times New Roman" w:cs="Times New Roman"/>
          <w:sz w:val="24"/>
          <w:szCs w:val="24"/>
          <w:lang w:val="es-ES"/>
        </w:rPr>
        <w:t>. Eso s</w:t>
      </w:r>
      <w:r w:rsidR="006D5D49" w:rsidRPr="00B22CA9">
        <w:rPr>
          <w:rFonts w:ascii="Times New Roman" w:hAnsi="Times New Roman" w:cs="Times New Roman"/>
          <w:sz w:val="24"/>
          <w:szCs w:val="24"/>
          <w:lang w:val="es-ES"/>
        </w:rPr>
        <w:t>i</w:t>
      </w:r>
      <w:r w:rsidR="009A171C" w:rsidRPr="00B22CA9">
        <w:rPr>
          <w:rFonts w:ascii="Times New Roman" w:hAnsi="Times New Roman" w:cs="Times New Roman"/>
          <w:sz w:val="24"/>
          <w:szCs w:val="24"/>
          <w:lang w:val="es-ES"/>
        </w:rPr>
        <w:t xml:space="preserve"> </w:t>
      </w:r>
      <w:r w:rsidR="006D5D49" w:rsidRPr="00B22CA9">
        <w:rPr>
          <w:rFonts w:ascii="Times New Roman" w:hAnsi="Times New Roman" w:cs="Times New Roman"/>
          <w:sz w:val="24"/>
          <w:szCs w:val="24"/>
          <w:lang w:val="es-ES"/>
        </w:rPr>
        <w:t>n</w:t>
      </w:r>
      <w:r w:rsidR="009A171C" w:rsidRPr="00B22CA9">
        <w:rPr>
          <w:rFonts w:ascii="Times New Roman" w:hAnsi="Times New Roman" w:cs="Times New Roman"/>
          <w:sz w:val="24"/>
          <w:szCs w:val="24"/>
          <w:lang w:val="es-ES"/>
        </w:rPr>
        <w:t>o se</w:t>
      </w:r>
      <w:r w:rsidR="006D5D49" w:rsidRPr="00B22CA9">
        <w:rPr>
          <w:rFonts w:ascii="Times New Roman" w:hAnsi="Times New Roman" w:cs="Times New Roman"/>
          <w:sz w:val="24"/>
          <w:szCs w:val="24"/>
          <w:lang w:val="es-ES"/>
        </w:rPr>
        <w:t xml:space="preserve"> olvid</w:t>
      </w:r>
      <w:r w:rsidR="009A171C" w:rsidRPr="00B22CA9">
        <w:rPr>
          <w:rFonts w:ascii="Times New Roman" w:hAnsi="Times New Roman" w:cs="Times New Roman"/>
          <w:sz w:val="24"/>
          <w:szCs w:val="24"/>
          <w:lang w:val="es-ES"/>
        </w:rPr>
        <w:t>a de que</w:t>
      </w:r>
      <w:r w:rsidR="006D5D49" w:rsidRPr="00B22CA9">
        <w:rPr>
          <w:rFonts w:ascii="Times New Roman" w:hAnsi="Times New Roman" w:cs="Times New Roman"/>
          <w:sz w:val="24"/>
          <w:szCs w:val="24"/>
          <w:lang w:val="es-ES"/>
        </w:rPr>
        <w:t xml:space="preserve"> los derechos no son competencias, como explica el 51 de la Carta, más que cuando una base jurídica del TFUE los </w:t>
      </w:r>
      <w:r w:rsidR="009A171C" w:rsidRPr="00B22CA9">
        <w:rPr>
          <w:rFonts w:ascii="Times New Roman" w:hAnsi="Times New Roman" w:cs="Times New Roman"/>
          <w:sz w:val="24"/>
          <w:szCs w:val="24"/>
          <w:lang w:val="es-ES"/>
        </w:rPr>
        <w:t>confirma</w:t>
      </w:r>
      <w:r w:rsidR="006D5D49" w:rsidRPr="00B22CA9">
        <w:rPr>
          <w:rFonts w:ascii="Times New Roman" w:hAnsi="Times New Roman" w:cs="Times New Roman"/>
          <w:sz w:val="24"/>
          <w:szCs w:val="24"/>
          <w:lang w:val="es-ES"/>
        </w:rPr>
        <w:t>. E</w:t>
      </w:r>
      <w:r w:rsidR="00E221AB" w:rsidRPr="00B22CA9">
        <w:rPr>
          <w:rFonts w:ascii="Times New Roman" w:hAnsi="Times New Roman" w:cs="Times New Roman"/>
          <w:sz w:val="24"/>
          <w:szCs w:val="24"/>
          <w:lang w:val="es-ES"/>
        </w:rPr>
        <w:t xml:space="preserve">l riesgo de </w:t>
      </w:r>
      <w:r w:rsidR="005D0865" w:rsidRPr="00B22CA9">
        <w:rPr>
          <w:rFonts w:ascii="Times New Roman" w:hAnsi="Times New Roman" w:cs="Times New Roman"/>
          <w:sz w:val="24"/>
          <w:szCs w:val="24"/>
          <w:lang w:val="es-ES"/>
        </w:rPr>
        <w:t>e</w:t>
      </w:r>
      <w:r w:rsidR="00E221AB" w:rsidRPr="00B22CA9">
        <w:rPr>
          <w:rFonts w:ascii="Times New Roman" w:hAnsi="Times New Roman" w:cs="Times New Roman"/>
          <w:sz w:val="24"/>
          <w:szCs w:val="24"/>
          <w:lang w:val="es-ES"/>
        </w:rPr>
        <w:t>xtralimita</w:t>
      </w:r>
      <w:r w:rsidR="005D0865" w:rsidRPr="00B22CA9">
        <w:rPr>
          <w:rFonts w:ascii="Times New Roman" w:hAnsi="Times New Roman" w:cs="Times New Roman"/>
          <w:sz w:val="24"/>
          <w:szCs w:val="24"/>
          <w:lang w:val="es-ES"/>
        </w:rPr>
        <w:t>rse</w:t>
      </w:r>
      <w:r w:rsidR="00E221AB" w:rsidRPr="00B22CA9">
        <w:rPr>
          <w:rFonts w:ascii="Times New Roman" w:hAnsi="Times New Roman" w:cs="Times New Roman"/>
          <w:sz w:val="24"/>
          <w:szCs w:val="24"/>
          <w:lang w:val="es-ES"/>
        </w:rPr>
        <w:t xml:space="preserve"> </w:t>
      </w:r>
      <w:r w:rsidR="006D5D49" w:rsidRPr="00B22CA9">
        <w:rPr>
          <w:rFonts w:ascii="Times New Roman" w:hAnsi="Times New Roman" w:cs="Times New Roman"/>
          <w:sz w:val="24"/>
          <w:szCs w:val="24"/>
          <w:lang w:val="es-ES"/>
        </w:rPr>
        <w:t>existe para la Comisión</w:t>
      </w:r>
      <w:r w:rsidR="00743B86" w:rsidRPr="00B22CA9">
        <w:rPr>
          <w:rFonts w:ascii="Times New Roman" w:hAnsi="Times New Roman" w:cs="Times New Roman"/>
          <w:sz w:val="24"/>
          <w:szCs w:val="24"/>
          <w:lang w:val="es-ES"/>
        </w:rPr>
        <w:t>. Es</w:t>
      </w:r>
      <w:r w:rsidR="006D5D49" w:rsidRPr="00B22CA9">
        <w:rPr>
          <w:rFonts w:ascii="Times New Roman" w:hAnsi="Times New Roman" w:cs="Times New Roman"/>
          <w:sz w:val="24"/>
          <w:szCs w:val="24"/>
          <w:lang w:val="es-ES"/>
        </w:rPr>
        <w:t xml:space="preserve"> una institución sin legitimación democrática directa que discute la </w:t>
      </w:r>
      <w:r w:rsidR="00743B86" w:rsidRPr="00B22CA9">
        <w:rPr>
          <w:rFonts w:ascii="Times New Roman" w:hAnsi="Times New Roman" w:cs="Times New Roman"/>
          <w:sz w:val="24"/>
          <w:szCs w:val="24"/>
          <w:lang w:val="es-ES"/>
        </w:rPr>
        <w:t>adecuación constitucional de la actuación</w:t>
      </w:r>
      <w:r w:rsidR="006D5D49" w:rsidRPr="00B22CA9">
        <w:rPr>
          <w:rFonts w:ascii="Times New Roman" w:hAnsi="Times New Roman" w:cs="Times New Roman"/>
          <w:sz w:val="24"/>
          <w:szCs w:val="24"/>
          <w:lang w:val="es-ES"/>
        </w:rPr>
        <w:t xml:space="preserve"> de gobiernos elegidos por los pueblos de los Estados miembros. Las </w:t>
      </w:r>
      <w:r w:rsidR="00E221AB" w:rsidRPr="00B22CA9">
        <w:rPr>
          <w:rFonts w:ascii="Times New Roman" w:hAnsi="Times New Roman" w:cs="Times New Roman"/>
          <w:sz w:val="24"/>
          <w:szCs w:val="24"/>
          <w:lang w:val="es-ES"/>
        </w:rPr>
        <w:t>estrategias</w:t>
      </w:r>
      <w:r w:rsidR="005D0865" w:rsidRPr="00B22CA9">
        <w:rPr>
          <w:rFonts w:ascii="Times New Roman" w:hAnsi="Times New Roman" w:cs="Times New Roman"/>
          <w:sz w:val="24"/>
          <w:szCs w:val="24"/>
          <w:lang w:val="es-ES"/>
        </w:rPr>
        <w:t xml:space="preserve"> de integración encubierta,</w:t>
      </w:r>
      <w:r w:rsidR="00E221AB" w:rsidRPr="00B22CA9">
        <w:rPr>
          <w:rFonts w:ascii="Times New Roman" w:hAnsi="Times New Roman" w:cs="Times New Roman"/>
          <w:sz w:val="24"/>
          <w:szCs w:val="24"/>
          <w:lang w:val="es-ES"/>
        </w:rPr>
        <w:t xml:space="preserve"> </w:t>
      </w:r>
      <w:r w:rsidR="006D5D49" w:rsidRPr="00B22CA9">
        <w:rPr>
          <w:rFonts w:ascii="Times New Roman" w:hAnsi="Times New Roman" w:cs="Times New Roman"/>
          <w:sz w:val="24"/>
          <w:szCs w:val="24"/>
          <w:lang w:val="es-ES"/>
        </w:rPr>
        <w:t xml:space="preserve">que </w:t>
      </w:r>
      <w:r w:rsidR="008355C1" w:rsidRPr="00B22CA9">
        <w:rPr>
          <w:rFonts w:ascii="Times New Roman" w:hAnsi="Times New Roman" w:cs="Times New Roman"/>
          <w:sz w:val="24"/>
          <w:szCs w:val="24"/>
          <w:lang w:val="es-ES"/>
        </w:rPr>
        <w:t xml:space="preserve">hasta ahora han sido </w:t>
      </w:r>
      <w:r w:rsidR="00743B86" w:rsidRPr="00B22CA9">
        <w:rPr>
          <w:rFonts w:ascii="Times New Roman" w:hAnsi="Times New Roman" w:cs="Times New Roman"/>
          <w:sz w:val="24"/>
          <w:szCs w:val="24"/>
          <w:lang w:val="es-ES"/>
        </w:rPr>
        <w:t>admitidas</w:t>
      </w:r>
      <w:r w:rsidR="00E221AB" w:rsidRPr="00B22CA9">
        <w:rPr>
          <w:rFonts w:ascii="Times New Roman" w:hAnsi="Times New Roman" w:cs="Times New Roman"/>
          <w:sz w:val="24"/>
          <w:szCs w:val="24"/>
          <w:lang w:val="es-ES"/>
        </w:rPr>
        <w:t xml:space="preserve"> en relación con objetivos económicos de la integración</w:t>
      </w:r>
      <w:r w:rsidR="006D5D49" w:rsidRPr="00B22CA9">
        <w:rPr>
          <w:rFonts w:ascii="Times New Roman" w:hAnsi="Times New Roman" w:cs="Times New Roman"/>
          <w:sz w:val="24"/>
          <w:szCs w:val="24"/>
          <w:lang w:val="es-ES"/>
        </w:rPr>
        <w:t xml:space="preserve">, podrían hacer saltar </w:t>
      </w:r>
      <w:r w:rsidR="00743B86" w:rsidRPr="00B22CA9">
        <w:rPr>
          <w:rFonts w:ascii="Times New Roman" w:hAnsi="Times New Roman" w:cs="Times New Roman"/>
          <w:sz w:val="24"/>
          <w:szCs w:val="24"/>
          <w:lang w:val="es-ES"/>
        </w:rPr>
        <w:t>suspicacias, y discutirse su legitimidad, al proyectarse</w:t>
      </w:r>
      <w:r w:rsidR="00E221AB" w:rsidRPr="00B22CA9">
        <w:rPr>
          <w:rFonts w:ascii="Times New Roman" w:hAnsi="Times New Roman" w:cs="Times New Roman"/>
          <w:sz w:val="24"/>
          <w:szCs w:val="24"/>
          <w:lang w:val="es-ES"/>
        </w:rPr>
        <w:t xml:space="preserve"> sobre materias </w:t>
      </w:r>
      <w:r w:rsidR="00743B86" w:rsidRPr="00B22CA9">
        <w:rPr>
          <w:rFonts w:ascii="Times New Roman" w:hAnsi="Times New Roman" w:cs="Times New Roman"/>
          <w:sz w:val="24"/>
          <w:szCs w:val="24"/>
          <w:lang w:val="es-ES"/>
        </w:rPr>
        <w:t xml:space="preserve">constitucionalmente más </w:t>
      </w:r>
      <w:r w:rsidR="00E221AB" w:rsidRPr="00B22CA9">
        <w:rPr>
          <w:rFonts w:ascii="Times New Roman" w:hAnsi="Times New Roman" w:cs="Times New Roman"/>
          <w:sz w:val="24"/>
          <w:szCs w:val="24"/>
          <w:lang w:val="es-ES"/>
        </w:rPr>
        <w:t xml:space="preserve">sensibles </w:t>
      </w:r>
      <w:r w:rsidR="005D0865" w:rsidRPr="00B22CA9">
        <w:rPr>
          <w:rFonts w:ascii="Times New Roman" w:hAnsi="Times New Roman" w:cs="Times New Roman"/>
          <w:sz w:val="24"/>
          <w:szCs w:val="24"/>
          <w:lang w:val="es-ES"/>
        </w:rPr>
        <w:t>como los derechos</w:t>
      </w:r>
      <w:r w:rsidR="00743B86" w:rsidRPr="00B22CA9">
        <w:rPr>
          <w:rFonts w:ascii="Times New Roman" w:hAnsi="Times New Roman" w:cs="Times New Roman"/>
          <w:sz w:val="24"/>
          <w:szCs w:val="24"/>
          <w:lang w:val="es-ES"/>
        </w:rPr>
        <w:t xml:space="preserve"> fundamentales</w:t>
      </w:r>
      <w:r w:rsidR="00E221AB" w:rsidRPr="00B22CA9">
        <w:rPr>
          <w:rFonts w:ascii="Times New Roman" w:hAnsi="Times New Roman" w:cs="Times New Roman"/>
          <w:sz w:val="24"/>
          <w:szCs w:val="24"/>
          <w:lang w:val="es-ES"/>
        </w:rPr>
        <w:t>. La sujeción a</w:t>
      </w:r>
      <w:r w:rsidR="00743B86" w:rsidRPr="00B22CA9">
        <w:rPr>
          <w:rFonts w:ascii="Times New Roman" w:hAnsi="Times New Roman" w:cs="Times New Roman"/>
          <w:sz w:val="24"/>
          <w:szCs w:val="24"/>
          <w:lang w:val="es-ES"/>
        </w:rPr>
        <w:t>l principio de legalidad</w:t>
      </w:r>
      <w:r w:rsidR="00E221AB" w:rsidRPr="00B22CA9">
        <w:rPr>
          <w:rFonts w:ascii="Times New Roman" w:hAnsi="Times New Roman" w:cs="Times New Roman"/>
          <w:sz w:val="24"/>
          <w:szCs w:val="24"/>
          <w:lang w:val="es-ES"/>
        </w:rPr>
        <w:t>,</w:t>
      </w:r>
      <w:r w:rsidR="00743B86" w:rsidRPr="00B22CA9">
        <w:rPr>
          <w:rFonts w:ascii="Times New Roman" w:hAnsi="Times New Roman" w:cs="Times New Roman"/>
          <w:sz w:val="24"/>
          <w:szCs w:val="24"/>
          <w:lang w:val="es-ES"/>
        </w:rPr>
        <w:t xml:space="preserve"> el</w:t>
      </w:r>
      <w:r w:rsidR="00E221AB" w:rsidRPr="00B22CA9">
        <w:rPr>
          <w:rFonts w:ascii="Times New Roman" w:hAnsi="Times New Roman" w:cs="Times New Roman"/>
          <w:sz w:val="24"/>
          <w:szCs w:val="24"/>
          <w:lang w:val="es-ES"/>
        </w:rPr>
        <w:t xml:space="preserve"> </w:t>
      </w:r>
      <w:r w:rsidR="00E221AB" w:rsidRPr="00B22CA9">
        <w:rPr>
          <w:rFonts w:ascii="Times New Roman" w:hAnsi="Times New Roman" w:cs="Times New Roman"/>
          <w:i/>
          <w:sz w:val="24"/>
          <w:szCs w:val="24"/>
          <w:lang w:val="es-ES"/>
        </w:rPr>
        <w:t>rule of law</w:t>
      </w:r>
      <w:r w:rsidR="00E221AB" w:rsidRPr="00B22CA9">
        <w:rPr>
          <w:rFonts w:ascii="Times New Roman" w:hAnsi="Times New Roman" w:cs="Times New Roman"/>
          <w:sz w:val="24"/>
          <w:szCs w:val="24"/>
          <w:lang w:val="es-ES"/>
        </w:rPr>
        <w:t xml:space="preserve">, es exigible a los Estados, pero también lo es a la Unión. </w:t>
      </w:r>
    </w:p>
    <w:p w:rsidR="00636B0B" w:rsidRPr="00B22CA9" w:rsidRDefault="00743B86" w:rsidP="007F11DF">
      <w:pPr>
        <w:spacing w:line="240" w:lineRule="auto"/>
        <w:ind w:firstLine="720"/>
        <w:jc w:val="both"/>
        <w:rPr>
          <w:rFonts w:ascii="Times New Roman" w:hAnsi="Times New Roman" w:cs="Times New Roman"/>
          <w:sz w:val="24"/>
          <w:szCs w:val="24"/>
          <w:lang w:val="es-ES"/>
        </w:rPr>
      </w:pPr>
      <w:r w:rsidRPr="00B22CA9">
        <w:rPr>
          <w:rFonts w:ascii="Times New Roman" w:hAnsi="Times New Roman" w:cs="Times New Roman"/>
          <w:sz w:val="24"/>
          <w:szCs w:val="24"/>
          <w:lang w:val="es-ES"/>
        </w:rPr>
        <w:t>Por último, para potenciar</w:t>
      </w:r>
      <w:r w:rsidR="00E221AB" w:rsidRPr="00B22CA9">
        <w:rPr>
          <w:rFonts w:ascii="Times New Roman" w:hAnsi="Times New Roman" w:cs="Times New Roman"/>
          <w:sz w:val="24"/>
          <w:szCs w:val="24"/>
          <w:lang w:val="es-ES"/>
        </w:rPr>
        <w:t xml:space="preserve"> el empleo del procedimiento </w:t>
      </w:r>
      <w:r w:rsidR="004D1ECB" w:rsidRPr="00B22CA9">
        <w:rPr>
          <w:rFonts w:ascii="Times New Roman" w:hAnsi="Times New Roman" w:cs="Times New Roman"/>
          <w:sz w:val="24"/>
          <w:szCs w:val="24"/>
          <w:lang w:val="es-ES"/>
        </w:rPr>
        <w:t>de</w:t>
      </w:r>
      <w:r w:rsidR="00E221AB" w:rsidRPr="00B22CA9">
        <w:rPr>
          <w:rFonts w:ascii="Times New Roman" w:hAnsi="Times New Roman" w:cs="Times New Roman"/>
          <w:sz w:val="24"/>
          <w:szCs w:val="24"/>
          <w:lang w:val="es-ES"/>
        </w:rPr>
        <w:t xml:space="preserve"> incumplimiento </w:t>
      </w:r>
      <w:r w:rsidRPr="00B22CA9">
        <w:rPr>
          <w:rFonts w:ascii="Times New Roman" w:hAnsi="Times New Roman" w:cs="Times New Roman"/>
          <w:sz w:val="24"/>
          <w:szCs w:val="24"/>
          <w:lang w:val="es-ES"/>
        </w:rPr>
        <w:t xml:space="preserve">en la protección de </w:t>
      </w:r>
      <w:r w:rsidR="00E221AB" w:rsidRPr="00B22CA9">
        <w:rPr>
          <w:rFonts w:ascii="Times New Roman" w:hAnsi="Times New Roman" w:cs="Times New Roman"/>
          <w:sz w:val="24"/>
          <w:szCs w:val="24"/>
          <w:lang w:val="es-ES"/>
        </w:rPr>
        <w:t>los derechos fundamentales</w:t>
      </w:r>
      <w:r w:rsidRPr="00B22CA9">
        <w:rPr>
          <w:rFonts w:ascii="Times New Roman" w:hAnsi="Times New Roman" w:cs="Times New Roman"/>
          <w:sz w:val="24"/>
          <w:szCs w:val="24"/>
          <w:lang w:val="es-ES"/>
        </w:rPr>
        <w:t xml:space="preserve"> podrían hacerse cambios: </w:t>
      </w:r>
      <w:r w:rsidR="00E221AB" w:rsidRPr="00B22CA9">
        <w:rPr>
          <w:rFonts w:ascii="Times New Roman" w:hAnsi="Times New Roman" w:cs="Times New Roman"/>
          <w:sz w:val="24"/>
          <w:szCs w:val="24"/>
          <w:lang w:val="es-ES"/>
        </w:rPr>
        <w:t>revisa</w:t>
      </w:r>
      <w:r w:rsidRPr="00B22CA9">
        <w:rPr>
          <w:rFonts w:ascii="Times New Roman" w:hAnsi="Times New Roman" w:cs="Times New Roman"/>
          <w:sz w:val="24"/>
          <w:szCs w:val="24"/>
          <w:lang w:val="es-ES"/>
        </w:rPr>
        <w:t>r</w:t>
      </w:r>
      <w:r w:rsidR="00E221AB" w:rsidRPr="00B22CA9">
        <w:rPr>
          <w:rFonts w:ascii="Times New Roman" w:hAnsi="Times New Roman" w:cs="Times New Roman"/>
          <w:sz w:val="24"/>
          <w:szCs w:val="24"/>
          <w:lang w:val="es-ES"/>
        </w:rPr>
        <w:t xml:space="preserve"> el papel de la Comisión</w:t>
      </w:r>
      <w:r w:rsidR="005D0865" w:rsidRPr="00B22CA9">
        <w:rPr>
          <w:rFonts w:ascii="Times New Roman" w:hAnsi="Times New Roman" w:cs="Times New Roman"/>
          <w:sz w:val="24"/>
          <w:szCs w:val="24"/>
          <w:lang w:val="es-ES"/>
        </w:rPr>
        <w:t xml:space="preserve"> </w:t>
      </w:r>
      <w:r w:rsidRPr="00B22CA9">
        <w:rPr>
          <w:rFonts w:ascii="Times New Roman" w:hAnsi="Times New Roman" w:cs="Times New Roman"/>
          <w:sz w:val="24"/>
          <w:szCs w:val="24"/>
          <w:lang w:val="es-ES"/>
        </w:rPr>
        <w:t>respecto a</w:t>
      </w:r>
      <w:r w:rsidR="005D0865" w:rsidRPr="00B22CA9">
        <w:rPr>
          <w:rFonts w:ascii="Times New Roman" w:hAnsi="Times New Roman" w:cs="Times New Roman"/>
          <w:sz w:val="24"/>
          <w:szCs w:val="24"/>
          <w:lang w:val="es-ES"/>
        </w:rPr>
        <w:t xml:space="preserve"> l</w:t>
      </w:r>
      <w:r w:rsidRPr="00B22CA9">
        <w:rPr>
          <w:rFonts w:ascii="Times New Roman" w:hAnsi="Times New Roman" w:cs="Times New Roman"/>
          <w:sz w:val="24"/>
          <w:szCs w:val="24"/>
          <w:lang w:val="es-ES"/>
        </w:rPr>
        <w:t>a promoción de l</w:t>
      </w:r>
      <w:r w:rsidR="005D0865" w:rsidRPr="00B22CA9">
        <w:rPr>
          <w:rFonts w:ascii="Times New Roman" w:hAnsi="Times New Roman" w:cs="Times New Roman"/>
          <w:sz w:val="24"/>
          <w:szCs w:val="24"/>
          <w:lang w:val="es-ES"/>
        </w:rPr>
        <w:t>os derechos</w:t>
      </w:r>
      <w:r w:rsidR="00E221AB" w:rsidRPr="00B22CA9">
        <w:rPr>
          <w:rFonts w:ascii="Times New Roman" w:hAnsi="Times New Roman" w:cs="Times New Roman"/>
          <w:sz w:val="24"/>
          <w:szCs w:val="24"/>
          <w:lang w:val="es-ES"/>
        </w:rPr>
        <w:t xml:space="preserve"> y la rel</w:t>
      </w:r>
      <w:r w:rsidR="005D0865" w:rsidRPr="00B22CA9">
        <w:rPr>
          <w:rFonts w:ascii="Times New Roman" w:hAnsi="Times New Roman" w:cs="Times New Roman"/>
          <w:sz w:val="24"/>
          <w:szCs w:val="24"/>
          <w:lang w:val="es-ES"/>
        </w:rPr>
        <w:t>ación entre la Carta</w:t>
      </w:r>
      <w:r w:rsidR="00E221AB" w:rsidRPr="00B22CA9">
        <w:rPr>
          <w:rFonts w:ascii="Times New Roman" w:hAnsi="Times New Roman" w:cs="Times New Roman"/>
          <w:sz w:val="24"/>
          <w:szCs w:val="24"/>
          <w:lang w:val="es-ES"/>
        </w:rPr>
        <w:t xml:space="preserve"> y el resto del </w:t>
      </w:r>
      <w:r w:rsidR="00F63142" w:rsidRPr="00B22CA9">
        <w:rPr>
          <w:rFonts w:ascii="Times New Roman" w:hAnsi="Times New Roman" w:cs="Times New Roman"/>
          <w:sz w:val="24"/>
          <w:szCs w:val="24"/>
          <w:lang w:val="es-ES"/>
        </w:rPr>
        <w:t>d</w:t>
      </w:r>
      <w:r w:rsidR="00E221AB" w:rsidRPr="00B22CA9">
        <w:rPr>
          <w:rFonts w:ascii="Times New Roman" w:hAnsi="Times New Roman" w:cs="Times New Roman"/>
          <w:sz w:val="24"/>
          <w:szCs w:val="24"/>
          <w:lang w:val="es-ES"/>
        </w:rPr>
        <w:t>erecho de la Unión, mediatizada por el artículo 51</w:t>
      </w:r>
      <w:r w:rsidRPr="00B22CA9">
        <w:rPr>
          <w:rFonts w:ascii="Times New Roman" w:hAnsi="Times New Roman" w:cs="Times New Roman"/>
          <w:sz w:val="24"/>
          <w:szCs w:val="24"/>
          <w:lang w:val="es-ES"/>
        </w:rPr>
        <w:t xml:space="preserve"> y el principio de competencia. Otras alternativas, en sentido contrario, pasan por </w:t>
      </w:r>
      <w:r w:rsidR="00E221AB" w:rsidRPr="00B22CA9">
        <w:rPr>
          <w:rFonts w:ascii="Times New Roman" w:hAnsi="Times New Roman" w:cs="Times New Roman"/>
          <w:sz w:val="24"/>
          <w:szCs w:val="24"/>
          <w:lang w:val="es-ES"/>
        </w:rPr>
        <w:t xml:space="preserve">ampliar la legitimación para el abrir el procedimiento y articularlo </w:t>
      </w:r>
      <w:r w:rsidR="00120F35" w:rsidRPr="00B22CA9">
        <w:rPr>
          <w:rFonts w:ascii="Times New Roman" w:hAnsi="Times New Roman" w:cs="Times New Roman"/>
          <w:sz w:val="24"/>
          <w:szCs w:val="24"/>
          <w:lang w:val="es-ES"/>
        </w:rPr>
        <w:t xml:space="preserve">de manera que la Comisión no </w:t>
      </w:r>
      <w:r w:rsidR="009A171C" w:rsidRPr="00B22CA9">
        <w:rPr>
          <w:rFonts w:ascii="Times New Roman" w:hAnsi="Times New Roman" w:cs="Times New Roman"/>
          <w:sz w:val="24"/>
          <w:szCs w:val="24"/>
          <w:lang w:val="es-ES"/>
        </w:rPr>
        <w:t>sea</w:t>
      </w:r>
      <w:r w:rsidR="00120F35" w:rsidRPr="00B22CA9">
        <w:rPr>
          <w:rFonts w:ascii="Times New Roman" w:hAnsi="Times New Roman" w:cs="Times New Roman"/>
          <w:sz w:val="24"/>
          <w:szCs w:val="24"/>
          <w:lang w:val="es-ES"/>
        </w:rPr>
        <w:t xml:space="preserve"> </w:t>
      </w:r>
      <w:r w:rsidR="009A171C" w:rsidRPr="00B22CA9">
        <w:rPr>
          <w:rFonts w:ascii="Times New Roman" w:hAnsi="Times New Roman" w:cs="Times New Roman"/>
          <w:sz w:val="24"/>
          <w:szCs w:val="24"/>
          <w:lang w:val="es-ES"/>
        </w:rPr>
        <w:t>la</w:t>
      </w:r>
      <w:r w:rsidR="00120F35" w:rsidRPr="00B22CA9">
        <w:rPr>
          <w:rFonts w:ascii="Times New Roman" w:hAnsi="Times New Roman" w:cs="Times New Roman"/>
          <w:sz w:val="24"/>
          <w:szCs w:val="24"/>
          <w:lang w:val="es-ES"/>
        </w:rPr>
        <w:t xml:space="preserve"> dueña del mismo</w:t>
      </w:r>
      <w:r w:rsidRPr="00B22CA9">
        <w:rPr>
          <w:rFonts w:ascii="Times New Roman" w:hAnsi="Times New Roman" w:cs="Times New Roman"/>
          <w:sz w:val="24"/>
          <w:szCs w:val="24"/>
          <w:lang w:val="es-ES"/>
        </w:rPr>
        <w:t>, modificando los artículos 258 y siguientes del TFUE</w:t>
      </w:r>
      <w:r w:rsidR="00120F35" w:rsidRPr="00B22CA9">
        <w:rPr>
          <w:rFonts w:ascii="Times New Roman" w:hAnsi="Times New Roman" w:cs="Times New Roman"/>
          <w:sz w:val="24"/>
          <w:szCs w:val="24"/>
          <w:lang w:val="es-ES"/>
        </w:rPr>
        <w:t>.</w:t>
      </w:r>
      <w:r w:rsidR="00674907" w:rsidRPr="00B22CA9">
        <w:rPr>
          <w:rFonts w:ascii="Times New Roman" w:hAnsi="Times New Roman" w:cs="Times New Roman"/>
          <w:sz w:val="24"/>
          <w:szCs w:val="24"/>
          <w:lang w:val="es-ES"/>
        </w:rPr>
        <w:t xml:space="preserve"> Estas últimas medidas sacrificarían la eficaci</w:t>
      </w:r>
      <w:r w:rsidR="009A171C" w:rsidRPr="00B22CA9">
        <w:rPr>
          <w:rFonts w:ascii="Times New Roman" w:hAnsi="Times New Roman" w:cs="Times New Roman"/>
          <w:sz w:val="24"/>
          <w:szCs w:val="24"/>
          <w:lang w:val="es-ES"/>
        </w:rPr>
        <w:t>a</w:t>
      </w:r>
      <w:r w:rsidR="00674907" w:rsidRPr="00B22CA9">
        <w:rPr>
          <w:rFonts w:ascii="Times New Roman" w:hAnsi="Times New Roman" w:cs="Times New Roman"/>
          <w:sz w:val="24"/>
          <w:szCs w:val="24"/>
          <w:lang w:val="es-ES"/>
        </w:rPr>
        <w:t xml:space="preserve"> en favor de la despolitización.</w:t>
      </w:r>
      <w:r w:rsidR="00120F35" w:rsidRPr="00B22CA9">
        <w:rPr>
          <w:rFonts w:ascii="Times New Roman" w:hAnsi="Times New Roman" w:cs="Times New Roman"/>
          <w:sz w:val="24"/>
          <w:szCs w:val="24"/>
          <w:lang w:val="es-ES"/>
        </w:rPr>
        <w:t xml:space="preserve">   </w:t>
      </w:r>
      <w:r w:rsidR="00636B0B" w:rsidRPr="00B22CA9">
        <w:rPr>
          <w:rFonts w:ascii="Times New Roman" w:hAnsi="Times New Roman" w:cs="Times New Roman"/>
          <w:sz w:val="24"/>
          <w:szCs w:val="24"/>
          <w:lang w:val="es-ES"/>
        </w:rPr>
        <w:t xml:space="preserve">  </w:t>
      </w:r>
    </w:p>
    <w:p w:rsidR="00120F35" w:rsidRPr="00B22CA9" w:rsidRDefault="00120F35" w:rsidP="007F11DF">
      <w:pPr>
        <w:spacing w:line="240" w:lineRule="auto"/>
        <w:ind w:firstLine="720"/>
        <w:jc w:val="both"/>
        <w:rPr>
          <w:rFonts w:ascii="Times New Roman" w:hAnsi="Times New Roman" w:cs="Times New Roman"/>
          <w:sz w:val="24"/>
          <w:szCs w:val="24"/>
          <w:lang w:val="es-ES"/>
        </w:rPr>
      </w:pPr>
    </w:p>
    <w:p w:rsidR="00120F35" w:rsidRPr="00B22CA9" w:rsidRDefault="004E2325" w:rsidP="007F11DF">
      <w:pPr>
        <w:spacing w:line="240" w:lineRule="auto"/>
        <w:ind w:firstLine="720"/>
        <w:jc w:val="right"/>
        <w:rPr>
          <w:rFonts w:ascii="Times New Roman" w:hAnsi="Times New Roman" w:cs="Times New Roman"/>
          <w:sz w:val="24"/>
          <w:szCs w:val="24"/>
          <w:lang w:val="es-ES"/>
        </w:rPr>
      </w:pPr>
      <w:r w:rsidRPr="00B22CA9">
        <w:rPr>
          <w:rFonts w:ascii="Times New Roman" w:hAnsi="Times New Roman" w:cs="Times New Roman"/>
          <w:sz w:val="24"/>
          <w:szCs w:val="24"/>
          <w:lang w:val="es-ES"/>
        </w:rPr>
        <w:t>Florencia</w:t>
      </w:r>
      <w:r w:rsidR="007F11DF" w:rsidRPr="00B22CA9">
        <w:rPr>
          <w:rFonts w:ascii="Times New Roman" w:hAnsi="Times New Roman" w:cs="Times New Roman"/>
          <w:sz w:val="24"/>
          <w:szCs w:val="24"/>
          <w:lang w:val="es-ES"/>
        </w:rPr>
        <w:t xml:space="preserve">, </w:t>
      </w:r>
      <w:r w:rsidR="00120F35" w:rsidRPr="00B22CA9">
        <w:rPr>
          <w:rFonts w:ascii="Times New Roman" w:hAnsi="Times New Roman" w:cs="Times New Roman"/>
          <w:sz w:val="24"/>
          <w:szCs w:val="24"/>
          <w:lang w:val="es-ES"/>
        </w:rPr>
        <w:t>2018.</w:t>
      </w:r>
    </w:p>
    <w:p w:rsidR="00120F35" w:rsidRPr="00B22CA9" w:rsidRDefault="00120F35" w:rsidP="007F11DF">
      <w:pPr>
        <w:spacing w:line="240" w:lineRule="auto"/>
        <w:ind w:firstLine="720"/>
        <w:jc w:val="both"/>
        <w:rPr>
          <w:rFonts w:ascii="Times New Roman" w:hAnsi="Times New Roman" w:cs="Times New Roman"/>
          <w:sz w:val="24"/>
          <w:szCs w:val="24"/>
          <w:lang w:val="es-ES"/>
        </w:rPr>
      </w:pPr>
    </w:p>
    <w:p w:rsidR="00427C17" w:rsidRPr="00B22CA9" w:rsidRDefault="00427C17" w:rsidP="007F11DF">
      <w:pPr>
        <w:spacing w:line="240" w:lineRule="auto"/>
        <w:rPr>
          <w:rFonts w:ascii="Times New Roman" w:hAnsi="Times New Roman" w:cs="Times New Roman"/>
          <w:b/>
          <w:bCs/>
          <w:sz w:val="24"/>
          <w:szCs w:val="24"/>
          <w:lang w:val="es-ES"/>
        </w:rPr>
      </w:pPr>
      <w:r w:rsidRPr="00B22CA9">
        <w:rPr>
          <w:rFonts w:ascii="Times New Roman" w:hAnsi="Times New Roman" w:cs="Times New Roman"/>
          <w:b/>
          <w:bCs/>
          <w:sz w:val="24"/>
          <w:szCs w:val="24"/>
          <w:lang w:val="es-ES"/>
        </w:rPr>
        <w:t>Bibliografía</w:t>
      </w:r>
    </w:p>
    <w:p w:rsidR="00EB379A" w:rsidRPr="00B22CA9" w:rsidRDefault="00427C17" w:rsidP="007F11DF">
      <w:pPr>
        <w:spacing w:line="240" w:lineRule="auto"/>
        <w:jc w:val="both"/>
        <w:rPr>
          <w:rFonts w:ascii="Times New Roman" w:hAnsi="Times New Roman" w:cs="Times New Roman"/>
          <w:sz w:val="24"/>
          <w:szCs w:val="24"/>
        </w:rPr>
      </w:pPr>
      <w:r w:rsidRPr="00B22CA9">
        <w:rPr>
          <w:rFonts w:ascii="Times New Roman" w:hAnsi="Times New Roman" w:cs="Times New Roman"/>
          <w:sz w:val="24"/>
          <w:szCs w:val="24"/>
          <w:lang w:val="es-ES"/>
        </w:rPr>
        <w:t>Alonso García,</w:t>
      </w:r>
      <w:r w:rsidR="006171EF" w:rsidRPr="00B22CA9">
        <w:rPr>
          <w:rFonts w:ascii="Times New Roman" w:hAnsi="Times New Roman" w:cs="Times New Roman"/>
          <w:sz w:val="24"/>
          <w:szCs w:val="24"/>
          <w:lang w:val="es-ES"/>
        </w:rPr>
        <w:t xml:space="preserve"> R. (2002). </w:t>
      </w:r>
      <w:r w:rsidRPr="00B22CA9">
        <w:rPr>
          <w:rFonts w:ascii="Times New Roman" w:hAnsi="Times New Roman" w:cs="Times New Roman"/>
          <w:sz w:val="24"/>
          <w:szCs w:val="24"/>
        </w:rPr>
        <w:t>The General Provisions of the Charter of Fundamental Rights of the European Union</w:t>
      </w:r>
      <w:r w:rsidR="006171EF" w:rsidRPr="00B22CA9">
        <w:rPr>
          <w:rFonts w:ascii="Times New Roman" w:hAnsi="Times New Roman" w:cs="Times New Roman"/>
          <w:sz w:val="24"/>
          <w:szCs w:val="24"/>
        </w:rPr>
        <w:t>.</w:t>
      </w:r>
      <w:r w:rsidRPr="00B22CA9">
        <w:rPr>
          <w:rFonts w:ascii="Times New Roman" w:hAnsi="Times New Roman" w:cs="Times New Roman"/>
          <w:sz w:val="24"/>
          <w:szCs w:val="24"/>
        </w:rPr>
        <w:t xml:space="preserve"> </w:t>
      </w:r>
      <w:r w:rsidRPr="00B22CA9">
        <w:rPr>
          <w:rFonts w:ascii="Times New Roman" w:hAnsi="Times New Roman" w:cs="Times New Roman"/>
          <w:i/>
          <w:iCs/>
          <w:sz w:val="24"/>
          <w:szCs w:val="24"/>
        </w:rPr>
        <w:t xml:space="preserve">Jean Monnet Working Paper </w:t>
      </w:r>
      <w:r w:rsidR="006171EF" w:rsidRPr="00B22CA9">
        <w:rPr>
          <w:rFonts w:ascii="Times New Roman" w:hAnsi="Times New Roman" w:cs="Times New Roman"/>
          <w:i/>
          <w:iCs/>
          <w:sz w:val="24"/>
          <w:szCs w:val="24"/>
        </w:rPr>
        <w:t xml:space="preserve">Series, </w:t>
      </w:r>
      <w:r w:rsidRPr="00B22CA9">
        <w:rPr>
          <w:rFonts w:ascii="Times New Roman" w:hAnsi="Times New Roman" w:cs="Times New Roman"/>
          <w:sz w:val="24"/>
          <w:szCs w:val="24"/>
        </w:rPr>
        <w:t>4/02</w:t>
      </w:r>
      <w:r w:rsidR="00186386" w:rsidRPr="00B22CA9">
        <w:rPr>
          <w:rFonts w:ascii="Times New Roman" w:hAnsi="Times New Roman" w:cs="Times New Roman"/>
          <w:sz w:val="24"/>
          <w:szCs w:val="24"/>
        </w:rPr>
        <w:t>.</w:t>
      </w:r>
      <w:r w:rsidR="006171EF" w:rsidRPr="00B22CA9">
        <w:rPr>
          <w:rFonts w:ascii="Times New Roman" w:hAnsi="Times New Roman" w:cs="Times New Roman"/>
          <w:sz w:val="24"/>
          <w:szCs w:val="24"/>
        </w:rPr>
        <w:t xml:space="preserve"> </w:t>
      </w:r>
      <w:proofErr w:type="spellStart"/>
      <w:r w:rsidR="006171EF" w:rsidRPr="00B22CA9">
        <w:rPr>
          <w:rFonts w:ascii="Times New Roman" w:hAnsi="Times New Roman" w:cs="Times New Roman"/>
          <w:sz w:val="24"/>
          <w:szCs w:val="24"/>
        </w:rPr>
        <w:t>Disponible</w:t>
      </w:r>
      <w:proofErr w:type="spellEnd"/>
      <w:r w:rsidR="006171EF" w:rsidRPr="00B22CA9">
        <w:rPr>
          <w:rFonts w:ascii="Times New Roman" w:hAnsi="Times New Roman" w:cs="Times New Roman"/>
          <w:sz w:val="24"/>
          <w:szCs w:val="24"/>
        </w:rPr>
        <w:t xml:space="preserve"> en:</w:t>
      </w:r>
      <w:r w:rsidRPr="00B22CA9">
        <w:rPr>
          <w:rFonts w:ascii="Times New Roman" w:hAnsi="Times New Roman" w:cs="Times New Roman"/>
          <w:sz w:val="24"/>
          <w:szCs w:val="24"/>
        </w:rPr>
        <w:t xml:space="preserve"> </w:t>
      </w:r>
      <w:hyperlink r:id="rId9" w:history="1">
        <w:r w:rsidR="00D93935" w:rsidRPr="00B22CA9">
          <w:rPr>
            <w:rStyle w:val="Hipervnculo"/>
            <w:rFonts w:ascii="Times New Roman" w:hAnsi="Times New Roman" w:cs="Times New Roman"/>
            <w:color w:val="auto"/>
            <w:sz w:val="24"/>
            <w:szCs w:val="24"/>
          </w:rPr>
          <w:t>https://jeanmonnetprogram.org/</w:t>
        </w:r>
      </w:hyperlink>
      <w:r w:rsidRPr="00B22CA9">
        <w:rPr>
          <w:rFonts w:ascii="Times New Roman" w:hAnsi="Times New Roman" w:cs="Times New Roman"/>
          <w:sz w:val="24"/>
          <w:szCs w:val="24"/>
        </w:rPr>
        <w:t xml:space="preserve">.   </w:t>
      </w:r>
    </w:p>
    <w:p w:rsidR="00EB379A" w:rsidRPr="00B22CA9" w:rsidRDefault="00EB379A" w:rsidP="007F11DF">
      <w:pPr>
        <w:spacing w:line="240" w:lineRule="auto"/>
        <w:jc w:val="both"/>
        <w:rPr>
          <w:rFonts w:ascii="Times New Roman" w:hAnsi="Times New Roman" w:cs="Times New Roman"/>
          <w:sz w:val="24"/>
          <w:szCs w:val="24"/>
          <w:lang w:val="es-ES"/>
        </w:rPr>
      </w:pPr>
      <w:r w:rsidRPr="00B22CA9">
        <w:rPr>
          <w:rFonts w:ascii="Times New Roman" w:hAnsi="Times New Roman" w:cs="Times New Roman"/>
          <w:sz w:val="24"/>
          <w:szCs w:val="24"/>
          <w:lang w:val="es-ES_tradnl"/>
        </w:rPr>
        <w:t xml:space="preserve">Alonso García, </w:t>
      </w:r>
      <w:r w:rsidR="006171EF" w:rsidRPr="00B22CA9">
        <w:rPr>
          <w:rFonts w:ascii="Times New Roman" w:hAnsi="Times New Roman" w:cs="Times New Roman"/>
          <w:sz w:val="24"/>
          <w:szCs w:val="24"/>
          <w:lang w:val="es-ES_tradnl"/>
        </w:rPr>
        <w:t xml:space="preserve">R. </w:t>
      </w:r>
      <w:r w:rsidRPr="00B22CA9">
        <w:rPr>
          <w:rFonts w:ascii="Times New Roman" w:hAnsi="Times New Roman" w:cs="Times New Roman"/>
          <w:sz w:val="24"/>
          <w:szCs w:val="24"/>
          <w:lang w:val="es-ES_tradnl"/>
        </w:rPr>
        <w:t>(2003)</w:t>
      </w:r>
      <w:r w:rsidR="006171EF" w:rsidRPr="00B22CA9">
        <w:rPr>
          <w:rFonts w:ascii="Times New Roman" w:hAnsi="Times New Roman" w:cs="Times New Roman"/>
          <w:sz w:val="24"/>
          <w:szCs w:val="24"/>
          <w:lang w:val="es-ES_tradnl"/>
        </w:rPr>
        <w:t xml:space="preserve">. </w:t>
      </w:r>
      <w:r w:rsidRPr="00B22CA9">
        <w:rPr>
          <w:rFonts w:ascii="Times New Roman" w:hAnsi="Times New Roman" w:cs="Times New Roman"/>
          <w:i/>
          <w:iCs/>
          <w:sz w:val="24"/>
          <w:szCs w:val="24"/>
          <w:lang w:val="es-ES"/>
        </w:rPr>
        <w:t>El juez español y el Derecho Comunitario</w:t>
      </w:r>
      <w:r w:rsidR="006171EF" w:rsidRPr="00B22CA9">
        <w:rPr>
          <w:rFonts w:ascii="Times New Roman" w:hAnsi="Times New Roman" w:cs="Times New Roman"/>
          <w:sz w:val="24"/>
          <w:szCs w:val="24"/>
          <w:lang w:val="es-ES"/>
        </w:rPr>
        <w:t>. Madrid</w:t>
      </w:r>
      <w:r w:rsidR="00FB5DD1" w:rsidRPr="00B22CA9">
        <w:rPr>
          <w:rFonts w:ascii="Times New Roman" w:hAnsi="Times New Roman" w:cs="Times New Roman"/>
          <w:sz w:val="24"/>
          <w:szCs w:val="24"/>
          <w:lang w:val="es-ES"/>
        </w:rPr>
        <w:t>:</w:t>
      </w:r>
      <w:r w:rsidR="006171EF" w:rsidRPr="00B22CA9">
        <w:rPr>
          <w:rFonts w:ascii="Times New Roman" w:hAnsi="Times New Roman" w:cs="Times New Roman"/>
          <w:sz w:val="24"/>
          <w:szCs w:val="24"/>
          <w:lang w:val="es-ES"/>
        </w:rPr>
        <w:t xml:space="preserve"> </w:t>
      </w:r>
      <w:r w:rsidRPr="00B22CA9">
        <w:rPr>
          <w:rFonts w:ascii="Times New Roman" w:hAnsi="Times New Roman" w:cs="Times New Roman"/>
          <w:sz w:val="24"/>
          <w:szCs w:val="24"/>
          <w:lang w:val="es-ES"/>
        </w:rPr>
        <w:t>Consejo Ge</w:t>
      </w:r>
      <w:r w:rsidR="006171EF" w:rsidRPr="00B22CA9">
        <w:rPr>
          <w:rFonts w:ascii="Times New Roman" w:hAnsi="Times New Roman" w:cs="Times New Roman"/>
          <w:sz w:val="24"/>
          <w:szCs w:val="24"/>
          <w:lang w:val="es-ES"/>
        </w:rPr>
        <w:t>neral del Poder Judicial</w:t>
      </w:r>
      <w:r w:rsidRPr="00B22CA9">
        <w:rPr>
          <w:rFonts w:ascii="Times New Roman" w:hAnsi="Times New Roman" w:cs="Times New Roman"/>
          <w:sz w:val="24"/>
          <w:szCs w:val="24"/>
          <w:lang w:val="es-ES"/>
        </w:rPr>
        <w:t>.</w:t>
      </w:r>
    </w:p>
    <w:p w:rsidR="00EC2860" w:rsidRPr="00B22CA9" w:rsidRDefault="00EC2860" w:rsidP="007F11DF">
      <w:pPr>
        <w:spacing w:line="240" w:lineRule="auto"/>
        <w:jc w:val="both"/>
        <w:rPr>
          <w:rFonts w:ascii="Times New Roman" w:hAnsi="Times New Roman" w:cs="Times New Roman"/>
          <w:sz w:val="24"/>
          <w:szCs w:val="24"/>
          <w:lang w:val="es-ES"/>
        </w:rPr>
      </w:pPr>
      <w:r w:rsidRPr="00B22CA9">
        <w:rPr>
          <w:rFonts w:ascii="Times New Roman" w:hAnsi="Times New Roman" w:cs="Times New Roman"/>
          <w:sz w:val="24"/>
          <w:szCs w:val="24"/>
          <w:lang w:val="es-ES"/>
        </w:rPr>
        <w:lastRenderedPageBreak/>
        <w:t>A</w:t>
      </w:r>
      <w:r w:rsidR="006171EF" w:rsidRPr="00B22CA9">
        <w:rPr>
          <w:rFonts w:ascii="Times New Roman" w:hAnsi="Times New Roman" w:cs="Times New Roman"/>
          <w:sz w:val="24"/>
          <w:szCs w:val="24"/>
          <w:lang w:val="es-ES"/>
        </w:rPr>
        <w:t xml:space="preserve">zpitarte Sánchez M. </w:t>
      </w:r>
      <w:r w:rsidRPr="00B22CA9">
        <w:rPr>
          <w:rFonts w:ascii="Times New Roman" w:hAnsi="Times New Roman" w:cs="Times New Roman"/>
          <w:smallCaps/>
          <w:sz w:val="24"/>
          <w:szCs w:val="24"/>
          <w:lang w:val="es-ES"/>
        </w:rPr>
        <w:t xml:space="preserve">(2015). </w:t>
      </w:r>
      <w:r w:rsidRPr="00B22CA9">
        <w:rPr>
          <w:rFonts w:ascii="Times New Roman" w:hAnsi="Times New Roman" w:cs="Times New Roman"/>
          <w:sz w:val="24"/>
          <w:szCs w:val="24"/>
          <w:lang w:val="es-ES"/>
        </w:rPr>
        <w:t xml:space="preserve">Los derechos fundamentales de la Unión </w:t>
      </w:r>
      <w:r w:rsidR="006171EF" w:rsidRPr="00B22CA9">
        <w:rPr>
          <w:rFonts w:ascii="Times New Roman" w:hAnsi="Times New Roman" w:cs="Times New Roman"/>
          <w:sz w:val="24"/>
          <w:szCs w:val="24"/>
          <w:lang w:val="es-ES"/>
        </w:rPr>
        <w:t>en busca de un nuevo equilibrio</w:t>
      </w:r>
      <w:r w:rsidRPr="00B22CA9">
        <w:rPr>
          <w:rFonts w:ascii="Times New Roman" w:hAnsi="Times New Roman" w:cs="Times New Roman"/>
          <w:sz w:val="24"/>
          <w:szCs w:val="24"/>
          <w:lang w:val="es-ES"/>
        </w:rPr>
        <w:t xml:space="preserve">. </w:t>
      </w:r>
      <w:r w:rsidRPr="00B22CA9">
        <w:rPr>
          <w:rFonts w:ascii="Times New Roman" w:hAnsi="Times New Roman" w:cs="Times New Roman"/>
          <w:i/>
          <w:sz w:val="24"/>
          <w:szCs w:val="24"/>
          <w:lang w:val="es-ES"/>
        </w:rPr>
        <w:t>Revista Española de Derecho Constitucional</w:t>
      </w:r>
      <w:r w:rsidRPr="00B22CA9">
        <w:rPr>
          <w:rFonts w:ascii="Times New Roman" w:hAnsi="Times New Roman" w:cs="Times New Roman"/>
          <w:sz w:val="24"/>
          <w:szCs w:val="24"/>
          <w:lang w:val="es-ES"/>
        </w:rPr>
        <w:t>, 104, 243-268</w:t>
      </w:r>
      <w:r w:rsidR="006171EF" w:rsidRPr="00B22CA9">
        <w:rPr>
          <w:rFonts w:ascii="Times New Roman" w:hAnsi="Times New Roman" w:cs="Times New Roman"/>
          <w:sz w:val="24"/>
          <w:szCs w:val="24"/>
          <w:lang w:val="es-ES"/>
        </w:rPr>
        <w:t>.</w:t>
      </w:r>
      <w:r w:rsidR="0004349E" w:rsidRPr="00B22CA9">
        <w:rPr>
          <w:rFonts w:ascii="Times New Roman" w:hAnsi="Times New Roman" w:cs="Times New Roman"/>
          <w:sz w:val="24"/>
          <w:szCs w:val="24"/>
          <w:lang w:val="es-ES"/>
        </w:rPr>
        <w:t xml:space="preserve"> </w:t>
      </w:r>
      <w:r w:rsidR="00D93935" w:rsidRPr="00B22CA9">
        <w:rPr>
          <w:rFonts w:ascii="Times New Roman" w:hAnsi="Times New Roman" w:cs="Times New Roman"/>
          <w:sz w:val="24"/>
          <w:szCs w:val="24"/>
          <w:lang w:val="es-ES"/>
        </w:rPr>
        <w:t>http://dx.doi.org/10.18042/cepc/redc.104.08</w:t>
      </w:r>
      <w:r w:rsidR="0004349E" w:rsidRPr="00B22CA9">
        <w:rPr>
          <w:rFonts w:ascii="Times New Roman" w:hAnsi="Times New Roman" w:cs="Times New Roman"/>
          <w:sz w:val="24"/>
          <w:szCs w:val="24"/>
          <w:lang w:val="es-ES"/>
        </w:rPr>
        <w:t>.</w:t>
      </w:r>
    </w:p>
    <w:p w:rsidR="00F95DD2" w:rsidRPr="00B22CA9" w:rsidRDefault="00F95DD2" w:rsidP="007F11DF">
      <w:pPr>
        <w:spacing w:line="240" w:lineRule="auto"/>
        <w:jc w:val="both"/>
        <w:rPr>
          <w:rFonts w:ascii="Times New Roman" w:hAnsi="Times New Roman" w:cs="Times New Roman"/>
          <w:sz w:val="24"/>
          <w:szCs w:val="24"/>
          <w:lang w:val="es-ES"/>
        </w:rPr>
      </w:pPr>
      <w:r w:rsidRPr="00B22CA9">
        <w:rPr>
          <w:rFonts w:ascii="Times New Roman" w:hAnsi="Times New Roman" w:cs="Times New Roman"/>
          <w:sz w:val="24"/>
          <w:szCs w:val="24"/>
          <w:lang w:val="es-ES"/>
        </w:rPr>
        <w:t>Azpitarte Sánchez, M. (2016)</w:t>
      </w:r>
      <w:r w:rsidR="006171EF" w:rsidRPr="00B22CA9">
        <w:rPr>
          <w:rFonts w:ascii="Times New Roman" w:hAnsi="Times New Roman" w:cs="Times New Roman"/>
          <w:sz w:val="24"/>
          <w:szCs w:val="24"/>
          <w:lang w:val="es-ES"/>
        </w:rPr>
        <w:t>.</w:t>
      </w:r>
      <w:r w:rsidRPr="00B22CA9">
        <w:rPr>
          <w:rFonts w:ascii="Times New Roman" w:hAnsi="Times New Roman" w:cs="Times New Roman"/>
          <w:sz w:val="24"/>
          <w:szCs w:val="24"/>
          <w:lang w:val="es-ES"/>
        </w:rPr>
        <w:t xml:space="preserve"> Integración europea y legitimidad de la jurisdicción constitucional</w:t>
      </w:r>
      <w:r w:rsidR="006171EF" w:rsidRPr="00B22CA9">
        <w:rPr>
          <w:rFonts w:ascii="Times New Roman" w:hAnsi="Times New Roman" w:cs="Times New Roman"/>
          <w:sz w:val="24"/>
          <w:szCs w:val="24"/>
          <w:lang w:val="es-ES"/>
        </w:rPr>
        <w:t>.</w:t>
      </w:r>
      <w:r w:rsidRPr="00B22CA9">
        <w:rPr>
          <w:rFonts w:ascii="Times New Roman" w:hAnsi="Times New Roman" w:cs="Times New Roman"/>
          <w:sz w:val="24"/>
          <w:szCs w:val="24"/>
          <w:lang w:val="es-ES"/>
        </w:rPr>
        <w:t xml:space="preserve"> </w:t>
      </w:r>
      <w:r w:rsidRPr="00B22CA9">
        <w:rPr>
          <w:rFonts w:ascii="Times New Roman" w:hAnsi="Times New Roman" w:cs="Times New Roman"/>
          <w:i/>
          <w:iCs/>
          <w:sz w:val="24"/>
          <w:szCs w:val="24"/>
          <w:lang w:val="es-ES"/>
        </w:rPr>
        <w:t>Revista de Derecho Comunitario Europeo</w:t>
      </w:r>
      <w:r w:rsidR="006171EF" w:rsidRPr="00B22CA9">
        <w:rPr>
          <w:rFonts w:ascii="Times New Roman" w:hAnsi="Times New Roman" w:cs="Times New Roman"/>
          <w:i/>
          <w:iCs/>
          <w:sz w:val="24"/>
          <w:szCs w:val="24"/>
          <w:lang w:val="es-ES"/>
        </w:rPr>
        <w:t xml:space="preserve">, </w:t>
      </w:r>
      <w:r w:rsidRPr="00B22CA9">
        <w:rPr>
          <w:rFonts w:ascii="Times New Roman" w:hAnsi="Times New Roman" w:cs="Times New Roman"/>
          <w:sz w:val="24"/>
          <w:szCs w:val="24"/>
          <w:lang w:val="es-ES"/>
        </w:rPr>
        <w:t>55</w:t>
      </w:r>
      <w:r w:rsidR="006171EF" w:rsidRPr="00B22CA9">
        <w:rPr>
          <w:rFonts w:ascii="Times New Roman" w:hAnsi="Times New Roman" w:cs="Times New Roman"/>
          <w:sz w:val="24"/>
          <w:szCs w:val="24"/>
          <w:lang w:val="es-ES"/>
        </w:rPr>
        <w:t xml:space="preserve">, </w:t>
      </w:r>
      <w:r w:rsidRPr="00B22CA9">
        <w:rPr>
          <w:rFonts w:ascii="Times New Roman" w:hAnsi="Times New Roman" w:cs="Times New Roman"/>
          <w:sz w:val="24"/>
          <w:szCs w:val="24"/>
          <w:lang w:val="es-ES"/>
        </w:rPr>
        <w:t>941-975.</w:t>
      </w:r>
      <w:r w:rsidR="0004349E" w:rsidRPr="00B22CA9">
        <w:rPr>
          <w:rFonts w:ascii="Times New Roman" w:hAnsi="Times New Roman" w:cs="Times New Roman"/>
          <w:sz w:val="24"/>
          <w:szCs w:val="24"/>
          <w:lang w:val="es-ES"/>
        </w:rPr>
        <w:t xml:space="preserve"> https://doi.org/10.18042/cepc/rdce.55.05</w:t>
      </w:r>
      <w:r w:rsidR="0004349E" w:rsidRPr="00B22CA9">
        <w:rPr>
          <w:rFonts w:ascii="Times New Roman" w:hAnsi="Times New Roman" w:cs="Times New Roman"/>
          <w:sz w:val="24"/>
          <w:szCs w:val="24"/>
          <w:lang w:val="es-ES"/>
        </w:rPr>
        <w:tab/>
        <w:t>.</w:t>
      </w:r>
    </w:p>
    <w:p w:rsidR="00DB6EDC" w:rsidRPr="00B22CA9" w:rsidRDefault="00DB6EDC" w:rsidP="007F11DF">
      <w:pPr>
        <w:spacing w:line="240" w:lineRule="auto"/>
        <w:jc w:val="both"/>
        <w:rPr>
          <w:rFonts w:ascii="Times New Roman" w:hAnsi="Times New Roman" w:cs="Times New Roman"/>
          <w:sz w:val="24"/>
          <w:szCs w:val="24"/>
          <w:lang w:val="es-ES_tradnl"/>
        </w:rPr>
      </w:pPr>
      <w:proofErr w:type="spellStart"/>
      <w:r w:rsidRPr="00B22CA9">
        <w:rPr>
          <w:rFonts w:ascii="Times New Roman" w:hAnsi="Times New Roman" w:cs="Times New Roman"/>
          <w:sz w:val="24"/>
          <w:szCs w:val="24"/>
          <w:lang w:val="es-ES_tradnl"/>
        </w:rPr>
        <w:t>Biglino</w:t>
      </w:r>
      <w:proofErr w:type="spellEnd"/>
      <w:r w:rsidRPr="00B22CA9">
        <w:rPr>
          <w:rFonts w:ascii="Times New Roman" w:hAnsi="Times New Roman" w:cs="Times New Roman"/>
          <w:sz w:val="24"/>
          <w:szCs w:val="24"/>
          <w:lang w:val="es-ES_tradnl"/>
        </w:rPr>
        <w:t xml:space="preserve"> Campos, P</w:t>
      </w:r>
      <w:r w:rsidR="002D14BC" w:rsidRPr="00B22CA9">
        <w:rPr>
          <w:rFonts w:ascii="Times New Roman" w:hAnsi="Times New Roman" w:cs="Times New Roman"/>
          <w:sz w:val="24"/>
          <w:szCs w:val="24"/>
          <w:lang w:val="es-ES_tradnl"/>
        </w:rPr>
        <w:t>.</w:t>
      </w:r>
      <w:r w:rsidRPr="00B22CA9">
        <w:rPr>
          <w:rFonts w:ascii="Times New Roman" w:hAnsi="Times New Roman" w:cs="Times New Roman"/>
          <w:sz w:val="24"/>
          <w:szCs w:val="24"/>
          <w:lang w:val="es-ES_tradnl"/>
        </w:rPr>
        <w:t xml:space="preserve"> (2003). Derechos fundamentales y competencias de la Unión: el argumento de Hamilton. </w:t>
      </w:r>
      <w:r w:rsidRPr="00B22CA9">
        <w:rPr>
          <w:rFonts w:ascii="Times New Roman" w:hAnsi="Times New Roman" w:cs="Times New Roman"/>
          <w:i/>
          <w:sz w:val="24"/>
          <w:szCs w:val="24"/>
          <w:lang w:val="es-ES_tradnl"/>
        </w:rPr>
        <w:t>Revista de Derecho Comunitario Europeo</w:t>
      </w:r>
      <w:r w:rsidRPr="00B22CA9">
        <w:rPr>
          <w:rFonts w:ascii="Times New Roman" w:hAnsi="Times New Roman" w:cs="Times New Roman"/>
          <w:sz w:val="24"/>
          <w:szCs w:val="24"/>
          <w:lang w:val="es-ES_tradnl"/>
        </w:rPr>
        <w:t xml:space="preserve">, 14, 45-68.  </w:t>
      </w:r>
    </w:p>
    <w:p w:rsidR="00EC2860" w:rsidRPr="00B22CA9" w:rsidRDefault="006171EF" w:rsidP="007F11DF">
      <w:pPr>
        <w:spacing w:line="240" w:lineRule="auto"/>
        <w:jc w:val="both"/>
        <w:rPr>
          <w:rFonts w:ascii="Times New Roman" w:hAnsi="Times New Roman" w:cs="Times New Roman"/>
          <w:sz w:val="24"/>
          <w:szCs w:val="24"/>
          <w:lang w:val="es-ES"/>
        </w:rPr>
      </w:pPr>
      <w:r w:rsidRPr="00B22CA9">
        <w:rPr>
          <w:rFonts w:ascii="Times New Roman" w:hAnsi="Times New Roman" w:cs="Times New Roman"/>
          <w:sz w:val="24"/>
          <w:szCs w:val="24"/>
          <w:lang w:val="es-ES"/>
        </w:rPr>
        <w:t xml:space="preserve">Carmona Contreras, A. (2016). </w:t>
      </w:r>
      <w:r w:rsidR="00EC2860" w:rsidRPr="00B22CA9">
        <w:rPr>
          <w:rFonts w:ascii="Times New Roman" w:hAnsi="Times New Roman" w:cs="Times New Roman"/>
          <w:sz w:val="24"/>
          <w:szCs w:val="24"/>
          <w:lang w:val="es-ES"/>
        </w:rPr>
        <w:t>El espacio europeo de los derechos fundamentales: de la Carta a las constituciones nacionales</w:t>
      </w:r>
      <w:r w:rsidRPr="00B22CA9">
        <w:rPr>
          <w:rFonts w:ascii="Times New Roman" w:hAnsi="Times New Roman" w:cs="Times New Roman"/>
          <w:sz w:val="24"/>
          <w:szCs w:val="24"/>
          <w:lang w:val="es-ES"/>
        </w:rPr>
        <w:t xml:space="preserve">. </w:t>
      </w:r>
      <w:r w:rsidR="00EC2860" w:rsidRPr="00B22CA9">
        <w:rPr>
          <w:rFonts w:ascii="Times New Roman" w:hAnsi="Times New Roman" w:cs="Times New Roman"/>
          <w:i/>
          <w:sz w:val="24"/>
          <w:szCs w:val="24"/>
          <w:lang w:val="es-ES"/>
        </w:rPr>
        <w:t>Revista Española de Derecho Constitucional</w:t>
      </w:r>
      <w:r w:rsidR="00EC2860" w:rsidRPr="00B22CA9">
        <w:rPr>
          <w:rFonts w:ascii="Times New Roman" w:hAnsi="Times New Roman" w:cs="Times New Roman"/>
          <w:sz w:val="24"/>
          <w:szCs w:val="24"/>
          <w:lang w:val="es-ES"/>
        </w:rPr>
        <w:t>, 107, 13-40</w:t>
      </w:r>
      <w:r w:rsidRPr="00B22CA9">
        <w:rPr>
          <w:rFonts w:ascii="Times New Roman" w:hAnsi="Times New Roman" w:cs="Times New Roman"/>
          <w:sz w:val="24"/>
          <w:szCs w:val="24"/>
          <w:lang w:val="es-ES"/>
        </w:rPr>
        <w:t>.</w:t>
      </w:r>
    </w:p>
    <w:p w:rsidR="0020219B" w:rsidRPr="00B22CA9" w:rsidRDefault="0020219B" w:rsidP="007F11DF">
      <w:pPr>
        <w:spacing w:line="240" w:lineRule="auto"/>
        <w:jc w:val="both"/>
        <w:rPr>
          <w:rFonts w:ascii="Times New Roman" w:hAnsi="Times New Roman" w:cs="Times New Roman"/>
          <w:sz w:val="24"/>
          <w:szCs w:val="24"/>
          <w:lang w:val="es-ES"/>
        </w:rPr>
      </w:pPr>
      <w:r w:rsidRPr="00B22CA9">
        <w:rPr>
          <w:rFonts w:ascii="Times New Roman" w:hAnsi="Times New Roman" w:cs="Times New Roman"/>
          <w:sz w:val="24"/>
          <w:szCs w:val="24"/>
          <w:lang w:val="es-ES"/>
        </w:rPr>
        <w:t xml:space="preserve">Carmona Contreras, A. </w:t>
      </w:r>
      <w:r w:rsidR="00264AEC" w:rsidRPr="00B22CA9">
        <w:rPr>
          <w:rFonts w:ascii="Times New Roman" w:hAnsi="Times New Roman" w:cs="Times New Roman"/>
          <w:sz w:val="24"/>
          <w:szCs w:val="24"/>
          <w:lang w:val="es-ES"/>
        </w:rPr>
        <w:t>(</w:t>
      </w:r>
      <w:proofErr w:type="spellStart"/>
      <w:r w:rsidR="00264AEC" w:rsidRPr="00B22CA9">
        <w:rPr>
          <w:rFonts w:ascii="Times New Roman" w:hAnsi="Times New Roman" w:cs="Times New Roman"/>
          <w:sz w:val="24"/>
          <w:szCs w:val="24"/>
          <w:lang w:val="es-ES"/>
        </w:rPr>
        <w:t>dir</w:t>
      </w:r>
      <w:r w:rsidR="002D14BC" w:rsidRPr="00B22CA9">
        <w:rPr>
          <w:rFonts w:ascii="Times New Roman" w:hAnsi="Times New Roman" w:cs="Times New Roman"/>
          <w:sz w:val="24"/>
          <w:szCs w:val="24"/>
          <w:lang w:val="es-ES"/>
        </w:rPr>
        <w:t>.</w:t>
      </w:r>
      <w:proofErr w:type="spellEnd"/>
      <w:r w:rsidR="00264AEC" w:rsidRPr="00B22CA9">
        <w:rPr>
          <w:rFonts w:ascii="Times New Roman" w:hAnsi="Times New Roman" w:cs="Times New Roman"/>
          <w:sz w:val="24"/>
          <w:szCs w:val="24"/>
          <w:lang w:val="es-ES"/>
        </w:rPr>
        <w:t>)</w:t>
      </w:r>
      <w:r w:rsidRPr="00B22CA9">
        <w:rPr>
          <w:rFonts w:ascii="Times New Roman" w:hAnsi="Times New Roman" w:cs="Times New Roman"/>
          <w:sz w:val="24"/>
          <w:szCs w:val="24"/>
          <w:lang w:val="es-ES"/>
        </w:rPr>
        <w:t>. (2018).</w:t>
      </w:r>
      <w:r w:rsidR="00264AEC" w:rsidRPr="00B22CA9">
        <w:rPr>
          <w:rFonts w:ascii="Times New Roman" w:hAnsi="Times New Roman" w:cs="Times New Roman"/>
          <w:sz w:val="24"/>
          <w:szCs w:val="24"/>
          <w:lang w:val="es-ES"/>
        </w:rPr>
        <w:t xml:space="preserve"> </w:t>
      </w:r>
      <w:r w:rsidR="00264AEC" w:rsidRPr="00B22CA9">
        <w:rPr>
          <w:rFonts w:ascii="Times New Roman" w:hAnsi="Times New Roman" w:cs="Times New Roman"/>
          <w:i/>
          <w:iCs/>
          <w:sz w:val="24"/>
          <w:szCs w:val="24"/>
          <w:lang w:val="es-ES"/>
        </w:rPr>
        <w:t>Construyendo un estándar europeo de derechos fundamentales un recorrido por la jurisprudencia TJUE tras la entrada en vigor de la Carta</w:t>
      </w:r>
      <w:r w:rsidR="00731DFC" w:rsidRPr="00B22CA9">
        <w:rPr>
          <w:rFonts w:ascii="Times New Roman" w:hAnsi="Times New Roman" w:cs="Times New Roman"/>
          <w:sz w:val="24"/>
          <w:szCs w:val="24"/>
          <w:lang w:val="es-ES"/>
        </w:rPr>
        <w:t>.</w:t>
      </w:r>
      <w:r w:rsidRPr="00B22CA9">
        <w:rPr>
          <w:rFonts w:ascii="Times New Roman" w:hAnsi="Times New Roman" w:cs="Times New Roman"/>
          <w:sz w:val="24"/>
          <w:szCs w:val="24"/>
          <w:lang w:val="es-ES"/>
        </w:rPr>
        <w:t xml:space="preserve"> </w:t>
      </w:r>
      <w:r w:rsidR="00264AEC" w:rsidRPr="00B22CA9">
        <w:rPr>
          <w:rFonts w:ascii="Times New Roman" w:hAnsi="Times New Roman" w:cs="Times New Roman"/>
          <w:sz w:val="24"/>
          <w:szCs w:val="24"/>
          <w:lang w:val="es-ES"/>
        </w:rPr>
        <w:t>Pamplona</w:t>
      </w:r>
      <w:r w:rsidR="00FB5DD1" w:rsidRPr="00B22CA9">
        <w:rPr>
          <w:rFonts w:ascii="Times New Roman" w:hAnsi="Times New Roman" w:cs="Times New Roman"/>
          <w:sz w:val="24"/>
          <w:szCs w:val="24"/>
          <w:lang w:val="es-ES"/>
        </w:rPr>
        <w:t>:</w:t>
      </w:r>
      <w:r w:rsidR="00264AEC" w:rsidRPr="00B22CA9">
        <w:rPr>
          <w:rFonts w:ascii="Times New Roman" w:hAnsi="Times New Roman" w:cs="Times New Roman"/>
          <w:sz w:val="24"/>
          <w:szCs w:val="24"/>
          <w:lang w:val="es-ES"/>
        </w:rPr>
        <w:t xml:space="preserve"> </w:t>
      </w:r>
      <w:r w:rsidRPr="00B22CA9">
        <w:rPr>
          <w:rFonts w:ascii="Times New Roman" w:hAnsi="Times New Roman" w:cs="Times New Roman"/>
          <w:sz w:val="24"/>
          <w:szCs w:val="24"/>
          <w:lang w:val="es-ES"/>
        </w:rPr>
        <w:t>Aranzadi.</w:t>
      </w:r>
      <w:r w:rsidR="0004349E" w:rsidRPr="00B22CA9">
        <w:rPr>
          <w:rFonts w:ascii="Times New Roman" w:hAnsi="Times New Roman" w:cs="Times New Roman"/>
          <w:sz w:val="24"/>
          <w:szCs w:val="24"/>
          <w:lang w:val="es-ES"/>
        </w:rPr>
        <w:t xml:space="preserve"> http://dx.doi.org/10.18042/cepc/redc.107.01.</w:t>
      </w:r>
    </w:p>
    <w:p w:rsidR="00986C71" w:rsidRPr="00B22CA9" w:rsidRDefault="00986C71" w:rsidP="007F11DF">
      <w:pPr>
        <w:spacing w:line="240" w:lineRule="auto"/>
        <w:jc w:val="both"/>
        <w:rPr>
          <w:rFonts w:ascii="Times New Roman" w:hAnsi="Times New Roman" w:cs="Times New Roman"/>
          <w:sz w:val="24"/>
          <w:szCs w:val="24"/>
        </w:rPr>
      </w:pPr>
      <w:proofErr w:type="spellStart"/>
      <w:r w:rsidRPr="00B22CA9">
        <w:rPr>
          <w:rFonts w:ascii="Times New Roman" w:hAnsi="Times New Roman" w:cs="Times New Roman"/>
          <w:sz w:val="24"/>
          <w:szCs w:val="24"/>
          <w:lang w:val="es-ES"/>
        </w:rPr>
        <w:t>Claes</w:t>
      </w:r>
      <w:proofErr w:type="spellEnd"/>
      <w:r w:rsidRPr="00B22CA9">
        <w:rPr>
          <w:rFonts w:ascii="Times New Roman" w:hAnsi="Times New Roman" w:cs="Times New Roman"/>
          <w:sz w:val="24"/>
          <w:szCs w:val="24"/>
          <w:lang w:val="es-ES"/>
        </w:rPr>
        <w:t xml:space="preserve">, M. (2006). </w:t>
      </w:r>
      <w:r w:rsidRPr="00B22CA9">
        <w:rPr>
          <w:rFonts w:ascii="Times New Roman" w:hAnsi="Times New Roman" w:cs="Times New Roman"/>
          <w:i/>
          <w:iCs/>
          <w:sz w:val="24"/>
          <w:szCs w:val="24"/>
        </w:rPr>
        <w:t>The National Courts´ mandate in the European Constitution</w:t>
      </w:r>
      <w:r w:rsidRPr="00B22CA9">
        <w:rPr>
          <w:rFonts w:ascii="Times New Roman" w:hAnsi="Times New Roman" w:cs="Times New Roman"/>
          <w:sz w:val="24"/>
          <w:szCs w:val="24"/>
        </w:rPr>
        <w:t>. Oxford: Hart Publishing.</w:t>
      </w:r>
    </w:p>
    <w:p w:rsidR="00320FD8" w:rsidRPr="00B22CA9" w:rsidRDefault="00320FD8" w:rsidP="007F11DF">
      <w:pPr>
        <w:spacing w:line="240" w:lineRule="auto"/>
        <w:jc w:val="both"/>
        <w:rPr>
          <w:rFonts w:ascii="Times New Roman" w:hAnsi="Times New Roman" w:cs="Times New Roman"/>
          <w:sz w:val="24"/>
          <w:szCs w:val="24"/>
          <w:lang w:val="es-ES"/>
        </w:rPr>
      </w:pPr>
      <w:proofErr w:type="spellStart"/>
      <w:r w:rsidRPr="00B22CA9">
        <w:rPr>
          <w:rFonts w:ascii="Times New Roman" w:hAnsi="Times New Roman" w:cs="Times New Roman"/>
          <w:sz w:val="24"/>
          <w:szCs w:val="24"/>
        </w:rPr>
        <w:t>C</w:t>
      </w:r>
      <w:r w:rsidR="007B1E7E" w:rsidRPr="00B22CA9">
        <w:rPr>
          <w:rFonts w:ascii="Times New Roman" w:hAnsi="Times New Roman" w:cs="Times New Roman"/>
          <w:sz w:val="24"/>
          <w:szCs w:val="24"/>
        </w:rPr>
        <w:t>l</w:t>
      </w:r>
      <w:r w:rsidRPr="00B22CA9">
        <w:rPr>
          <w:rFonts w:ascii="Times New Roman" w:hAnsi="Times New Roman" w:cs="Times New Roman"/>
          <w:sz w:val="24"/>
          <w:szCs w:val="24"/>
        </w:rPr>
        <w:t>osa</w:t>
      </w:r>
      <w:proofErr w:type="spellEnd"/>
      <w:r w:rsidRPr="00B22CA9">
        <w:rPr>
          <w:rFonts w:ascii="Times New Roman" w:hAnsi="Times New Roman" w:cs="Times New Roman"/>
          <w:sz w:val="24"/>
          <w:szCs w:val="24"/>
        </w:rPr>
        <w:t xml:space="preserve">, C., </w:t>
      </w:r>
      <w:proofErr w:type="spellStart"/>
      <w:r w:rsidRPr="00B22CA9">
        <w:rPr>
          <w:rFonts w:ascii="Times New Roman" w:hAnsi="Times New Roman" w:cs="Times New Roman"/>
          <w:sz w:val="24"/>
          <w:szCs w:val="24"/>
        </w:rPr>
        <w:t>Kochenov</w:t>
      </w:r>
      <w:proofErr w:type="spellEnd"/>
      <w:r w:rsidRPr="00B22CA9">
        <w:rPr>
          <w:rFonts w:ascii="Times New Roman" w:hAnsi="Times New Roman" w:cs="Times New Roman"/>
          <w:sz w:val="24"/>
          <w:szCs w:val="24"/>
        </w:rPr>
        <w:t xml:space="preserve">, D. y </w:t>
      </w:r>
      <w:proofErr w:type="spellStart"/>
      <w:r w:rsidRPr="00B22CA9">
        <w:rPr>
          <w:rFonts w:ascii="Times New Roman" w:hAnsi="Times New Roman" w:cs="Times New Roman"/>
          <w:sz w:val="24"/>
          <w:szCs w:val="24"/>
        </w:rPr>
        <w:t>Weiler</w:t>
      </w:r>
      <w:proofErr w:type="spellEnd"/>
      <w:r w:rsidRPr="00B22CA9">
        <w:rPr>
          <w:rFonts w:ascii="Times New Roman" w:hAnsi="Times New Roman" w:cs="Times New Roman"/>
          <w:sz w:val="24"/>
          <w:szCs w:val="24"/>
        </w:rPr>
        <w:t xml:space="preserve">, J. H. H. (eds.). (2016). </w:t>
      </w:r>
      <w:r w:rsidRPr="00B22CA9">
        <w:rPr>
          <w:rFonts w:ascii="Times New Roman" w:hAnsi="Times New Roman" w:cs="Times New Roman"/>
          <w:i/>
          <w:iCs/>
          <w:sz w:val="24"/>
          <w:szCs w:val="24"/>
        </w:rPr>
        <w:t>Reinforcing rule of law oversight in the European Union</w:t>
      </w:r>
      <w:r w:rsidRPr="00B22CA9">
        <w:rPr>
          <w:rFonts w:ascii="Times New Roman" w:hAnsi="Times New Roman" w:cs="Times New Roman"/>
          <w:sz w:val="24"/>
          <w:szCs w:val="24"/>
        </w:rPr>
        <w:t xml:space="preserve">. </w:t>
      </w:r>
      <w:r w:rsidRPr="00B22CA9">
        <w:rPr>
          <w:rFonts w:ascii="Times New Roman" w:hAnsi="Times New Roman" w:cs="Times New Roman"/>
          <w:sz w:val="24"/>
          <w:szCs w:val="24"/>
          <w:lang w:val="es-ES"/>
        </w:rPr>
        <w:t xml:space="preserve">Cambridge: Cambridge </w:t>
      </w:r>
      <w:proofErr w:type="spellStart"/>
      <w:r w:rsidRPr="00B22CA9">
        <w:rPr>
          <w:rFonts w:ascii="Times New Roman" w:hAnsi="Times New Roman" w:cs="Times New Roman"/>
          <w:sz w:val="24"/>
          <w:szCs w:val="24"/>
          <w:lang w:val="es-ES"/>
        </w:rPr>
        <w:t>University</w:t>
      </w:r>
      <w:proofErr w:type="spellEnd"/>
      <w:r w:rsidRPr="00B22CA9">
        <w:rPr>
          <w:rFonts w:ascii="Times New Roman" w:hAnsi="Times New Roman" w:cs="Times New Roman"/>
          <w:sz w:val="24"/>
          <w:szCs w:val="24"/>
          <w:lang w:val="es-ES"/>
        </w:rPr>
        <w:t xml:space="preserve"> </w:t>
      </w:r>
      <w:proofErr w:type="spellStart"/>
      <w:r w:rsidRPr="00B22CA9">
        <w:rPr>
          <w:rFonts w:ascii="Times New Roman" w:hAnsi="Times New Roman" w:cs="Times New Roman"/>
          <w:sz w:val="24"/>
          <w:szCs w:val="24"/>
          <w:lang w:val="es-ES"/>
        </w:rPr>
        <w:t>Press</w:t>
      </w:r>
      <w:proofErr w:type="spellEnd"/>
      <w:r w:rsidRPr="00B22CA9">
        <w:rPr>
          <w:rFonts w:ascii="Times New Roman" w:hAnsi="Times New Roman" w:cs="Times New Roman"/>
          <w:sz w:val="24"/>
          <w:szCs w:val="24"/>
          <w:lang w:val="es-ES"/>
        </w:rPr>
        <w:t xml:space="preserve">. </w:t>
      </w:r>
    </w:p>
    <w:p w:rsidR="005B4105" w:rsidRPr="00B22CA9" w:rsidRDefault="005B4105" w:rsidP="007F11DF">
      <w:pPr>
        <w:spacing w:line="240" w:lineRule="auto"/>
        <w:jc w:val="both"/>
        <w:rPr>
          <w:rFonts w:ascii="Times New Roman" w:hAnsi="Times New Roman" w:cs="Times New Roman"/>
          <w:sz w:val="24"/>
          <w:szCs w:val="24"/>
          <w:lang w:val="es-ES"/>
        </w:rPr>
      </w:pPr>
      <w:r w:rsidRPr="00B22CA9">
        <w:rPr>
          <w:rFonts w:ascii="Times New Roman" w:hAnsi="Times New Roman" w:cs="Times New Roman"/>
          <w:sz w:val="24"/>
          <w:szCs w:val="24"/>
          <w:lang w:val="es-ES"/>
        </w:rPr>
        <w:t xml:space="preserve">Cruz Villalón, P. (2004). </w:t>
      </w:r>
      <w:r w:rsidRPr="00B22CA9">
        <w:rPr>
          <w:rFonts w:ascii="Times New Roman" w:hAnsi="Times New Roman" w:cs="Times New Roman"/>
          <w:i/>
          <w:iCs/>
          <w:sz w:val="24"/>
          <w:szCs w:val="24"/>
          <w:lang w:val="es-ES"/>
        </w:rPr>
        <w:t xml:space="preserve">La Constitución inédita. Estudios ante la </w:t>
      </w:r>
      <w:proofErr w:type="spellStart"/>
      <w:r w:rsidRPr="00B22CA9">
        <w:rPr>
          <w:rFonts w:ascii="Times New Roman" w:hAnsi="Times New Roman" w:cs="Times New Roman"/>
          <w:i/>
          <w:iCs/>
          <w:sz w:val="24"/>
          <w:szCs w:val="24"/>
          <w:lang w:val="es-ES"/>
        </w:rPr>
        <w:t>constitucionalización</w:t>
      </w:r>
      <w:proofErr w:type="spellEnd"/>
      <w:r w:rsidRPr="00B22CA9">
        <w:rPr>
          <w:rFonts w:ascii="Times New Roman" w:hAnsi="Times New Roman" w:cs="Times New Roman"/>
          <w:i/>
          <w:iCs/>
          <w:sz w:val="24"/>
          <w:szCs w:val="24"/>
          <w:lang w:val="es-ES"/>
        </w:rPr>
        <w:t xml:space="preserve"> de Europa</w:t>
      </w:r>
      <w:r w:rsidR="00731DFC" w:rsidRPr="00B22CA9">
        <w:rPr>
          <w:rFonts w:ascii="Times New Roman" w:hAnsi="Times New Roman" w:cs="Times New Roman"/>
          <w:sz w:val="24"/>
          <w:szCs w:val="24"/>
          <w:lang w:val="es-ES"/>
        </w:rPr>
        <w:t xml:space="preserve">. </w:t>
      </w:r>
      <w:r w:rsidRPr="00B22CA9">
        <w:rPr>
          <w:rFonts w:ascii="Times New Roman" w:hAnsi="Times New Roman" w:cs="Times New Roman"/>
          <w:sz w:val="24"/>
          <w:szCs w:val="24"/>
          <w:lang w:val="es-ES"/>
        </w:rPr>
        <w:t xml:space="preserve">Madrid: </w:t>
      </w:r>
      <w:proofErr w:type="spellStart"/>
      <w:r w:rsidRPr="00B22CA9">
        <w:rPr>
          <w:rFonts w:ascii="Times New Roman" w:hAnsi="Times New Roman" w:cs="Times New Roman"/>
          <w:sz w:val="24"/>
          <w:szCs w:val="24"/>
          <w:lang w:val="es-ES"/>
        </w:rPr>
        <w:t>Trotta</w:t>
      </w:r>
      <w:proofErr w:type="spellEnd"/>
      <w:r w:rsidRPr="00B22CA9">
        <w:rPr>
          <w:rFonts w:ascii="Times New Roman" w:hAnsi="Times New Roman" w:cs="Times New Roman"/>
          <w:sz w:val="24"/>
          <w:szCs w:val="24"/>
          <w:lang w:val="es-ES"/>
        </w:rPr>
        <w:t>.</w:t>
      </w:r>
    </w:p>
    <w:p w:rsidR="00427C17" w:rsidRPr="00B22CA9" w:rsidRDefault="00427C17" w:rsidP="007F11DF">
      <w:pPr>
        <w:spacing w:line="240" w:lineRule="auto"/>
        <w:jc w:val="both"/>
        <w:rPr>
          <w:rFonts w:ascii="Times New Roman" w:hAnsi="Times New Roman" w:cs="Times New Roman"/>
          <w:sz w:val="24"/>
          <w:szCs w:val="24"/>
          <w:lang w:val="es-ES"/>
        </w:rPr>
      </w:pPr>
      <w:r w:rsidRPr="00B22CA9">
        <w:rPr>
          <w:rFonts w:ascii="Times New Roman" w:hAnsi="Times New Roman" w:cs="Times New Roman"/>
          <w:sz w:val="24"/>
          <w:szCs w:val="24"/>
          <w:lang w:val="es-ES"/>
        </w:rPr>
        <w:t>Cruz Villalón,</w:t>
      </w:r>
      <w:r w:rsidR="0020219B" w:rsidRPr="00B22CA9">
        <w:rPr>
          <w:rFonts w:ascii="Times New Roman" w:hAnsi="Times New Roman" w:cs="Times New Roman"/>
          <w:sz w:val="24"/>
          <w:szCs w:val="24"/>
          <w:lang w:val="es-ES"/>
        </w:rPr>
        <w:t xml:space="preserve"> P. (2016a). </w:t>
      </w:r>
      <w:r w:rsidRPr="00B22CA9">
        <w:rPr>
          <w:rFonts w:ascii="Times New Roman" w:hAnsi="Times New Roman" w:cs="Times New Roman"/>
          <w:sz w:val="24"/>
          <w:szCs w:val="24"/>
          <w:lang w:val="es-ES"/>
        </w:rPr>
        <w:t>Sobre las «Disposiciones Generales</w:t>
      </w:r>
      <w:r w:rsidR="00186386" w:rsidRPr="00B22CA9">
        <w:rPr>
          <w:rFonts w:ascii="Times New Roman" w:hAnsi="Times New Roman" w:cs="Times New Roman"/>
          <w:sz w:val="24"/>
          <w:szCs w:val="24"/>
          <w:lang w:val="es-ES"/>
        </w:rPr>
        <w:t>»</w:t>
      </w:r>
      <w:r w:rsidRPr="00B22CA9">
        <w:rPr>
          <w:rFonts w:ascii="Times New Roman" w:hAnsi="Times New Roman" w:cs="Times New Roman"/>
          <w:sz w:val="24"/>
          <w:szCs w:val="24"/>
          <w:lang w:val="es-ES"/>
        </w:rPr>
        <w:t xml:space="preserve"> que rigen la interpretación y aplicación de la Carta</w:t>
      </w:r>
      <w:r w:rsidR="0020219B" w:rsidRPr="00B22CA9">
        <w:rPr>
          <w:rFonts w:ascii="Times New Roman" w:hAnsi="Times New Roman" w:cs="Times New Roman"/>
          <w:sz w:val="24"/>
          <w:szCs w:val="24"/>
          <w:lang w:val="es-ES"/>
        </w:rPr>
        <w:t>. En F.</w:t>
      </w:r>
      <w:r w:rsidRPr="00B22CA9">
        <w:rPr>
          <w:rFonts w:ascii="Times New Roman" w:hAnsi="Times New Roman" w:cs="Times New Roman"/>
          <w:sz w:val="24"/>
          <w:szCs w:val="24"/>
          <w:lang w:val="es-ES"/>
        </w:rPr>
        <w:t xml:space="preserve"> Rubio Llorente, </w:t>
      </w:r>
      <w:r w:rsidR="0020219B" w:rsidRPr="00B22CA9">
        <w:rPr>
          <w:rFonts w:ascii="Times New Roman" w:hAnsi="Times New Roman" w:cs="Times New Roman"/>
          <w:sz w:val="24"/>
          <w:szCs w:val="24"/>
          <w:lang w:val="es-ES"/>
        </w:rPr>
        <w:t xml:space="preserve">J. </w:t>
      </w:r>
      <w:r w:rsidRPr="00B22CA9">
        <w:rPr>
          <w:rFonts w:ascii="Times New Roman" w:hAnsi="Times New Roman" w:cs="Times New Roman"/>
          <w:sz w:val="24"/>
          <w:szCs w:val="24"/>
          <w:lang w:val="es-ES"/>
        </w:rPr>
        <w:t>Jiménez Campo, J.</w:t>
      </w:r>
      <w:r w:rsidR="0020219B" w:rsidRPr="00B22CA9">
        <w:rPr>
          <w:rFonts w:ascii="Times New Roman" w:hAnsi="Times New Roman" w:cs="Times New Roman"/>
          <w:sz w:val="24"/>
          <w:szCs w:val="24"/>
          <w:lang w:val="es-ES"/>
        </w:rPr>
        <w:t xml:space="preserve"> J.</w:t>
      </w:r>
      <w:r w:rsidRPr="00B22CA9">
        <w:rPr>
          <w:rFonts w:ascii="Times New Roman" w:hAnsi="Times New Roman" w:cs="Times New Roman"/>
          <w:sz w:val="24"/>
          <w:szCs w:val="24"/>
          <w:lang w:val="es-ES"/>
        </w:rPr>
        <w:t xml:space="preserve"> Solozábal Echevarría, </w:t>
      </w:r>
      <w:r w:rsidR="0020219B" w:rsidRPr="00B22CA9">
        <w:rPr>
          <w:rFonts w:ascii="Times New Roman" w:hAnsi="Times New Roman" w:cs="Times New Roman"/>
          <w:sz w:val="24"/>
          <w:szCs w:val="24"/>
          <w:lang w:val="es-ES"/>
        </w:rPr>
        <w:t>P.</w:t>
      </w:r>
      <w:r w:rsidRPr="00B22CA9">
        <w:rPr>
          <w:rFonts w:ascii="Times New Roman" w:hAnsi="Times New Roman" w:cs="Times New Roman"/>
          <w:sz w:val="24"/>
          <w:szCs w:val="24"/>
          <w:lang w:val="es-ES"/>
        </w:rPr>
        <w:t xml:space="preserve"> </w:t>
      </w:r>
      <w:proofErr w:type="spellStart"/>
      <w:r w:rsidRPr="00B22CA9">
        <w:rPr>
          <w:rFonts w:ascii="Times New Roman" w:hAnsi="Times New Roman" w:cs="Times New Roman"/>
          <w:sz w:val="24"/>
          <w:szCs w:val="24"/>
          <w:lang w:val="es-ES"/>
        </w:rPr>
        <w:t>Biglino</w:t>
      </w:r>
      <w:proofErr w:type="spellEnd"/>
      <w:r w:rsidRPr="00B22CA9">
        <w:rPr>
          <w:rFonts w:ascii="Times New Roman" w:hAnsi="Times New Roman" w:cs="Times New Roman"/>
          <w:sz w:val="24"/>
          <w:szCs w:val="24"/>
          <w:lang w:val="es-ES"/>
        </w:rPr>
        <w:t xml:space="preserve"> Campos y </w:t>
      </w:r>
      <w:r w:rsidR="0020219B" w:rsidRPr="00B22CA9">
        <w:rPr>
          <w:rFonts w:ascii="Times New Roman" w:hAnsi="Times New Roman" w:cs="Times New Roman"/>
          <w:sz w:val="24"/>
          <w:szCs w:val="24"/>
          <w:lang w:val="es-ES"/>
        </w:rPr>
        <w:t xml:space="preserve">A. </w:t>
      </w:r>
      <w:r w:rsidRPr="00B22CA9">
        <w:rPr>
          <w:rFonts w:ascii="Times New Roman" w:hAnsi="Times New Roman" w:cs="Times New Roman"/>
          <w:sz w:val="24"/>
          <w:szCs w:val="24"/>
          <w:lang w:val="es-ES"/>
        </w:rPr>
        <w:t>Gómez Montero (eds.)</w:t>
      </w:r>
      <w:r w:rsidR="0020219B" w:rsidRPr="00B22CA9">
        <w:rPr>
          <w:rFonts w:ascii="Times New Roman" w:hAnsi="Times New Roman" w:cs="Times New Roman"/>
          <w:sz w:val="24"/>
          <w:szCs w:val="24"/>
          <w:lang w:val="es-ES"/>
        </w:rPr>
        <w:t>.</w:t>
      </w:r>
      <w:r w:rsidRPr="00B22CA9">
        <w:rPr>
          <w:rFonts w:ascii="Times New Roman" w:hAnsi="Times New Roman" w:cs="Times New Roman"/>
          <w:sz w:val="24"/>
          <w:szCs w:val="24"/>
          <w:lang w:val="es-ES"/>
        </w:rPr>
        <w:t xml:space="preserve"> </w:t>
      </w:r>
      <w:r w:rsidRPr="00B22CA9">
        <w:rPr>
          <w:rFonts w:ascii="Times New Roman" w:hAnsi="Times New Roman" w:cs="Times New Roman"/>
          <w:i/>
          <w:sz w:val="24"/>
          <w:szCs w:val="24"/>
          <w:lang w:val="es-ES"/>
        </w:rPr>
        <w:t>La Constitución Política de España. Estudios en Homenaje a Manuel Aragón Reyes</w:t>
      </w:r>
      <w:r w:rsidR="00FB5DD1" w:rsidRPr="00B22CA9">
        <w:rPr>
          <w:rFonts w:ascii="Times New Roman" w:hAnsi="Times New Roman" w:cs="Times New Roman"/>
          <w:i/>
          <w:sz w:val="24"/>
          <w:szCs w:val="24"/>
          <w:lang w:val="es-ES"/>
        </w:rPr>
        <w:t xml:space="preserve"> </w:t>
      </w:r>
      <w:r w:rsidR="00FB5DD1" w:rsidRPr="00B22CA9">
        <w:rPr>
          <w:rFonts w:ascii="Times New Roman" w:hAnsi="Times New Roman" w:cs="Times New Roman"/>
          <w:iCs/>
          <w:sz w:val="24"/>
          <w:szCs w:val="24"/>
          <w:lang w:val="es-ES"/>
        </w:rPr>
        <w:t xml:space="preserve">(pp. 573-585). Madrid: </w:t>
      </w:r>
      <w:r w:rsidRPr="00B22CA9">
        <w:rPr>
          <w:rFonts w:ascii="Times New Roman" w:hAnsi="Times New Roman" w:cs="Times New Roman"/>
          <w:sz w:val="24"/>
          <w:szCs w:val="24"/>
          <w:lang w:val="es-ES"/>
        </w:rPr>
        <w:t>Centro de Estudios Políticos y Constitucionales</w:t>
      </w:r>
      <w:r w:rsidR="00FB5DD1" w:rsidRPr="00B22CA9">
        <w:rPr>
          <w:rFonts w:ascii="Times New Roman" w:hAnsi="Times New Roman" w:cs="Times New Roman"/>
          <w:sz w:val="24"/>
          <w:szCs w:val="24"/>
          <w:lang w:val="es-ES"/>
        </w:rPr>
        <w:t>.</w:t>
      </w:r>
    </w:p>
    <w:p w:rsidR="000C5647" w:rsidRPr="00B22CA9" w:rsidRDefault="000C5647" w:rsidP="007F11DF">
      <w:pPr>
        <w:spacing w:line="240" w:lineRule="auto"/>
        <w:jc w:val="both"/>
        <w:rPr>
          <w:rFonts w:ascii="Times New Roman" w:hAnsi="Times New Roman" w:cs="Times New Roman"/>
          <w:sz w:val="24"/>
          <w:szCs w:val="24"/>
          <w:lang w:val="es-ES"/>
        </w:rPr>
      </w:pPr>
      <w:r w:rsidRPr="00B22CA9">
        <w:rPr>
          <w:rFonts w:ascii="Times New Roman" w:hAnsi="Times New Roman" w:cs="Times New Roman"/>
          <w:sz w:val="24"/>
          <w:szCs w:val="24"/>
          <w:lang w:val="es-ES"/>
        </w:rPr>
        <w:t xml:space="preserve">Cruz Villalón, </w:t>
      </w:r>
      <w:r w:rsidR="00707C59" w:rsidRPr="00B22CA9">
        <w:rPr>
          <w:rFonts w:ascii="Times New Roman" w:hAnsi="Times New Roman" w:cs="Times New Roman"/>
          <w:sz w:val="24"/>
          <w:szCs w:val="24"/>
          <w:lang w:val="es-ES"/>
        </w:rPr>
        <w:t xml:space="preserve">P (2016b). </w:t>
      </w:r>
      <w:r w:rsidRPr="00B22CA9">
        <w:rPr>
          <w:rFonts w:ascii="Times New Roman" w:hAnsi="Times New Roman" w:cs="Times New Roman"/>
          <w:sz w:val="24"/>
          <w:szCs w:val="24"/>
          <w:lang w:val="es-ES"/>
        </w:rPr>
        <w:t>La Constitución del Estado miembro</w:t>
      </w:r>
      <w:r w:rsidR="00707C59" w:rsidRPr="00B22CA9">
        <w:rPr>
          <w:rFonts w:ascii="Times New Roman" w:hAnsi="Times New Roman" w:cs="Times New Roman"/>
          <w:sz w:val="24"/>
          <w:szCs w:val="24"/>
          <w:lang w:val="es-ES"/>
        </w:rPr>
        <w:t>.</w:t>
      </w:r>
      <w:r w:rsidRPr="00B22CA9">
        <w:rPr>
          <w:rFonts w:ascii="Times New Roman" w:hAnsi="Times New Roman" w:cs="Times New Roman"/>
          <w:sz w:val="24"/>
          <w:szCs w:val="24"/>
          <w:lang w:val="es-ES"/>
        </w:rPr>
        <w:t xml:space="preserve"> </w:t>
      </w:r>
      <w:hyperlink r:id="rId10" w:history="1">
        <w:r w:rsidRPr="00B22CA9">
          <w:rPr>
            <w:rStyle w:val="Hipervnculo"/>
            <w:rFonts w:ascii="Times New Roman" w:hAnsi="Times New Roman" w:cs="Times New Roman"/>
            <w:i/>
            <w:iCs/>
            <w:color w:val="auto"/>
            <w:sz w:val="24"/>
            <w:szCs w:val="24"/>
            <w:u w:val="none"/>
            <w:bdr w:val="none" w:sz="0" w:space="0" w:color="auto" w:frame="1"/>
            <w:shd w:val="clear" w:color="auto" w:fill="FFFFFF"/>
            <w:lang w:val="es-ES"/>
          </w:rPr>
          <w:t>Cuadernos Manuel Giménez Abad</w:t>
        </w:r>
      </w:hyperlink>
      <w:r w:rsidR="00707C59" w:rsidRPr="00B22CA9">
        <w:rPr>
          <w:rStyle w:val="Hipervnculo"/>
          <w:rFonts w:ascii="Times New Roman" w:hAnsi="Times New Roman" w:cs="Times New Roman"/>
          <w:color w:val="auto"/>
          <w:sz w:val="24"/>
          <w:szCs w:val="24"/>
          <w:u w:val="none"/>
          <w:bdr w:val="none" w:sz="0" w:space="0" w:color="auto" w:frame="1"/>
          <w:shd w:val="clear" w:color="auto" w:fill="FFFFFF"/>
          <w:lang w:val="es-ES"/>
        </w:rPr>
        <w:t xml:space="preserve">, 12, </w:t>
      </w:r>
      <w:r w:rsidRPr="00B22CA9">
        <w:rPr>
          <w:rFonts w:ascii="Times New Roman" w:hAnsi="Times New Roman" w:cs="Times New Roman"/>
          <w:sz w:val="24"/>
          <w:szCs w:val="24"/>
          <w:shd w:val="clear" w:color="auto" w:fill="FFFFFF"/>
          <w:lang w:val="es-ES"/>
        </w:rPr>
        <w:t>26-30.</w:t>
      </w:r>
      <w:r w:rsidR="00707C59" w:rsidRPr="00B22CA9">
        <w:rPr>
          <w:rFonts w:ascii="Times New Roman" w:hAnsi="Times New Roman" w:cs="Times New Roman"/>
          <w:sz w:val="24"/>
          <w:szCs w:val="24"/>
          <w:shd w:val="clear" w:color="auto" w:fill="FFFFFF"/>
          <w:lang w:val="es-ES"/>
        </w:rPr>
        <w:t xml:space="preserve"> Disponible en:</w:t>
      </w:r>
      <w:r w:rsidR="00D93935" w:rsidRPr="00B22CA9">
        <w:rPr>
          <w:rFonts w:ascii="Times New Roman" w:hAnsi="Times New Roman" w:cs="Times New Roman"/>
          <w:lang w:val="es-ES_tradnl"/>
        </w:rPr>
        <w:t xml:space="preserve"> </w:t>
      </w:r>
      <w:hyperlink r:id="rId11" w:history="1">
        <w:r w:rsidR="00D93935" w:rsidRPr="00B22CA9">
          <w:rPr>
            <w:rStyle w:val="Hipervnculo"/>
            <w:rFonts w:ascii="Times New Roman" w:hAnsi="Times New Roman" w:cs="Times New Roman"/>
            <w:color w:val="auto"/>
            <w:sz w:val="24"/>
            <w:szCs w:val="24"/>
            <w:shd w:val="clear" w:color="auto" w:fill="FFFFFF"/>
            <w:lang w:val="es-ES"/>
          </w:rPr>
          <w:t>http://www.fundacionmgimenezabad.es/index.php?option=com_content&amp;view=category&amp;layout=blog&amp;id=302&amp;Itemid=100916</w:t>
        </w:r>
      </w:hyperlink>
      <w:r w:rsidR="00707C59" w:rsidRPr="00B22CA9">
        <w:rPr>
          <w:rFonts w:ascii="Times New Roman" w:hAnsi="Times New Roman" w:cs="Times New Roman"/>
          <w:sz w:val="24"/>
          <w:szCs w:val="24"/>
          <w:shd w:val="clear" w:color="auto" w:fill="FFFFFF"/>
          <w:lang w:val="es-ES"/>
        </w:rPr>
        <w:t>.</w:t>
      </w:r>
    </w:p>
    <w:p w:rsidR="00C23804" w:rsidRPr="00B22CA9" w:rsidRDefault="00707C59" w:rsidP="007F11DF">
      <w:pPr>
        <w:spacing w:line="240" w:lineRule="auto"/>
        <w:jc w:val="both"/>
        <w:rPr>
          <w:rFonts w:ascii="Times New Roman" w:hAnsi="Times New Roman" w:cs="Times New Roman"/>
          <w:sz w:val="24"/>
          <w:szCs w:val="24"/>
          <w:lang w:val="es-ES"/>
        </w:rPr>
      </w:pPr>
      <w:r w:rsidRPr="00B22CA9">
        <w:rPr>
          <w:rFonts w:ascii="Times New Roman" w:hAnsi="Times New Roman" w:cs="Times New Roman"/>
          <w:sz w:val="24"/>
          <w:szCs w:val="24"/>
          <w:lang w:val="es-ES"/>
        </w:rPr>
        <w:t xml:space="preserve">Cruz Villalón, P. (2017). </w:t>
      </w:r>
      <w:r w:rsidR="00C23804" w:rsidRPr="00B22CA9">
        <w:rPr>
          <w:rFonts w:ascii="Times New Roman" w:hAnsi="Times New Roman" w:cs="Times New Roman"/>
          <w:sz w:val="24"/>
          <w:szCs w:val="24"/>
          <w:lang w:val="es-ES"/>
        </w:rPr>
        <w:t>El valor de la posición de la Carta de Derechos Fundamentales en la comunión constitucional europea</w:t>
      </w:r>
      <w:r w:rsidRPr="00B22CA9">
        <w:rPr>
          <w:rFonts w:ascii="Times New Roman" w:hAnsi="Times New Roman" w:cs="Times New Roman"/>
          <w:sz w:val="24"/>
          <w:szCs w:val="24"/>
          <w:lang w:val="es-ES"/>
        </w:rPr>
        <w:t xml:space="preserve">. </w:t>
      </w:r>
      <w:r w:rsidR="00C23804" w:rsidRPr="00B22CA9">
        <w:rPr>
          <w:rFonts w:ascii="Times New Roman" w:hAnsi="Times New Roman" w:cs="Times New Roman"/>
          <w:i/>
          <w:sz w:val="24"/>
          <w:szCs w:val="24"/>
          <w:lang w:val="es-ES"/>
        </w:rPr>
        <w:t>Teoría y Realidad Constitucional</w:t>
      </w:r>
      <w:r w:rsidR="00C23804" w:rsidRPr="00B22CA9">
        <w:rPr>
          <w:rFonts w:ascii="Times New Roman" w:hAnsi="Times New Roman" w:cs="Times New Roman"/>
          <w:sz w:val="24"/>
          <w:szCs w:val="24"/>
          <w:lang w:val="es-ES"/>
        </w:rPr>
        <w:t>, 39, 85-101</w:t>
      </w:r>
      <w:r w:rsidR="00731DFC" w:rsidRPr="00B22CA9">
        <w:rPr>
          <w:rFonts w:ascii="Times New Roman" w:hAnsi="Times New Roman" w:cs="Times New Roman"/>
          <w:sz w:val="24"/>
          <w:szCs w:val="24"/>
          <w:lang w:val="es-ES"/>
        </w:rPr>
        <w:t>.</w:t>
      </w:r>
      <w:r w:rsidRPr="00B22CA9">
        <w:rPr>
          <w:rFonts w:ascii="Times New Roman" w:hAnsi="Times New Roman" w:cs="Times New Roman"/>
          <w:sz w:val="24"/>
          <w:szCs w:val="24"/>
          <w:lang w:val="es-ES"/>
        </w:rPr>
        <w:t xml:space="preserve"> </w:t>
      </w:r>
      <w:r w:rsidR="009B5330" w:rsidRPr="00B22CA9">
        <w:rPr>
          <w:rFonts w:ascii="Times New Roman" w:hAnsi="Times New Roman" w:cs="Times New Roman"/>
          <w:sz w:val="24"/>
          <w:szCs w:val="24"/>
          <w:lang w:val="es-ES"/>
        </w:rPr>
        <w:t>https://doi.org/10.5944/trc.39.2017.19146.</w:t>
      </w:r>
    </w:p>
    <w:p w:rsidR="00FE2A33" w:rsidRPr="00B22CA9" w:rsidRDefault="00FE2A33" w:rsidP="007F11DF">
      <w:pPr>
        <w:spacing w:line="240" w:lineRule="auto"/>
        <w:jc w:val="both"/>
        <w:rPr>
          <w:rFonts w:ascii="Times New Roman" w:hAnsi="Times New Roman" w:cs="Times New Roman"/>
          <w:sz w:val="24"/>
          <w:szCs w:val="24"/>
          <w:lang w:val="es-ES"/>
        </w:rPr>
      </w:pPr>
      <w:r w:rsidRPr="00B22CA9">
        <w:rPr>
          <w:rFonts w:ascii="Times New Roman" w:hAnsi="Times New Roman" w:cs="Times New Roman"/>
          <w:sz w:val="24"/>
          <w:szCs w:val="24"/>
          <w:lang w:val="es-ES"/>
        </w:rPr>
        <w:t xml:space="preserve">De </w:t>
      </w:r>
      <w:proofErr w:type="spellStart"/>
      <w:r w:rsidRPr="00B22CA9">
        <w:rPr>
          <w:rFonts w:ascii="Times New Roman" w:hAnsi="Times New Roman" w:cs="Times New Roman"/>
          <w:sz w:val="24"/>
          <w:szCs w:val="24"/>
          <w:lang w:val="es-ES"/>
        </w:rPr>
        <w:t>Schuter</w:t>
      </w:r>
      <w:proofErr w:type="spellEnd"/>
      <w:r w:rsidRPr="00B22CA9">
        <w:rPr>
          <w:rFonts w:ascii="Times New Roman" w:hAnsi="Times New Roman" w:cs="Times New Roman"/>
          <w:sz w:val="24"/>
          <w:szCs w:val="24"/>
          <w:lang w:val="es-ES"/>
        </w:rPr>
        <w:t>, O. (2017</w:t>
      </w:r>
      <w:r w:rsidRPr="00B22CA9">
        <w:rPr>
          <w:rFonts w:ascii="Times New Roman" w:hAnsi="Times New Roman" w:cs="Times New Roman"/>
          <w:i/>
          <w:iCs/>
          <w:sz w:val="24"/>
          <w:szCs w:val="24"/>
          <w:lang w:val="es-ES"/>
        </w:rPr>
        <w:t xml:space="preserve">). </w:t>
      </w:r>
      <w:r w:rsidRPr="00B22CA9">
        <w:rPr>
          <w:rFonts w:ascii="Times New Roman" w:hAnsi="Times New Roman" w:cs="Times New Roman"/>
          <w:i/>
          <w:iCs/>
          <w:sz w:val="24"/>
          <w:szCs w:val="24"/>
        </w:rPr>
        <w:t>Infringement proceedings as a tool for the enforcement of fundamental rights in the European Union</w:t>
      </w:r>
      <w:r w:rsidRPr="00B22CA9">
        <w:rPr>
          <w:rFonts w:ascii="Times New Roman" w:hAnsi="Times New Roman" w:cs="Times New Roman"/>
          <w:sz w:val="24"/>
          <w:szCs w:val="24"/>
        </w:rPr>
        <w:t xml:space="preserve">. </w:t>
      </w:r>
      <w:r w:rsidRPr="00B22CA9">
        <w:rPr>
          <w:rFonts w:ascii="Times New Roman" w:hAnsi="Times New Roman" w:cs="Times New Roman"/>
          <w:sz w:val="24"/>
          <w:szCs w:val="24"/>
          <w:lang w:val="es-ES"/>
        </w:rPr>
        <w:t>Disponible en</w:t>
      </w:r>
      <w:r w:rsidR="00D93935" w:rsidRPr="00B22CA9">
        <w:rPr>
          <w:rFonts w:ascii="Times New Roman" w:hAnsi="Times New Roman" w:cs="Times New Roman"/>
          <w:lang w:val="es-ES"/>
        </w:rPr>
        <w:t xml:space="preserve"> </w:t>
      </w:r>
      <w:hyperlink r:id="rId12" w:history="1">
        <w:r w:rsidR="00D93935" w:rsidRPr="00B22CA9">
          <w:rPr>
            <w:rStyle w:val="Hipervnculo"/>
            <w:rFonts w:ascii="Times New Roman" w:hAnsi="Times New Roman" w:cs="Times New Roman"/>
            <w:color w:val="auto"/>
            <w:sz w:val="24"/>
            <w:szCs w:val="24"/>
            <w:lang w:val="es-ES"/>
          </w:rPr>
          <w:t>https://www.opensocietyfoundations.org/</w:t>
        </w:r>
      </w:hyperlink>
      <w:r w:rsidRPr="00B22CA9">
        <w:rPr>
          <w:rFonts w:ascii="Times New Roman" w:hAnsi="Times New Roman" w:cs="Times New Roman"/>
          <w:sz w:val="24"/>
          <w:szCs w:val="24"/>
          <w:lang w:val="es-ES"/>
        </w:rPr>
        <w:t xml:space="preserve">. </w:t>
      </w:r>
    </w:p>
    <w:p w:rsidR="00A36D2E" w:rsidRPr="00B22CA9" w:rsidRDefault="00A36D2E" w:rsidP="007F11DF">
      <w:pPr>
        <w:spacing w:line="240" w:lineRule="auto"/>
        <w:jc w:val="both"/>
        <w:rPr>
          <w:rFonts w:ascii="Times New Roman" w:hAnsi="Times New Roman" w:cs="Times New Roman"/>
          <w:sz w:val="24"/>
          <w:szCs w:val="24"/>
        </w:rPr>
      </w:pPr>
      <w:r w:rsidRPr="00B22CA9">
        <w:rPr>
          <w:rFonts w:ascii="Times New Roman" w:hAnsi="Times New Roman" w:cs="Times New Roman"/>
          <w:sz w:val="24"/>
          <w:szCs w:val="24"/>
          <w:lang w:val="es-ES"/>
        </w:rPr>
        <w:t>Díez-</w:t>
      </w:r>
      <w:proofErr w:type="spellStart"/>
      <w:r w:rsidRPr="00B22CA9">
        <w:rPr>
          <w:rFonts w:ascii="Times New Roman" w:hAnsi="Times New Roman" w:cs="Times New Roman"/>
          <w:sz w:val="24"/>
          <w:szCs w:val="24"/>
          <w:lang w:val="es-ES"/>
        </w:rPr>
        <w:t>Hochleitner</w:t>
      </w:r>
      <w:proofErr w:type="spellEnd"/>
      <w:r w:rsidRPr="00B22CA9">
        <w:rPr>
          <w:rFonts w:ascii="Times New Roman" w:hAnsi="Times New Roman" w:cs="Times New Roman"/>
          <w:sz w:val="24"/>
          <w:szCs w:val="24"/>
          <w:lang w:val="es-ES"/>
        </w:rPr>
        <w:t xml:space="preserve"> Rodríguez, J. (1993). La respuesta del TUE al incumplimiento de las sentencias del Tribunal de Justicia por los Estados miembros. </w:t>
      </w:r>
      <w:proofErr w:type="spellStart"/>
      <w:r w:rsidRPr="00B22CA9">
        <w:rPr>
          <w:rFonts w:ascii="Times New Roman" w:hAnsi="Times New Roman" w:cs="Times New Roman"/>
          <w:i/>
          <w:iCs/>
          <w:sz w:val="24"/>
          <w:szCs w:val="24"/>
        </w:rPr>
        <w:t>Revista</w:t>
      </w:r>
      <w:proofErr w:type="spellEnd"/>
      <w:r w:rsidRPr="00B22CA9">
        <w:rPr>
          <w:rFonts w:ascii="Times New Roman" w:hAnsi="Times New Roman" w:cs="Times New Roman"/>
          <w:i/>
          <w:iCs/>
          <w:sz w:val="24"/>
          <w:szCs w:val="24"/>
        </w:rPr>
        <w:t xml:space="preserve"> de </w:t>
      </w:r>
      <w:proofErr w:type="spellStart"/>
      <w:r w:rsidRPr="00B22CA9">
        <w:rPr>
          <w:rFonts w:ascii="Times New Roman" w:hAnsi="Times New Roman" w:cs="Times New Roman"/>
          <w:i/>
          <w:iCs/>
          <w:sz w:val="24"/>
          <w:szCs w:val="24"/>
        </w:rPr>
        <w:t>Instituciones</w:t>
      </w:r>
      <w:proofErr w:type="spellEnd"/>
      <w:r w:rsidRPr="00B22CA9">
        <w:rPr>
          <w:rFonts w:ascii="Times New Roman" w:hAnsi="Times New Roman" w:cs="Times New Roman"/>
          <w:i/>
          <w:iCs/>
          <w:sz w:val="24"/>
          <w:szCs w:val="24"/>
        </w:rPr>
        <w:t xml:space="preserve"> </w:t>
      </w:r>
      <w:proofErr w:type="spellStart"/>
      <w:r w:rsidRPr="00B22CA9">
        <w:rPr>
          <w:rFonts w:ascii="Times New Roman" w:hAnsi="Times New Roman" w:cs="Times New Roman"/>
          <w:i/>
          <w:iCs/>
          <w:sz w:val="24"/>
          <w:szCs w:val="24"/>
        </w:rPr>
        <w:t>Europeas</w:t>
      </w:r>
      <w:proofErr w:type="spellEnd"/>
      <w:r w:rsidRPr="00B22CA9">
        <w:rPr>
          <w:rFonts w:ascii="Times New Roman" w:hAnsi="Times New Roman" w:cs="Times New Roman"/>
          <w:sz w:val="24"/>
          <w:szCs w:val="24"/>
        </w:rPr>
        <w:t>, 20/3, 837-900.</w:t>
      </w:r>
    </w:p>
    <w:p w:rsidR="00986C71" w:rsidRPr="00B22CA9" w:rsidRDefault="00986C71" w:rsidP="007F11DF">
      <w:pPr>
        <w:spacing w:line="240" w:lineRule="auto"/>
        <w:jc w:val="both"/>
        <w:rPr>
          <w:rFonts w:ascii="Times New Roman" w:hAnsi="Times New Roman" w:cs="Times New Roman"/>
          <w:sz w:val="24"/>
          <w:szCs w:val="24"/>
        </w:rPr>
      </w:pPr>
      <w:proofErr w:type="spellStart"/>
      <w:r w:rsidRPr="00B22CA9">
        <w:rPr>
          <w:rFonts w:ascii="Times New Roman" w:hAnsi="Times New Roman" w:cs="Times New Roman"/>
          <w:sz w:val="24"/>
          <w:szCs w:val="24"/>
        </w:rPr>
        <w:t>Dougan</w:t>
      </w:r>
      <w:proofErr w:type="spellEnd"/>
      <w:r w:rsidRPr="00B22CA9">
        <w:rPr>
          <w:rFonts w:ascii="Times New Roman" w:hAnsi="Times New Roman" w:cs="Times New Roman"/>
          <w:sz w:val="24"/>
          <w:szCs w:val="24"/>
        </w:rPr>
        <w:t xml:space="preserve">, M. (2007). When worlds collide! Competing visions of the relationship between direct effect and supremacy. </w:t>
      </w:r>
      <w:r w:rsidRPr="00B22CA9">
        <w:rPr>
          <w:rFonts w:ascii="Times New Roman" w:hAnsi="Times New Roman" w:cs="Times New Roman"/>
          <w:i/>
          <w:iCs/>
          <w:sz w:val="24"/>
          <w:szCs w:val="24"/>
        </w:rPr>
        <w:t>Common Market Law Review</w:t>
      </w:r>
      <w:r w:rsidRPr="00B22CA9">
        <w:rPr>
          <w:rFonts w:ascii="Times New Roman" w:hAnsi="Times New Roman" w:cs="Times New Roman"/>
          <w:sz w:val="24"/>
          <w:szCs w:val="24"/>
        </w:rPr>
        <w:t xml:space="preserve">, 44/4, 931-963. </w:t>
      </w:r>
    </w:p>
    <w:p w:rsidR="00D10461" w:rsidRPr="00B22CA9" w:rsidRDefault="00D10461" w:rsidP="007F11DF">
      <w:pPr>
        <w:spacing w:line="240" w:lineRule="auto"/>
        <w:jc w:val="both"/>
        <w:rPr>
          <w:rFonts w:ascii="Times New Roman" w:hAnsi="Times New Roman" w:cs="Times New Roman"/>
          <w:sz w:val="24"/>
          <w:szCs w:val="24"/>
        </w:rPr>
      </w:pPr>
      <w:proofErr w:type="spellStart"/>
      <w:r w:rsidRPr="00B22CA9">
        <w:rPr>
          <w:rFonts w:ascii="Times New Roman" w:hAnsi="Times New Roman" w:cs="Times New Roman"/>
          <w:sz w:val="24"/>
          <w:szCs w:val="24"/>
        </w:rPr>
        <w:lastRenderedPageBreak/>
        <w:t>Eeckhout</w:t>
      </w:r>
      <w:proofErr w:type="spellEnd"/>
      <w:r w:rsidRPr="00B22CA9">
        <w:rPr>
          <w:rFonts w:ascii="Times New Roman" w:hAnsi="Times New Roman" w:cs="Times New Roman"/>
          <w:sz w:val="24"/>
          <w:szCs w:val="24"/>
        </w:rPr>
        <w:t>, P</w:t>
      </w:r>
      <w:r w:rsidR="002D14BC" w:rsidRPr="00B22CA9">
        <w:rPr>
          <w:rFonts w:ascii="Times New Roman" w:hAnsi="Times New Roman" w:cs="Times New Roman"/>
          <w:sz w:val="24"/>
          <w:szCs w:val="24"/>
        </w:rPr>
        <w:t>.</w:t>
      </w:r>
      <w:r w:rsidRPr="00B22CA9">
        <w:rPr>
          <w:rFonts w:ascii="Times New Roman" w:hAnsi="Times New Roman" w:cs="Times New Roman"/>
          <w:sz w:val="24"/>
          <w:szCs w:val="24"/>
        </w:rPr>
        <w:t xml:space="preserve"> (2002). The EU Charter of Fundamental Rights and the Federal Question</w:t>
      </w:r>
      <w:r w:rsidR="00186386" w:rsidRPr="00B22CA9">
        <w:rPr>
          <w:rFonts w:ascii="Times New Roman" w:hAnsi="Times New Roman" w:cs="Times New Roman"/>
          <w:sz w:val="24"/>
          <w:szCs w:val="24"/>
        </w:rPr>
        <w:t>.</w:t>
      </w:r>
      <w:r w:rsidRPr="00B22CA9">
        <w:rPr>
          <w:rFonts w:ascii="Times New Roman" w:hAnsi="Times New Roman" w:cs="Times New Roman"/>
          <w:sz w:val="24"/>
          <w:szCs w:val="24"/>
        </w:rPr>
        <w:t xml:space="preserve"> </w:t>
      </w:r>
      <w:r w:rsidRPr="00B22CA9">
        <w:rPr>
          <w:rFonts w:ascii="Times New Roman" w:hAnsi="Times New Roman" w:cs="Times New Roman"/>
          <w:i/>
          <w:sz w:val="24"/>
          <w:szCs w:val="24"/>
        </w:rPr>
        <w:t>Common Market Law Review</w:t>
      </w:r>
      <w:r w:rsidRPr="00B22CA9">
        <w:rPr>
          <w:rFonts w:ascii="Times New Roman" w:hAnsi="Times New Roman" w:cs="Times New Roman"/>
          <w:sz w:val="24"/>
          <w:szCs w:val="24"/>
        </w:rPr>
        <w:t xml:space="preserve">, 39, 945-994.  </w:t>
      </w:r>
    </w:p>
    <w:p w:rsidR="00FE72D0" w:rsidRPr="00B22CA9" w:rsidRDefault="00FE72D0" w:rsidP="007F11DF">
      <w:pPr>
        <w:spacing w:line="240" w:lineRule="auto"/>
        <w:jc w:val="both"/>
        <w:rPr>
          <w:rFonts w:ascii="Times New Roman" w:hAnsi="Times New Roman" w:cs="Times New Roman"/>
          <w:sz w:val="24"/>
          <w:szCs w:val="24"/>
          <w:lang w:val="es-ES"/>
        </w:rPr>
      </w:pPr>
      <w:r w:rsidRPr="00B22CA9">
        <w:rPr>
          <w:rFonts w:ascii="Times New Roman" w:hAnsi="Times New Roman" w:cs="Times New Roman"/>
          <w:sz w:val="24"/>
          <w:szCs w:val="24"/>
        </w:rPr>
        <w:t>Evans, A. C. (1979). The enforcement procedure of article 169 EEC: Commission Discretion.</w:t>
      </w:r>
      <w:r w:rsidR="00AB1640" w:rsidRPr="00B22CA9">
        <w:rPr>
          <w:rFonts w:ascii="Times New Roman" w:hAnsi="Times New Roman" w:cs="Times New Roman"/>
          <w:sz w:val="24"/>
          <w:szCs w:val="24"/>
        </w:rPr>
        <w:t xml:space="preserve"> </w:t>
      </w:r>
      <w:proofErr w:type="spellStart"/>
      <w:r w:rsidRPr="00B22CA9">
        <w:rPr>
          <w:rFonts w:ascii="Times New Roman" w:hAnsi="Times New Roman" w:cs="Times New Roman"/>
          <w:i/>
          <w:iCs/>
          <w:sz w:val="24"/>
          <w:szCs w:val="24"/>
          <w:lang w:val="es-ES"/>
        </w:rPr>
        <w:t>European</w:t>
      </w:r>
      <w:proofErr w:type="spellEnd"/>
      <w:r w:rsidRPr="00B22CA9">
        <w:rPr>
          <w:rFonts w:ascii="Times New Roman" w:hAnsi="Times New Roman" w:cs="Times New Roman"/>
          <w:i/>
          <w:iCs/>
          <w:sz w:val="24"/>
          <w:szCs w:val="24"/>
          <w:lang w:val="es-ES"/>
        </w:rPr>
        <w:t xml:space="preserve"> </w:t>
      </w:r>
      <w:proofErr w:type="spellStart"/>
      <w:r w:rsidRPr="00B22CA9">
        <w:rPr>
          <w:rFonts w:ascii="Times New Roman" w:hAnsi="Times New Roman" w:cs="Times New Roman"/>
          <w:i/>
          <w:iCs/>
          <w:sz w:val="24"/>
          <w:szCs w:val="24"/>
          <w:lang w:val="es-ES"/>
        </w:rPr>
        <w:t>Law</w:t>
      </w:r>
      <w:proofErr w:type="spellEnd"/>
      <w:r w:rsidRPr="00B22CA9">
        <w:rPr>
          <w:rFonts w:ascii="Times New Roman" w:hAnsi="Times New Roman" w:cs="Times New Roman"/>
          <w:i/>
          <w:iCs/>
          <w:sz w:val="24"/>
          <w:szCs w:val="24"/>
          <w:lang w:val="es-ES"/>
        </w:rPr>
        <w:t xml:space="preserve"> </w:t>
      </w:r>
      <w:proofErr w:type="spellStart"/>
      <w:r w:rsidRPr="00B22CA9">
        <w:rPr>
          <w:rFonts w:ascii="Times New Roman" w:hAnsi="Times New Roman" w:cs="Times New Roman"/>
          <w:i/>
          <w:iCs/>
          <w:sz w:val="24"/>
          <w:szCs w:val="24"/>
          <w:lang w:val="es-ES"/>
        </w:rPr>
        <w:t>Review</w:t>
      </w:r>
      <w:proofErr w:type="spellEnd"/>
      <w:r w:rsidRPr="00B22CA9">
        <w:rPr>
          <w:rFonts w:ascii="Times New Roman" w:hAnsi="Times New Roman" w:cs="Times New Roman"/>
          <w:sz w:val="24"/>
          <w:szCs w:val="24"/>
          <w:lang w:val="es-ES"/>
        </w:rPr>
        <w:t>, 4, 442-456.</w:t>
      </w:r>
    </w:p>
    <w:p w:rsidR="00031AA0" w:rsidRPr="00B22CA9" w:rsidRDefault="00031AA0" w:rsidP="007F11DF">
      <w:pPr>
        <w:spacing w:line="240" w:lineRule="auto"/>
        <w:jc w:val="both"/>
        <w:rPr>
          <w:rFonts w:ascii="Times New Roman" w:hAnsi="Times New Roman" w:cs="Times New Roman"/>
          <w:sz w:val="24"/>
          <w:szCs w:val="24"/>
          <w:lang w:val="es-ES"/>
        </w:rPr>
      </w:pPr>
      <w:r w:rsidRPr="00B22CA9">
        <w:rPr>
          <w:rFonts w:ascii="Times New Roman" w:hAnsi="Times New Roman" w:cs="Times New Roman"/>
          <w:sz w:val="24"/>
          <w:szCs w:val="24"/>
          <w:lang w:val="es-ES"/>
        </w:rPr>
        <w:t xml:space="preserve">FIDH (2016). </w:t>
      </w:r>
      <w:proofErr w:type="spellStart"/>
      <w:r w:rsidRPr="00B22CA9">
        <w:rPr>
          <w:rFonts w:ascii="Times New Roman" w:hAnsi="Times New Roman" w:cs="Times New Roman"/>
          <w:i/>
          <w:sz w:val="24"/>
          <w:szCs w:val="24"/>
          <w:lang w:val="es-ES"/>
        </w:rPr>
        <w:t>Hungary</w:t>
      </w:r>
      <w:proofErr w:type="spellEnd"/>
      <w:r w:rsidRPr="00B22CA9">
        <w:rPr>
          <w:rFonts w:ascii="Times New Roman" w:hAnsi="Times New Roman" w:cs="Times New Roman"/>
          <w:i/>
          <w:sz w:val="24"/>
          <w:szCs w:val="24"/>
          <w:lang w:val="es-ES"/>
        </w:rPr>
        <w:t xml:space="preserve">: </w:t>
      </w:r>
      <w:proofErr w:type="spellStart"/>
      <w:r w:rsidRPr="00B22CA9">
        <w:rPr>
          <w:rFonts w:ascii="Times New Roman" w:hAnsi="Times New Roman" w:cs="Times New Roman"/>
          <w:i/>
          <w:sz w:val="24"/>
          <w:szCs w:val="24"/>
          <w:lang w:val="es-ES"/>
        </w:rPr>
        <w:t>democracy</w:t>
      </w:r>
      <w:proofErr w:type="spellEnd"/>
      <w:r w:rsidRPr="00B22CA9">
        <w:rPr>
          <w:rFonts w:ascii="Times New Roman" w:hAnsi="Times New Roman" w:cs="Times New Roman"/>
          <w:i/>
          <w:sz w:val="24"/>
          <w:szCs w:val="24"/>
          <w:lang w:val="es-ES"/>
        </w:rPr>
        <w:t xml:space="preserve"> </w:t>
      </w:r>
      <w:proofErr w:type="spellStart"/>
      <w:r w:rsidRPr="00B22CA9">
        <w:rPr>
          <w:rFonts w:ascii="Times New Roman" w:hAnsi="Times New Roman" w:cs="Times New Roman"/>
          <w:i/>
          <w:sz w:val="24"/>
          <w:szCs w:val="24"/>
          <w:lang w:val="es-ES"/>
        </w:rPr>
        <w:t>under</w:t>
      </w:r>
      <w:proofErr w:type="spellEnd"/>
      <w:r w:rsidRPr="00B22CA9">
        <w:rPr>
          <w:rFonts w:ascii="Times New Roman" w:hAnsi="Times New Roman" w:cs="Times New Roman"/>
          <w:i/>
          <w:sz w:val="24"/>
          <w:szCs w:val="24"/>
          <w:lang w:val="es-ES"/>
        </w:rPr>
        <w:t xml:space="preserve"> </w:t>
      </w:r>
      <w:proofErr w:type="spellStart"/>
      <w:r w:rsidRPr="00B22CA9">
        <w:rPr>
          <w:rFonts w:ascii="Times New Roman" w:hAnsi="Times New Roman" w:cs="Times New Roman"/>
          <w:i/>
          <w:sz w:val="24"/>
          <w:szCs w:val="24"/>
          <w:lang w:val="es-ES"/>
        </w:rPr>
        <w:t>threat</w:t>
      </w:r>
      <w:proofErr w:type="spellEnd"/>
      <w:r w:rsidRPr="00B22CA9">
        <w:rPr>
          <w:rFonts w:ascii="Times New Roman" w:hAnsi="Times New Roman" w:cs="Times New Roman"/>
          <w:sz w:val="24"/>
          <w:szCs w:val="24"/>
          <w:lang w:val="es-ES"/>
        </w:rPr>
        <w:t xml:space="preserve">. París: Federación Internacional de Derechos Humanos. Disponible en </w:t>
      </w:r>
      <w:hyperlink r:id="rId13" w:history="1">
        <w:r w:rsidRPr="00B22CA9">
          <w:rPr>
            <w:rStyle w:val="Hipervnculo"/>
            <w:rFonts w:ascii="Times New Roman" w:hAnsi="Times New Roman" w:cs="Times New Roman"/>
            <w:color w:val="auto"/>
            <w:sz w:val="24"/>
            <w:szCs w:val="24"/>
            <w:lang w:val="es-ES"/>
          </w:rPr>
          <w:t>https://www.fidh.org/IMG/pdf/hungary_democracy_under_threat.pdf</w:t>
        </w:r>
      </w:hyperlink>
      <w:r w:rsidRPr="00B22CA9">
        <w:rPr>
          <w:rFonts w:ascii="Times New Roman" w:hAnsi="Times New Roman" w:cs="Times New Roman"/>
          <w:sz w:val="24"/>
          <w:szCs w:val="24"/>
          <w:lang w:val="es-ES"/>
        </w:rPr>
        <w:t>.</w:t>
      </w:r>
    </w:p>
    <w:p w:rsidR="002A543D" w:rsidRPr="00B22CA9" w:rsidRDefault="002A543D" w:rsidP="007F11DF">
      <w:pPr>
        <w:spacing w:line="240" w:lineRule="auto"/>
        <w:jc w:val="both"/>
        <w:rPr>
          <w:rFonts w:ascii="Times New Roman" w:hAnsi="Times New Roman" w:cs="Times New Roman"/>
          <w:sz w:val="24"/>
          <w:szCs w:val="24"/>
          <w:lang w:val="es-ES"/>
        </w:rPr>
      </w:pPr>
      <w:proofErr w:type="spellStart"/>
      <w:r w:rsidRPr="00B22CA9">
        <w:rPr>
          <w:rFonts w:ascii="Times New Roman" w:hAnsi="Times New Roman" w:cs="Times New Roman"/>
          <w:sz w:val="24"/>
          <w:szCs w:val="24"/>
        </w:rPr>
        <w:t>Gormley</w:t>
      </w:r>
      <w:proofErr w:type="spellEnd"/>
      <w:r w:rsidRPr="00B22CA9">
        <w:rPr>
          <w:rFonts w:ascii="Times New Roman" w:hAnsi="Times New Roman" w:cs="Times New Roman"/>
          <w:sz w:val="24"/>
          <w:szCs w:val="24"/>
        </w:rPr>
        <w:t xml:space="preserve">, L. W. (2017). Infringement proceedings. </w:t>
      </w:r>
      <w:r w:rsidRPr="00B22CA9">
        <w:rPr>
          <w:rFonts w:ascii="Times New Roman" w:hAnsi="Times New Roman" w:cs="Times New Roman"/>
          <w:sz w:val="24"/>
          <w:szCs w:val="24"/>
          <w:lang w:val="es-ES_tradnl"/>
        </w:rPr>
        <w:t xml:space="preserve">A. </w:t>
      </w:r>
      <w:proofErr w:type="spellStart"/>
      <w:r w:rsidRPr="00B22CA9">
        <w:rPr>
          <w:rFonts w:ascii="Times New Roman" w:hAnsi="Times New Roman" w:cs="Times New Roman"/>
          <w:sz w:val="24"/>
          <w:szCs w:val="24"/>
          <w:lang w:val="es-ES_tradnl"/>
        </w:rPr>
        <w:t>Jakab</w:t>
      </w:r>
      <w:proofErr w:type="spellEnd"/>
      <w:r w:rsidRPr="00B22CA9">
        <w:rPr>
          <w:rFonts w:ascii="Times New Roman" w:hAnsi="Times New Roman" w:cs="Times New Roman"/>
          <w:sz w:val="24"/>
          <w:szCs w:val="24"/>
          <w:lang w:val="es-ES_tradnl"/>
        </w:rPr>
        <w:t xml:space="preserve"> y D. </w:t>
      </w:r>
      <w:proofErr w:type="spellStart"/>
      <w:r w:rsidRPr="00B22CA9">
        <w:rPr>
          <w:rFonts w:ascii="Times New Roman" w:hAnsi="Times New Roman" w:cs="Times New Roman"/>
          <w:sz w:val="24"/>
          <w:szCs w:val="24"/>
          <w:lang w:val="es-ES_tradnl"/>
        </w:rPr>
        <w:t>Kochenov</w:t>
      </w:r>
      <w:proofErr w:type="spellEnd"/>
      <w:r w:rsidRPr="00B22CA9">
        <w:rPr>
          <w:rFonts w:ascii="Times New Roman" w:hAnsi="Times New Roman" w:cs="Times New Roman"/>
          <w:sz w:val="24"/>
          <w:szCs w:val="24"/>
          <w:lang w:val="es-ES_tradnl"/>
        </w:rPr>
        <w:t xml:space="preserve"> (eds.). </w:t>
      </w:r>
      <w:r w:rsidRPr="00B22CA9">
        <w:rPr>
          <w:rFonts w:ascii="Times New Roman" w:hAnsi="Times New Roman" w:cs="Times New Roman"/>
          <w:i/>
          <w:iCs/>
          <w:sz w:val="24"/>
          <w:szCs w:val="24"/>
        </w:rPr>
        <w:t>The enforcement of EU law and values: ensuring member states' compliance</w:t>
      </w:r>
      <w:r w:rsidRPr="00B22CA9">
        <w:rPr>
          <w:rFonts w:ascii="Times New Roman" w:hAnsi="Times New Roman" w:cs="Times New Roman"/>
          <w:sz w:val="24"/>
          <w:szCs w:val="24"/>
        </w:rPr>
        <w:t xml:space="preserve">. </w:t>
      </w:r>
      <w:r w:rsidRPr="00B22CA9">
        <w:rPr>
          <w:rFonts w:ascii="Times New Roman" w:hAnsi="Times New Roman" w:cs="Times New Roman"/>
          <w:sz w:val="24"/>
          <w:szCs w:val="24"/>
          <w:lang w:val="es-ES"/>
        </w:rPr>
        <w:t xml:space="preserve">(pp. 65-78). Oxford: Oxford </w:t>
      </w:r>
      <w:proofErr w:type="spellStart"/>
      <w:r w:rsidRPr="00B22CA9">
        <w:rPr>
          <w:rFonts w:ascii="Times New Roman" w:hAnsi="Times New Roman" w:cs="Times New Roman"/>
          <w:sz w:val="24"/>
          <w:szCs w:val="24"/>
          <w:lang w:val="es-ES"/>
        </w:rPr>
        <w:t>University</w:t>
      </w:r>
      <w:proofErr w:type="spellEnd"/>
      <w:r w:rsidRPr="00B22CA9">
        <w:rPr>
          <w:rFonts w:ascii="Times New Roman" w:hAnsi="Times New Roman" w:cs="Times New Roman"/>
          <w:sz w:val="24"/>
          <w:szCs w:val="24"/>
          <w:lang w:val="es-ES"/>
        </w:rPr>
        <w:t xml:space="preserve"> </w:t>
      </w:r>
      <w:proofErr w:type="spellStart"/>
      <w:r w:rsidRPr="00B22CA9">
        <w:rPr>
          <w:rFonts w:ascii="Times New Roman" w:hAnsi="Times New Roman" w:cs="Times New Roman"/>
          <w:sz w:val="24"/>
          <w:szCs w:val="24"/>
          <w:lang w:val="es-ES"/>
        </w:rPr>
        <w:t>Press</w:t>
      </w:r>
      <w:proofErr w:type="spellEnd"/>
      <w:r w:rsidRPr="00B22CA9">
        <w:rPr>
          <w:rFonts w:ascii="Times New Roman" w:hAnsi="Times New Roman" w:cs="Times New Roman"/>
          <w:sz w:val="24"/>
          <w:szCs w:val="24"/>
          <w:lang w:val="es-ES"/>
        </w:rPr>
        <w:t>.</w:t>
      </w:r>
    </w:p>
    <w:p w:rsidR="00F01666" w:rsidRPr="00B22CA9" w:rsidRDefault="00F01666" w:rsidP="00F01666">
      <w:pPr>
        <w:spacing w:line="240" w:lineRule="auto"/>
        <w:jc w:val="both"/>
        <w:rPr>
          <w:rFonts w:ascii="Times New Roman" w:hAnsi="Times New Roman" w:cs="Times New Roman"/>
          <w:sz w:val="24"/>
          <w:szCs w:val="24"/>
          <w:lang w:val="es-ES"/>
        </w:rPr>
      </w:pPr>
      <w:r w:rsidRPr="00B22CA9">
        <w:rPr>
          <w:rFonts w:ascii="Times New Roman" w:hAnsi="Times New Roman" w:cs="Times New Roman"/>
          <w:sz w:val="24"/>
          <w:szCs w:val="24"/>
          <w:lang w:val="es-ES"/>
        </w:rPr>
        <w:t xml:space="preserve">Gordillo Pérez, L. I. (2005). Constitución, </w:t>
      </w:r>
      <w:proofErr w:type="spellStart"/>
      <w:r w:rsidRPr="00B22CA9">
        <w:rPr>
          <w:rFonts w:ascii="Times New Roman" w:hAnsi="Times New Roman" w:cs="Times New Roman"/>
          <w:sz w:val="24"/>
          <w:szCs w:val="24"/>
          <w:lang w:val="es-ES"/>
        </w:rPr>
        <w:t>constitucionalización</w:t>
      </w:r>
      <w:proofErr w:type="spellEnd"/>
      <w:r w:rsidRPr="00B22CA9">
        <w:rPr>
          <w:rFonts w:ascii="Times New Roman" w:hAnsi="Times New Roman" w:cs="Times New Roman"/>
          <w:sz w:val="24"/>
          <w:szCs w:val="24"/>
          <w:lang w:val="es-ES"/>
        </w:rPr>
        <w:t xml:space="preserve"> y constitucionalismo de la Unión Europea. </w:t>
      </w:r>
      <w:r w:rsidRPr="00B22CA9">
        <w:rPr>
          <w:rFonts w:ascii="Times New Roman" w:hAnsi="Times New Roman" w:cs="Times New Roman"/>
          <w:i/>
          <w:sz w:val="24"/>
          <w:szCs w:val="24"/>
          <w:lang w:val="es-ES"/>
        </w:rPr>
        <w:t>Estudios</w:t>
      </w:r>
      <w:r w:rsidRPr="00B22CA9">
        <w:rPr>
          <w:rFonts w:ascii="Times New Roman" w:hAnsi="Times New Roman" w:cs="Times New Roman"/>
          <w:sz w:val="24"/>
          <w:szCs w:val="24"/>
          <w:lang w:val="es-ES"/>
        </w:rPr>
        <w:t xml:space="preserve"> </w:t>
      </w:r>
      <w:r w:rsidRPr="00B22CA9">
        <w:rPr>
          <w:rFonts w:ascii="Times New Roman" w:hAnsi="Times New Roman" w:cs="Times New Roman"/>
          <w:i/>
          <w:sz w:val="24"/>
          <w:szCs w:val="24"/>
          <w:lang w:val="es-ES"/>
        </w:rPr>
        <w:t>de</w:t>
      </w:r>
      <w:r w:rsidRPr="00B22CA9">
        <w:rPr>
          <w:rFonts w:ascii="Times New Roman" w:hAnsi="Times New Roman" w:cs="Times New Roman"/>
          <w:sz w:val="24"/>
          <w:szCs w:val="24"/>
          <w:lang w:val="es-ES"/>
        </w:rPr>
        <w:t xml:space="preserve"> </w:t>
      </w:r>
      <w:r w:rsidRPr="00B22CA9">
        <w:rPr>
          <w:rFonts w:ascii="Times New Roman" w:hAnsi="Times New Roman" w:cs="Times New Roman"/>
          <w:i/>
          <w:sz w:val="24"/>
          <w:szCs w:val="24"/>
          <w:lang w:val="es-ES"/>
        </w:rPr>
        <w:t>Deusto</w:t>
      </w:r>
      <w:r w:rsidRPr="00B22CA9">
        <w:rPr>
          <w:rFonts w:ascii="Times New Roman" w:hAnsi="Times New Roman" w:cs="Times New Roman"/>
          <w:sz w:val="24"/>
          <w:szCs w:val="24"/>
          <w:lang w:val="es-ES"/>
        </w:rPr>
        <w:t>, 53/2, 253-306.</w:t>
      </w:r>
    </w:p>
    <w:p w:rsidR="00DD038D" w:rsidRPr="00B22CA9" w:rsidRDefault="00DD038D" w:rsidP="00F01666">
      <w:pPr>
        <w:spacing w:line="240" w:lineRule="auto"/>
        <w:jc w:val="both"/>
        <w:rPr>
          <w:rFonts w:ascii="Times New Roman" w:hAnsi="Times New Roman" w:cs="Times New Roman"/>
          <w:sz w:val="24"/>
          <w:szCs w:val="24"/>
          <w:lang w:val="es-ES"/>
        </w:rPr>
      </w:pPr>
      <w:r w:rsidRPr="00B22CA9">
        <w:rPr>
          <w:rFonts w:ascii="Times New Roman" w:hAnsi="Times New Roman" w:cs="Times New Roman"/>
          <w:sz w:val="24"/>
          <w:szCs w:val="24"/>
          <w:lang w:val="es-ES"/>
        </w:rPr>
        <w:t xml:space="preserve">Gordillo Pérez, L. I. y Martinico, G. (2013). La jurisprudencia </w:t>
      </w:r>
      <w:proofErr w:type="spellStart"/>
      <w:r w:rsidRPr="00B22CA9">
        <w:rPr>
          <w:rFonts w:ascii="Times New Roman" w:hAnsi="Times New Roman" w:cs="Times New Roman"/>
          <w:sz w:val="24"/>
          <w:szCs w:val="24"/>
          <w:lang w:val="es-ES"/>
        </w:rPr>
        <w:t>federalizante</w:t>
      </w:r>
      <w:proofErr w:type="spellEnd"/>
      <w:r w:rsidRPr="00B22CA9">
        <w:rPr>
          <w:rFonts w:ascii="Times New Roman" w:hAnsi="Times New Roman" w:cs="Times New Roman"/>
          <w:sz w:val="24"/>
          <w:szCs w:val="24"/>
          <w:lang w:val="es-ES"/>
        </w:rPr>
        <w:t xml:space="preserve"> y </w:t>
      </w:r>
      <w:proofErr w:type="spellStart"/>
      <w:r w:rsidRPr="00B22CA9">
        <w:rPr>
          <w:rFonts w:ascii="Times New Roman" w:hAnsi="Times New Roman" w:cs="Times New Roman"/>
          <w:sz w:val="24"/>
          <w:szCs w:val="24"/>
          <w:lang w:val="es-ES"/>
        </w:rPr>
        <w:t>humanizadora</w:t>
      </w:r>
      <w:proofErr w:type="spellEnd"/>
      <w:r w:rsidRPr="00B22CA9">
        <w:rPr>
          <w:rFonts w:ascii="Times New Roman" w:hAnsi="Times New Roman" w:cs="Times New Roman"/>
          <w:sz w:val="24"/>
          <w:szCs w:val="24"/>
          <w:lang w:val="es-ES"/>
        </w:rPr>
        <w:t xml:space="preserve"> del Tribunal de Justicia: un cuento desde el país de las hadas. </w:t>
      </w:r>
      <w:r w:rsidRPr="00B22CA9">
        <w:rPr>
          <w:rFonts w:ascii="Times New Roman" w:hAnsi="Times New Roman" w:cs="Times New Roman"/>
          <w:i/>
          <w:sz w:val="24"/>
          <w:szCs w:val="24"/>
          <w:lang w:val="es-ES"/>
        </w:rPr>
        <w:t>Teoría y Realidad Constitucional</w:t>
      </w:r>
      <w:r w:rsidRPr="00B22CA9">
        <w:rPr>
          <w:rFonts w:ascii="Times New Roman" w:hAnsi="Times New Roman" w:cs="Times New Roman"/>
          <w:sz w:val="24"/>
          <w:szCs w:val="24"/>
          <w:lang w:val="es-ES"/>
        </w:rPr>
        <w:t>, 32 429-480. https://doi.org/10.5944/trc.32.2013</w:t>
      </w:r>
      <w:r w:rsidRPr="00B22CA9">
        <w:rPr>
          <w:rFonts w:ascii="Times New Roman" w:hAnsi="Times New Roman" w:cs="Times New Roman"/>
          <w:sz w:val="24"/>
          <w:szCs w:val="24"/>
          <w:lang w:val="es-ES"/>
        </w:rPr>
        <w:tab/>
        <w:t xml:space="preserve">. </w:t>
      </w:r>
    </w:p>
    <w:p w:rsidR="002A543D" w:rsidRPr="00B22CA9" w:rsidRDefault="002A543D" w:rsidP="007F11DF">
      <w:pPr>
        <w:spacing w:line="240" w:lineRule="auto"/>
        <w:jc w:val="both"/>
        <w:rPr>
          <w:rFonts w:ascii="Times New Roman" w:hAnsi="Times New Roman" w:cs="Times New Roman"/>
          <w:sz w:val="24"/>
          <w:szCs w:val="24"/>
          <w:lang w:val="es-ES"/>
        </w:rPr>
      </w:pPr>
      <w:proofErr w:type="spellStart"/>
      <w:r w:rsidRPr="00B22CA9">
        <w:rPr>
          <w:rFonts w:ascii="Times New Roman" w:hAnsi="Times New Roman" w:cs="Times New Roman"/>
          <w:sz w:val="24"/>
          <w:szCs w:val="24"/>
          <w:lang w:val="es-ES"/>
        </w:rPr>
        <w:t>Groppi</w:t>
      </w:r>
      <w:proofErr w:type="spellEnd"/>
      <w:r w:rsidRPr="00B22CA9">
        <w:rPr>
          <w:rFonts w:ascii="Times New Roman" w:hAnsi="Times New Roman" w:cs="Times New Roman"/>
          <w:sz w:val="24"/>
          <w:szCs w:val="24"/>
          <w:lang w:val="es-ES"/>
        </w:rPr>
        <w:t xml:space="preserve">, T. (2005). ¿Existe un modelo europeo de Justicia Constitucional?. </w:t>
      </w:r>
      <w:r w:rsidRPr="00B22CA9">
        <w:rPr>
          <w:rFonts w:ascii="Times New Roman" w:hAnsi="Times New Roman" w:cs="Times New Roman"/>
          <w:i/>
          <w:iCs/>
          <w:sz w:val="24"/>
          <w:szCs w:val="24"/>
          <w:lang w:val="es-ES"/>
        </w:rPr>
        <w:t>Revista de Derecho Político</w:t>
      </w:r>
      <w:r w:rsidRPr="00B22CA9">
        <w:rPr>
          <w:rFonts w:ascii="Times New Roman" w:hAnsi="Times New Roman" w:cs="Times New Roman"/>
          <w:sz w:val="24"/>
          <w:szCs w:val="24"/>
          <w:lang w:val="es-ES"/>
        </w:rPr>
        <w:t>, 62, 33-54.</w:t>
      </w:r>
    </w:p>
    <w:p w:rsidR="00AF66AC" w:rsidRPr="00B22CA9" w:rsidRDefault="00AF66AC" w:rsidP="007F11DF">
      <w:pPr>
        <w:spacing w:line="240" w:lineRule="auto"/>
        <w:jc w:val="both"/>
        <w:rPr>
          <w:rFonts w:ascii="Times New Roman" w:hAnsi="Times New Roman" w:cs="Times New Roman"/>
          <w:sz w:val="24"/>
          <w:szCs w:val="24"/>
        </w:rPr>
      </w:pPr>
      <w:proofErr w:type="spellStart"/>
      <w:r w:rsidRPr="00B22CA9">
        <w:rPr>
          <w:rFonts w:ascii="Times New Roman" w:hAnsi="Times New Roman" w:cs="Times New Roman"/>
          <w:sz w:val="24"/>
          <w:szCs w:val="24"/>
          <w:lang w:val="es-ES"/>
        </w:rPr>
        <w:t>Häberle</w:t>
      </w:r>
      <w:proofErr w:type="spellEnd"/>
      <w:r w:rsidRPr="00B22CA9">
        <w:rPr>
          <w:rFonts w:ascii="Times New Roman" w:hAnsi="Times New Roman" w:cs="Times New Roman"/>
          <w:sz w:val="24"/>
          <w:szCs w:val="24"/>
          <w:lang w:val="es-ES"/>
        </w:rPr>
        <w:t xml:space="preserve">, P. (2002). </w:t>
      </w:r>
      <w:r w:rsidRPr="00B22CA9">
        <w:rPr>
          <w:rFonts w:ascii="Times New Roman" w:hAnsi="Times New Roman" w:cs="Times New Roman"/>
          <w:i/>
          <w:sz w:val="24"/>
          <w:szCs w:val="24"/>
          <w:lang w:val="es-ES"/>
        </w:rPr>
        <w:t>Pluralismo y Constitución. Estudios de Teoría Constitucional de la sociedad abierta</w:t>
      </w:r>
      <w:r w:rsidRPr="00B22CA9">
        <w:rPr>
          <w:rFonts w:ascii="Times New Roman" w:hAnsi="Times New Roman" w:cs="Times New Roman"/>
          <w:sz w:val="24"/>
          <w:szCs w:val="24"/>
          <w:lang w:val="es-ES"/>
        </w:rPr>
        <w:t xml:space="preserve">. </w:t>
      </w:r>
      <w:r w:rsidRPr="00B22CA9">
        <w:rPr>
          <w:rFonts w:ascii="Times New Roman" w:hAnsi="Times New Roman" w:cs="Times New Roman"/>
          <w:sz w:val="24"/>
          <w:szCs w:val="24"/>
        </w:rPr>
        <w:t xml:space="preserve">Madrid: </w:t>
      </w:r>
      <w:proofErr w:type="spellStart"/>
      <w:r w:rsidRPr="00B22CA9">
        <w:rPr>
          <w:rFonts w:ascii="Times New Roman" w:hAnsi="Times New Roman" w:cs="Times New Roman"/>
          <w:sz w:val="24"/>
          <w:szCs w:val="24"/>
        </w:rPr>
        <w:t>Tecnos</w:t>
      </w:r>
      <w:proofErr w:type="spellEnd"/>
      <w:r w:rsidRPr="00B22CA9">
        <w:rPr>
          <w:rFonts w:ascii="Times New Roman" w:hAnsi="Times New Roman" w:cs="Times New Roman"/>
          <w:sz w:val="24"/>
          <w:szCs w:val="24"/>
        </w:rPr>
        <w:t>.</w:t>
      </w:r>
    </w:p>
    <w:p w:rsidR="002028CA" w:rsidRPr="00B22CA9" w:rsidRDefault="002028CA" w:rsidP="007F11DF">
      <w:pPr>
        <w:spacing w:line="240" w:lineRule="auto"/>
        <w:jc w:val="both"/>
        <w:rPr>
          <w:rFonts w:ascii="Times New Roman" w:hAnsi="Times New Roman" w:cs="Times New Roman"/>
          <w:sz w:val="24"/>
          <w:szCs w:val="24"/>
        </w:rPr>
      </w:pPr>
      <w:proofErr w:type="spellStart"/>
      <w:r w:rsidRPr="00B22CA9">
        <w:rPr>
          <w:rFonts w:ascii="Times New Roman" w:hAnsi="Times New Roman" w:cs="Times New Roman"/>
          <w:sz w:val="24"/>
          <w:szCs w:val="24"/>
        </w:rPr>
        <w:t>Héritier</w:t>
      </w:r>
      <w:proofErr w:type="spellEnd"/>
      <w:r w:rsidRPr="00B22CA9">
        <w:rPr>
          <w:rFonts w:ascii="Times New Roman" w:hAnsi="Times New Roman" w:cs="Times New Roman"/>
          <w:sz w:val="24"/>
          <w:szCs w:val="24"/>
        </w:rPr>
        <w:t xml:space="preserve">, A. (2015). Covert integration in the European Union. En Richardson J. y </w:t>
      </w:r>
      <w:proofErr w:type="spellStart"/>
      <w:r w:rsidRPr="00B22CA9">
        <w:rPr>
          <w:rFonts w:ascii="Times New Roman" w:hAnsi="Times New Roman" w:cs="Times New Roman"/>
          <w:sz w:val="24"/>
          <w:szCs w:val="24"/>
        </w:rPr>
        <w:t>Mazey</w:t>
      </w:r>
      <w:proofErr w:type="spellEnd"/>
      <w:r w:rsidRPr="00B22CA9">
        <w:rPr>
          <w:rFonts w:ascii="Times New Roman" w:hAnsi="Times New Roman" w:cs="Times New Roman"/>
          <w:sz w:val="24"/>
          <w:szCs w:val="24"/>
        </w:rPr>
        <w:t xml:space="preserve"> S (eds.). </w:t>
      </w:r>
      <w:r w:rsidRPr="00B22CA9">
        <w:rPr>
          <w:rFonts w:ascii="Times New Roman" w:hAnsi="Times New Roman" w:cs="Times New Roman"/>
          <w:i/>
          <w:iCs/>
          <w:sz w:val="24"/>
          <w:szCs w:val="24"/>
        </w:rPr>
        <w:t>European Union. Power and policy making</w:t>
      </w:r>
      <w:r w:rsidRPr="00B22CA9">
        <w:rPr>
          <w:rFonts w:ascii="Times New Roman" w:hAnsi="Times New Roman" w:cs="Times New Roman"/>
          <w:sz w:val="24"/>
          <w:szCs w:val="24"/>
        </w:rPr>
        <w:t xml:space="preserve">. (pp. 351-369). New York: </w:t>
      </w:r>
      <w:proofErr w:type="spellStart"/>
      <w:r w:rsidRPr="00B22CA9">
        <w:rPr>
          <w:rFonts w:ascii="Times New Roman" w:hAnsi="Times New Roman" w:cs="Times New Roman"/>
          <w:sz w:val="24"/>
          <w:szCs w:val="24"/>
        </w:rPr>
        <w:t>Routledge</w:t>
      </w:r>
      <w:proofErr w:type="spellEnd"/>
      <w:r w:rsidRPr="00B22CA9">
        <w:rPr>
          <w:rFonts w:ascii="Times New Roman" w:hAnsi="Times New Roman" w:cs="Times New Roman"/>
          <w:sz w:val="24"/>
          <w:szCs w:val="24"/>
        </w:rPr>
        <w:t>.</w:t>
      </w:r>
    </w:p>
    <w:p w:rsidR="002028CA" w:rsidRPr="00B22CA9" w:rsidRDefault="002028CA" w:rsidP="007F11DF">
      <w:pPr>
        <w:spacing w:line="240" w:lineRule="auto"/>
        <w:jc w:val="both"/>
        <w:rPr>
          <w:rFonts w:ascii="Times New Roman" w:hAnsi="Times New Roman" w:cs="Times New Roman"/>
          <w:sz w:val="24"/>
          <w:szCs w:val="24"/>
          <w:lang w:val="es-ES"/>
        </w:rPr>
      </w:pPr>
      <w:proofErr w:type="spellStart"/>
      <w:r w:rsidRPr="00B22CA9">
        <w:rPr>
          <w:rFonts w:ascii="Times New Roman" w:hAnsi="Times New Roman" w:cs="Times New Roman"/>
          <w:sz w:val="24"/>
          <w:szCs w:val="24"/>
        </w:rPr>
        <w:t>Héritier</w:t>
      </w:r>
      <w:proofErr w:type="spellEnd"/>
      <w:r w:rsidRPr="00B22CA9">
        <w:rPr>
          <w:rFonts w:ascii="Times New Roman" w:hAnsi="Times New Roman" w:cs="Times New Roman"/>
          <w:sz w:val="24"/>
          <w:szCs w:val="24"/>
        </w:rPr>
        <w:t xml:space="preserve">, A. (2017). Covert integration of core state powers. </w:t>
      </w:r>
      <w:proofErr w:type="spellStart"/>
      <w:r w:rsidRPr="00B22CA9">
        <w:rPr>
          <w:rFonts w:ascii="Times New Roman" w:hAnsi="Times New Roman" w:cs="Times New Roman"/>
          <w:sz w:val="24"/>
          <w:szCs w:val="24"/>
        </w:rPr>
        <w:t>Renegociating</w:t>
      </w:r>
      <w:proofErr w:type="spellEnd"/>
      <w:r w:rsidRPr="00B22CA9">
        <w:rPr>
          <w:rFonts w:ascii="Times New Roman" w:hAnsi="Times New Roman" w:cs="Times New Roman"/>
          <w:sz w:val="24"/>
          <w:szCs w:val="24"/>
        </w:rPr>
        <w:t xml:space="preserve"> incomplete contracts. En P. </w:t>
      </w:r>
      <w:proofErr w:type="spellStart"/>
      <w:r w:rsidRPr="00B22CA9">
        <w:rPr>
          <w:rFonts w:ascii="Times New Roman" w:hAnsi="Times New Roman" w:cs="Times New Roman"/>
          <w:sz w:val="24"/>
          <w:szCs w:val="24"/>
        </w:rPr>
        <w:t>Bursens</w:t>
      </w:r>
      <w:proofErr w:type="spellEnd"/>
      <w:r w:rsidRPr="00B22CA9">
        <w:rPr>
          <w:rFonts w:ascii="Times New Roman" w:hAnsi="Times New Roman" w:cs="Times New Roman"/>
          <w:sz w:val="24"/>
          <w:szCs w:val="24"/>
        </w:rPr>
        <w:t xml:space="preserve">, C. De </w:t>
      </w:r>
      <w:proofErr w:type="spellStart"/>
      <w:r w:rsidRPr="00B22CA9">
        <w:rPr>
          <w:rFonts w:ascii="Times New Roman" w:hAnsi="Times New Roman" w:cs="Times New Roman"/>
          <w:sz w:val="24"/>
          <w:szCs w:val="24"/>
        </w:rPr>
        <w:t>Landtsheer</w:t>
      </w:r>
      <w:proofErr w:type="spellEnd"/>
      <w:r w:rsidRPr="00B22CA9">
        <w:rPr>
          <w:rFonts w:ascii="Times New Roman" w:hAnsi="Times New Roman" w:cs="Times New Roman"/>
          <w:sz w:val="24"/>
          <w:szCs w:val="24"/>
        </w:rPr>
        <w:t xml:space="preserve">, L. </w:t>
      </w:r>
      <w:proofErr w:type="spellStart"/>
      <w:r w:rsidRPr="00B22CA9">
        <w:rPr>
          <w:rFonts w:ascii="Times New Roman" w:hAnsi="Times New Roman" w:cs="Times New Roman"/>
          <w:sz w:val="24"/>
          <w:szCs w:val="24"/>
        </w:rPr>
        <w:t>Braeckmans</w:t>
      </w:r>
      <w:proofErr w:type="spellEnd"/>
      <w:r w:rsidRPr="00B22CA9">
        <w:rPr>
          <w:rFonts w:ascii="Times New Roman" w:hAnsi="Times New Roman" w:cs="Times New Roman"/>
          <w:sz w:val="24"/>
          <w:szCs w:val="24"/>
        </w:rPr>
        <w:t xml:space="preserve"> y B. </w:t>
      </w:r>
      <w:proofErr w:type="spellStart"/>
      <w:r w:rsidRPr="00B22CA9">
        <w:rPr>
          <w:rFonts w:ascii="Times New Roman" w:hAnsi="Times New Roman" w:cs="Times New Roman"/>
          <w:sz w:val="24"/>
          <w:szCs w:val="24"/>
        </w:rPr>
        <w:t>Seggaert</w:t>
      </w:r>
      <w:proofErr w:type="spellEnd"/>
      <w:r w:rsidRPr="00B22CA9">
        <w:rPr>
          <w:rFonts w:ascii="Times New Roman" w:hAnsi="Times New Roman" w:cs="Times New Roman"/>
          <w:sz w:val="24"/>
          <w:szCs w:val="24"/>
        </w:rPr>
        <w:t xml:space="preserve"> (eds.). </w:t>
      </w:r>
      <w:r w:rsidRPr="00B22CA9">
        <w:rPr>
          <w:rFonts w:ascii="Times New Roman" w:hAnsi="Times New Roman" w:cs="Times New Roman"/>
          <w:i/>
          <w:iCs/>
          <w:sz w:val="24"/>
          <w:szCs w:val="24"/>
        </w:rPr>
        <w:t>Complex Political Decision-Making</w:t>
      </w:r>
      <w:r w:rsidRPr="00B22CA9">
        <w:rPr>
          <w:rFonts w:ascii="Times New Roman" w:hAnsi="Times New Roman" w:cs="Times New Roman"/>
          <w:sz w:val="24"/>
          <w:szCs w:val="24"/>
        </w:rPr>
        <w:t xml:space="preserve">. (pp. 15-30). </w:t>
      </w:r>
      <w:r w:rsidRPr="00B22CA9">
        <w:rPr>
          <w:rFonts w:ascii="Times New Roman" w:hAnsi="Times New Roman" w:cs="Times New Roman"/>
          <w:sz w:val="24"/>
          <w:szCs w:val="24"/>
          <w:lang w:val="es-ES"/>
        </w:rPr>
        <w:t xml:space="preserve">London: </w:t>
      </w:r>
      <w:proofErr w:type="spellStart"/>
      <w:r w:rsidRPr="00B22CA9">
        <w:rPr>
          <w:rFonts w:ascii="Times New Roman" w:hAnsi="Times New Roman" w:cs="Times New Roman"/>
          <w:sz w:val="24"/>
          <w:szCs w:val="24"/>
          <w:lang w:val="es-ES"/>
        </w:rPr>
        <w:t>Routledge</w:t>
      </w:r>
      <w:proofErr w:type="spellEnd"/>
      <w:r w:rsidRPr="00B22CA9">
        <w:rPr>
          <w:rFonts w:ascii="Times New Roman" w:hAnsi="Times New Roman" w:cs="Times New Roman"/>
          <w:sz w:val="24"/>
          <w:szCs w:val="24"/>
          <w:lang w:val="es-ES"/>
        </w:rPr>
        <w:t>.</w:t>
      </w:r>
    </w:p>
    <w:p w:rsidR="00DB22D7" w:rsidRPr="00B22CA9" w:rsidRDefault="00DB22D7" w:rsidP="007F11DF">
      <w:pPr>
        <w:spacing w:line="240" w:lineRule="auto"/>
        <w:jc w:val="both"/>
        <w:rPr>
          <w:rFonts w:ascii="Times New Roman" w:hAnsi="Times New Roman" w:cs="Times New Roman"/>
          <w:sz w:val="24"/>
          <w:szCs w:val="24"/>
          <w:lang w:val="es-ES_tradnl"/>
        </w:rPr>
      </w:pPr>
      <w:r w:rsidRPr="00B22CA9">
        <w:rPr>
          <w:rFonts w:ascii="Times New Roman" w:hAnsi="Times New Roman" w:cs="Times New Roman"/>
          <w:sz w:val="24"/>
          <w:szCs w:val="24"/>
          <w:lang w:val="es-ES_tradnl"/>
        </w:rPr>
        <w:t xml:space="preserve">Hesse, K. (2001). Constitución y Derecho Constitucional. </w:t>
      </w:r>
      <w:r w:rsidRPr="00B22CA9">
        <w:rPr>
          <w:rFonts w:ascii="Times New Roman" w:hAnsi="Times New Roman" w:cs="Times New Roman"/>
          <w:sz w:val="24"/>
          <w:szCs w:val="24"/>
          <w:lang w:val="fr-FR"/>
        </w:rPr>
        <w:t xml:space="preserve">En E. Benda, W. </w:t>
      </w:r>
      <w:proofErr w:type="spellStart"/>
      <w:r w:rsidRPr="00B22CA9">
        <w:rPr>
          <w:rFonts w:ascii="Times New Roman" w:hAnsi="Times New Roman" w:cs="Times New Roman"/>
          <w:sz w:val="24"/>
          <w:szCs w:val="24"/>
          <w:lang w:val="fr-FR"/>
        </w:rPr>
        <w:t>Maihofer</w:t>
      </w:r>
      <w:proofErr w:type="spellEnd"/>
      <w:r w:rsidRPr="00B22CA9">
        <w:rPr>
          <w:rFonts w:ascii="Times New Roman" w:hAnsi="Times New Roman" w:cs="Times New Roman"/>
          <w:sz w:val="24"/>
          <w:szCs w:val="24"/>
          <w:lang w:val="fr-FR"/>
        </w:rPr>
        <w:t xml:space="preserve">, H. Jochen Vogel, K. Hesse y W. </w:t>
      </w:r>
      <w:proofErr w:type="spellStart"/>
      <w:r w:rsidRPr="00B22CA9">
        <w:rPr>
          <w:rFonts w:ascii="Times New Roman" w:hAnsi="Times New Roman" w:cs="Times New Roman"/>
          <w:sz w:val="24"/>
          <w:szCs w:val="24"/>
          <w:lang w:val="fr-FR"/>
        </w:rPr>
        <w:t>Heyde</w:t>
      </w:r>
      <w:proofErr w:type="spellEnd"/>
      <w:r w:rsidRPr="00B22CA9">
        <w:rPr>
          <w:rFonts w:ascii="Times New Roman" w:hAnsi="Times New Roman" w:cs="Times New Roman"/>
          <w:sz w:val="24"/>
          <w:szCs w:val="24"/>
          <w:lang w:val="fr-FR"/>
        </w:rPr>
        <w:t xml:space="preserve">. </w:t>
      </w:r>
      <w:r w:rsidRPr="00B22CA9">
        <w:rPr>
          <w:rFonts w:ascii="Times New Roman" w:hAnsi="Times New Roman" w:cs="Times New Roman"/>
          <w:i/>
          <w:iCs/>
          <w:sz w:val="24"/>
          <w:szCs w:val="24"/>
          <w:lang w:val="es-ES_tradnl"/>
        </w:rPr>
        <w:t>Manual de Derecho Constitucional</w:t>
      </w:r>
      <w:r w:rsidRPr="00B22CA9">
        <w:rPr>
          <w:rFonts w:ascii="Times New Roman" w:hAnsi="Times New Roman" w:cs="Times New Roman"/>
          <w:sz w:val="24"/>
          <w:szCs w:val="24"/>
          <w:lang w:val="es-ES_tradnl"/>
        </w:rPr>
        <w:t>. (pp. 1-15). Madrid: Marcial Pons, Madrid, 2001.</w:t>
      </w:r>
    </w:p>
    <w:p w:rsidR="00427C17" w:rsidRPr="00B22CA9" w:rsidRDefault="00323995" w:rsidP="007F11DF">
      <w:pPr>
        <w:spacing w:line="240" w:lineRule="auto"/>
        <w:jc w:val="both"/>
        <w:rPr>
          <w:rFonts w:ascii="Times New Roman" w:hAnsi="Times New Roman" w:cs="Times New Roman"/>
          <w:sz w:val="24"/>
          <w:szCs w:val="24"/>
        </w:rPr>
      </w:pPr>
      <w:r w:rsidRPr="00B22CA9">
        <w:rPr>
          <w:rFonts w:ascii="Times New Roman" w:hAnsi="Times New Roman" w:cs="Times New Roman"/>
          <w:sz w:val="24"/>
          <w:szCs w:val="24"/>
          <w:lang w:val="es-ES_tradnl"/>
        </w:rPr>
        <w:t>Iglesias Sánchez, S</w:t>
      </w:r>
      <w:r w:rsidR="002D14BC" w:rsidRPr="00B22CA9">
        <w:rPr>
          <w:rFonts w:ascii="Times New Roman" w:hAnsi="Times New Roman" w:cs="Times New Roman"/>
          <w:sz w:val="24"/>
          <w:szCs w:val="24"/>
          <w:lang w:val="es-ES_tradnl"/>
        </w:rPr>
        <w:t>.</w:t>
      </w:r>
      <w:r w:rsidRPr="00B22CA9">
        <w:rPr>
          <w:rFonts w:ascii="Times New Roman" w:hAnsi="Times New Roman" w:cs="Times New Roman"/>
          <w:sz w:val="24"/>
          <w:szCs w:val="24"/>
          <w:lang w:val="es-ES_tradnl"/>
        </w:rPr>
        <w:t xml:space="preserve"> (2012). </w:t>
      </w:r>
      <w:r w:rsidR="00427C17" w:rsidRPr="00B22CA9">
        <w:rPr>
          <w:rFonts w:ascii="Times New Roman" w:hAnsi="Times New Roman" w:cs="Times New Roman"/>
          <w:sz w:val="24"/>
          <w:szCs w:val="24"/>
        </w:rPr>
        <w:t>The Court and the Charter: The impact of the entry into force of the Lisbon Treaty on the ECJ’s approach to fundamental rights</w:t>
      </w:r>
      <w:r w:rsidRPr="00B22CA9">
        <w:rPr>
          <w:rFonts w:ascii="Times New Roman" w:hAnsi="Times New Roman" w:cs="Times New Roman"/>
          <w:sz w:val="24"/>
          <w:szCs w:val="24"/>
        </w:rPr>
        <w:t>.</w:t>
      </w:r>
      <w:r w:rsidR="00427C17" w:rsidRPr="00B22CA9">
        <w:rPr>
          <w:rFonts w:ascii="Times New Roman" w:hAnsi="Times New Roman" w:cs="Times New Roman"/>
          <w:sz w:val="24"/>
          <w:szCs w:val="24"/>
        </w:rPr>
        <w:t xml:space="preserve"> </w:t>
      </w:r>
      <w:r w:rsidR="00427C17" w:rsidRPr="00B22CA9">
        <w:rPr>
          <w:rFonts w:ascii="Times New Roman" w:hAnsi="Times New Roman" w:cs="Times New Roman"/>
          <w:i/>
          <w:sz w:val="24"/>
          <w:szCs w:val="24"/>
        </w:rPr>
        <w:t xml:space="preserve">Common Market Law Review, </w:t>
      </w:r>
      <w:r w:rsidR="00427C17" w:rsidRPr="00B22CA9">
        <w:rPr>
          <w:rFonts w:ascii="Times New Roman" w:hAnsi="Times New Roman" w:cs="Times New Roman"/>
          <w:sz w:val="24"/>
          <w:szCs w:val="24"/>
        </w:rPr>
        <w:t>1565-1583</w:t>
      </w:r>
      <w:r w:rsidRPr="00B22CA9">
        <w:rPr>
          <w:rFonts w:ascii="Times New Roman" w:hAnsi="Times New Roman" w:cs="Times New Roman"/>
          <w:sz w:val="24"/>
          <w:szCs w:val="24"/>
        </w:rPr>
        <w:t>.</w:t>
      </w:r>
      <w:r w:rsidR="00427C17" w:rsidRPr="00B22CA9">
        <w:rPr>
          <w:rFonts w:ascii="Times New Roman" w:hAnsi="Times New Roman" w:cs="Times New Roman"/>
          <w:sz w:val="24"/>
          <w:szCs w:val="24"/>
        </w:rPr>
        <w:t xml:space="preserve"> </w:t>
      </w:r>
    </w:p>
    <w:p w:rsidR="006A2ACD" w:rsidRPr="00B22CA9" w:rsidRDefault="006A2ACD" w:rsidP="007F11DF">
      <w:pPr>
        <w:spacing w:line="240" w:lineRule="auto"/>
        <w:jc w:val="both"/>
        <w:rPr>
          <w:rFonts w:ascii="Times New Roman" w:hAnsi="Times New Roman" w:cs="Times New Roman"/>
          <w:sz w:val="24"/>
          <w:szCs w:val="24"/>
        </w:rPr>
      </w:pPr>
      <w:proofErr w:type="spellStart"/>
      <w:r w:rsidRPr="00B22CA9">
        <w:rPr>
          <w:rFonts w:ascii="Times New Roman" w:hAnsi="Times New Roman" w:cs="Times New Roman"/>
          <w:sz w:val="24"/>
          <w:szCs w:val="24"/>
        </w:rPr>
        <w:t>Jakab</w:t>
      </w:r>
      <w:proofErr w:type="spellEnd"/>
      <w:r w:rsidRPr="00B22CA9">
        <w:rPr>
          <w:rFonts w:ascii="Times New Roman" w:hAnsi="Times New Roman" w:cs="Times New Roman"/>
          <w:sz w:val="24"/>
          <w:szCs w:val="24"/>
        </w:rPr>
        <w:t xml:space="preserve"> A. y </w:t>
      </w:r>
      <w:proofErr w:type="spellStart"/>
      <w:r w:rsidRPr="00B22CA9">
        <w:rPr>
          <w:rFonts w:ascii="Times New Roman" w:hAnsi="Times New Roman" w:cs="Times New Roman"/>
          <w:sz w:val="24"/>
          <w:szCs w:val="24"/>
        </w:rPr>
        <w:t>Kochenov</w:t>
      </w:r>
      <w:proofErr w:type="spellEnd"/>
      <w:r w:rsidRPr="00B22CA9">
        <w:rPr>
          <w:rFonts w:ascii="Times New Roman" w:hAnsi="Times New Roman" w:cs="Times New Roman"/>
          <w:sz w:val="24"/>
          <w:szCs w:val="24"/>
        </w:rPr>
        <w:t xml:space="preserve"> D. (</w:t>
      </w:r>
      <w:proofErr w:type="gramStart"/>
      <w:r w:rsidRPr="00B22CA9">
        <w:rPr>
          <w:rFonts w:ascii="Times New Roman" w:hAnsi="Times New Roman" w:cs="Times New Roman"/>
          <w:sz w:val="24"/>
          <w:szCs w:val="24"/>
        </w:rPr>
        <w:t>eds</w:t>
      </w:r>
      <w:proofErr w:type="gramEnd"/>
      <w:r w:rsidRPr="00B22CA9">
        <w:rPr>
          <w:rFonts w:ascii="Times New Roman" w:hAnsi="Times New Roman" w:cs="Times New Roman"/>
          <w:sz w:val="24"/>
          <w:szCs w:val="24"/>
        </w:rPr>
        <w:t xml:space="preserve">.). (2017). </w:t>
      </w:r>
      <w:r w:rsidRPr="00B22CA9">
        <w:rPr>
          <w:rFonts w:ascii="Times New Roman" w:hAnsi="Times New Roman" w:cs="Times New Roman"/>
          <w:i/>
          <w:iCs/>
          <w:sz w:val="24"/>
          <w:szCs w:val="24"/>
        </w:rPr>
        <w:t>The enforcement of EU law and values: ensuring member states' compliance</w:t>
      </w:r>
      <w:r w:rsidRPr="00B22CA9">
        <w:rPr>
          <w:rFonts w:ascii="Times New Roman" w:hAnsi="Times New Roman" w:cs="Times New Roman"/>
          <w:sz w:val="24"/>
          <w:szCs w:val="24"/>
        </w:rPr>
        <w:t xml:space="preserve">. Oxford: Oxford University Press.   </w:t>
      </w:r>
    </w:p>
    <w:p w:rsidR="00427C17" w:rsidRPr="00B22CA9" w:rsidRDefault="00427C17" w:rsidP="007F11DF">
      <w:pPr>
        <w:spacing w:line="240" w:lineRule="auto"/>
        <w:jc w:val="both"/>
        <w:rPr>
          <w:rFonts w:ascii="Times New Roman" w:hAnsi="Times New Roman" w:cs="Times New Roman"/>
          <w:sz w:val="24"/>
          <w:szCs w:val="24"/>
        </w:rPr>
      </w:pPr>
      <w:r w:rsidRPr="00B22CA9">
        <w:rPr>
          <w:rFonts w:ascii="Times New Roman" w:hAnsi="Times New Roman" w:cs="Times New Roman"/>
          <w:sz w:val="24"/>
          <w:szCs w:val="24"/>
        </w:rPr>
        <w:t>Kaila,</w:t>
      </w:r>
      <w:r w:rsidR="00752A9D" w:rsidRPr="00B22CA9">
        <w:rPr>
          <w:rFonts w:ascii="Times New Roman" w:hAnsi="Times New Roman" w:cs="Times New Roman"/>
          <w:sz w:val="24"/>
          <w:szCs w:val="24"/>
        </w:rPr>
        <w:t xml:space="preserve"> H. (2012).</w:t>
      </w:r>
      <w:r w:rsidRPr="00B22CA9">
        <w:rPr>
          <w:rFonts w:ascii="Times New Roman" w:hAnsi="Times New Roman" w:cs="Times New Roman"/>
          <w:sz w:val="24"/>
          <w:szCs w:val="24"/>
        </w:rPr>
        <w:t xml:space="preserve"> The Scope of Application of the Charter of Fundamental Rights of the European Union in the Member States</w:t>
      </w:r>
      <w:r w:rsidR="00D10461" w:rsidRPr="00B22CA9">
        <w:rPr>
          <w:rFonts w:ascii="Times New Roman" w:hAnsi="Times New Roman" w:cs="Times New Roman"/>
          <w:sz w:val="24"/>
          <w:szCs w:val="24"/>
        </w:rPr>
        <w:t>.</w:t>
      </w:r>
      <w:r w:rsidR="00752A9D" w:rsidRPr="00B22CA9">
        <w:rPr>
          <w:rFonts w:ascii="Times New Roman" w:hAnsi="Times New Roman" w:cs="Times New Roman"/>
          <w:sz w:val="24"/>
          <w:szCs w:val="24"/>
        </w:rPr>
        <w:t xml:space="preserve"> En</w:t>
      </w:r>
      <w:r w:rsidR="00B34F40" w:rsidRPr="00B22CA9">
        <w:rPr>
          <w:rFonts w:ascii="Times New Roman" w:hAnsi="Times New Roman" w:cs="Times New Roman"/>
          <w:sz w:val="24"/>
          <w:szCs w:val="24"/>
        </w:rPr>
        <w:t xml:space="preserve"> P. </w:t>
      </w:r>
      <w:proofErr w:type="spellStart"/>
      <w:r w:rsidR="00B34F40" w:rsidRPr="00B22CA9">
        <w:rPr>
          <w:rFonts w:ascii="Times New Roman" w:hAnsi="Times New Roman" w:cs="Times New Roman"/>
          <w:sz w:val="24"/>
          <w:szCs w:val="24"/>
        </w:rPr>
        <w:t>Cardonnel</w:t>
      </w:r>
      <w:proofErr w:type="spellEnd"/>
      <w:r w:rsidR="00B34F40" w:rsidRPr="00B22CA9">
        <w:rPr>
          <w:rFonts w:ascii="Times New Roman" w:hAnsi="Times New Roman" w:cs="Times New Roman"/>
          <w:sz w:val="24"/>
          <w:szCs w:val="24"/>
        </w:rPr>
        <w:t>, A. Rosas y N. Wahl (eds</w:t>
      </w:r>
      <w:r w:rsidR="005D3632" w:rsidRPr="00B22CA9">
        <w:rPr>
          <w:rFonts w:ascii="Times New Roman" w:hAnsi="Times New Roman" w:cs="Times New Roman"/>
          <w:sz w:val="24"/>
          <w:szCs w:val="24"/>
        </w:rPr>
        <w:t>.</w:t>
      </w:r>
      <w:r w:rsidR="00B34F40" w:rsidRPr="00B22CA9">
        <w:rPr>
          <w:rFonts w:ascii="Times New Roman" w:hAnsi="Times New Roman" w:cs="Times New Roman"/>
          <w:sz w:val="24"/>
          <w:szCs w:val="24"/>
        </w:rPr>
        <w:t>)</w:t>
      </w:r>
      <w:r w:rsidR="005D3632" w:rsidRPr="00B22CA9">
        <w:rPr>
          <w:rFonts w:ascii="Times New Roman" w:hAnsi="Times New Roman" w:cs="Times New Roman"/>
          <w:sz w:val="24"/>
          <w:szCs w:val="24"/>
        </w:rPr>
        <w:t>.</w:t>
      </w:r>
      <w:r w:rsidRPr="00B22CA9">
        <w:rPr>
          <w:rFonts w:ascii="Times New Roman" w:hAnsi="Times New Roman" w:cs="Times New Roman"/>
          <w:sz w:val="24"/>
          <w:szCs w:val="24"/>
        </w:rPr>
        <w:t xml:space="preserve"> </w:t>
      </w:r>
      <w:proofErr w:type="spellStart"/>
      <w:r w:rsidRPr="00B22CA9">
        <w:rPr>
          <w:rFonts w:ascii="Times New Roman" w:hAnsi="Times New Roman" w:cs="Times New Roman"/>
          <w:i/>
          <w:sz w:val="24"/>
          <w:szCs w:val="24"/>
        </w:rPr>
        <w:t>Constitutionalising</w:t>
      </w:r>
      <w:proofErr w:type="spellEnd"/>
      <w:r w:rsidRPr="00B22CA9">
        <w:rPr>
          <w:rFonts w:ascii="Times New Roman" w:hAnsi="Times New Roman" w:cs="Times New Roman"/>
          <w:i/>
          <w:sz w:val="24"/>
          <w:szCs w:val="24"/>
        </w:rPr>
        <w:t xml:space="preserve"> the EU Judicial System. Essays in </w:t>
      </w:r>
      <w:proofErr w:type="spellStart"/>
      <w:r w:rsidRPr="00B22CA9">
        <w:rPr>
          <w:rFonts w:ascii="Times New Roman" w:hAnsi="Times New Roman" w:cs="Times New Roman"/>
          <w:i/>
          <w:sz w:val="24"/>
          <w:szCs w:val="24"/>
        </w:rPr>
        <w:t>Honour</w:t>
      </w:r>
      <w:proofErr w:type="spellEnd"/>
      <w:r w:rsidRPr="00B22CA9">
        <w:rPr>
          <w:rFonts w:ascii="Times New Roman" w:hAnsi="Times New Roman" w:cs="Times New Roman"/>
          <w:i/>
          <w:sz w:val="24"/>
          <w:szCs w:val="24"/>
        </w:rPr>
        <w:t xml:space="preserve"> of </w:t>
      </w:r>
      <w:proofErr w:type="spellStart"/>
      <w:r w:rsidRPr="00B22CA9">
        <w:rPr>
          <w:rFonts w:ascii="Times New Roman" w:hAnsi="Times New Roman" w:cs="Times New Roman"/>
          <w:i/>
          <w:sz w:val="24"/>
          <w:szCs w:val="24"/>
        </w:rPr>
        <w:t>Pernilla</w:t>
      </w:r>
      <w:proofErr w:type="spellEnd"/>
      <w:r w:rsidRPr="00B22CA9">
        <w:rPr>
          <w:rFonts w:ascii="Times New Roman" w:hAnsi="Times New Roman" w:cs="Times New Roman"/>
          <w:i/>
          <w:sz w:val="24"/>
          <w:szCs w:val="24"/>
        </w:rPr>
        <w:t xml:space="preserve"> </w:t>
      </w:r>
      <w:proofErr w:type="spellStart"/>
      <w:r w:rsidRPr="00B22CA9">
        <w:rPr>
          <w:rFonts w:ascii="Times New Roman" w:hAnsi="Times New Roman" w:cs="Times New Roman"/>
          <w:i/>
          <w:sz w:val="24"/>
          <w:szCs w:val="24"/>
        </w:rPr>
        <w:t>Lindh</w:t>
      </w:r>
      <w:proofErr w:type="spellEnd"/>
      <w:r w:rsidR="00752A9D" w:rsidRPr="00B22CA9">
        <w:rPr>
          <w:rFonts w:ascii="Times New Roman" w:hAnsi="Times New Roman" w:cs="Times New Roman"/>
          <w:sz w:val="24"/>
          <w:szCs w:val="24"/>
        </w:rPr>
        <w:t xml:space="preserve"> (pp. 291-294).</w:t>
      </w:r>
      <w:r w:rsidRPr="00B22CA9">
        <w:rPr>
          <w:rFonts w:ascii="Times New Roman" w:hAnsi="Times New Roman" w:cs="Times New Roman"/>
          <w:sz w:val="24"/>
          <w:szCs w:val="24"/>
        </w:rPr>
        <w:t xml:space="preserve"> </w:t>
      </w:r>
      <w:r w:rsidR="005D3632" w:rsidRPr="00B22CA9">
        <w:rPr>
          <w:rFonts w:ascii="Times New Roman" w:hAnsi="Times New Roman" w:cs="Times New Roman"/>
          <w:sz w:val="24"/>
          <w:szCs w:val="24"/>
        </w:rPr>
        <w:t xml:space="preserve">Oxford: </w:t>
      </w:r>
      <w:r w:rsidRPr="00B22CA9">
        <w:rPr>
          <w:rFonts w:ascii="Times New Roman" w:hAnsi="Times New Roman" w:cs="Times New Roman"/>
          <w:sz w:val="24"/>
          <w:szCs w:val="24"/>
        </w:rPr>
        <w:t>Hart Publi</w:t>
      </w:r>
      <w:r w:rsidR="00752A9D" w:rsidRPr="00B22CA9">
        <w:rPr>
          <w:rFonts w:ascii="Times New Roman" w:hAnsi="Times New Roman" w:cs="Times New Roman"/>
          <w:sz w:val="24"/>
          <w:szCs w:val="24"/>
        </w:rPr>
        <w:t>shing.</w:t>
      </w:r>
    </w:p>
    <w:p w:rsidR="000E2FC3" w:rsidRPr="00B22CA9" w:rsidRDefault="000E2FC3" w:rsidP="007F11DF">
      <w:pPr>
        <w:spacing w:line="240" w:lineRule="auto"/>
        <w:jc w:val="both"/>
        <w:rPr>
          <w:rFonts w:ascii="Times New Roman" w:hAnsi="Times New Roman" w:cs="Times New Roman"/>
          <w:sz w:val="24"/>
          <w:szCs w:val="24"/>
        </w:rPr>
      </w:pPr>
      <w:proofErr w:type="spellStart"/>
      <w:r w:rsidRPr="00B22CA9">
        <w:rPr>
          <w:rFonts w:ascii="Times New Roman" w:hAnsi="Times New Roman" w:cs="Times New Roman"/>
          <w:sz w:val="24"/>
          <w:szCs w:val="24"/>
        </w:rPr>
        <w:lastRenderedPageBreak/>
        <w:t>Knook</w:t>
      </w:r>
      <w:proofErr w:type="spellEnd"/>
      <w:r w:rsidRPr="00B22CA9">
        <w:rPr>
          <w:rFonts w:ascii="Times New Roman" w:hAnsi="Times New Roman" w:cs="Times New Roman"/>
          <w:sz w:val="24"/>
          <w:szCs w:val="24"/>
        </w:rPr>
        <w:t xml:space="preserve">, A. (2005). The Court, the Charter and the Vertical Division of Powers in the European Union. </w:t>
      </w:r>
      <w:r w:rsidRPr="00B22CA9">
        <w:rPr>
          <w:rFonts w:ascii="Times New Roman" w:hAnsi="Times New Roman" w:cs="Times New Roman"/>
          <w:i/>
          <w:sz w:val="24"/>
          <w:szCs w:val="24"/>
        </w:rPr>
        <w:t xml:space="preserve">Common Market Law Review, </w:t>
      </w:r>
      <w:r w:rsidRPr="00B22CA9">
        <w:rPr>
          <w:rFonts w:ascii="Times New Roman" w:hAnsi="Times New Roman" w:cs="Times New Roman"/>
          <w:sz w:val="24"/>
          <w:szCs w:val="24"/>
        </w:rPr>
        <w:t xml:space="preserve">42, 367-398.  </w:t>
      </w:r>
    </w:p>
    <w:p w:rsidR="00FD5B17" w:rsidRPr="00B22CA9" w:rsidRDefault="00FD5B17" w:rsidP="007F11DF">
      <w:pPr>
        <w:spacing w:line="240" w:lineRule="auto"/>
        <w:jc w:val="both"/>
        <w:rPr>
          <w:rFonts w:ascii="Times New Roman" w:hAnsi="Times New Roman" w:cs="Times New Roman"/>
          <w:sz w:val="24"/>
          <w:szCs w:val="24"/>
        </w:rPr>
      </w:pPr>
      <w:proofErr w:type="spellStart"/>
      <w:r w:rsidRPr="00B22CA9">
        <w:rPr>
          <w:rFonts w:ascii="Times New Roman" w:hAnsi="Times New Roman" w:cs="Times New Roman"/>
          <w:sz w:val="24"/>
          <w:szCs w:val="24"/>
        </w:rPr>
        <w:t>Koops</w:t>
      </w:r>
      <w:proofErr w:type="spellEnd"/>
      <w:r w:rsidRPr="00B22CA9">
        <w:rPr>
          <w:rFonts w:ascii="Times New Roman" w:hAnsi="Times New Roman" w:cs="Times New Roman"/>
          <w:sz w:val="24"/>
          <w:szCs w:val="24"/>
        </w:rPr>
        <w:t xml:space="preserve">, C. E. (2014). </w:t>
      </w:r>
      <w:r w:rsidRPr="00B22CA9">
        <w:rPr>
          <w:rFonts w:ascii="Times New Roman" w:hAnsi="Times New Roman" w:cs="Times New Roman"/>
          <w:i/>
          <w:iCs/>
          <w:sz w:val="24"/>
          <w:szCs w:val="24"/>
        </w:rPr>
        <w:t>Contemplating compliance: European compliance mechanisms in international perspective</w:t>
      </w:r>
      <w:r w:rsidRPr="00B22CA9">
        <w:rPr>
          <w:rFonts w:ascii="Times New Roman" w:hAnsi="Times New Roman" w:cs="Times New Roman"/>
          <w:sz w:val="24"/>
          <w:szCs w:val="24"/>
        </w:rPr>
        <w:t xml:space="preserve">. </w:t>
      </w:r>
      <w:proofErr w:type="spellStart"/>
      <w:r w:rsidRPr="00B22CA9">
        <w:rPr>
          <w:rFonts w:ascii="Times New Roman" w:hAnsi="Times New Roman" w:cs="Times New Roman"/>
          <w:sz w:val="24"/>
          <w:szCs w:val="24"/>
        </w:rPr>
        <w:t>Disponible</w:t>
      </w:r>
      <w:proofErr w:type="spellEnd"/>
      <w:r w:rsidRPr="00B22CA9">
        <w:rPr>
          <w:rFonts w:ascii="Times New Roman" w:hAnsi="Times New Roman" w:cs="Times New Roman"/>
          <w:sz w:val="24"/>
          <w:szCs w:val="24"/>
        </w:rPr>
        <w:t xml:space="preserve"> en: </w:t>
      </w:r>
      <w:hyperlink r:id="rId14" w:history="1">
        <w:r w:rsidR="00D93935" w:rsidRPr="00B22CA9">
          <w:rPr>
            <w:rStyle w:val="Hipervnculo"/>
            <w:rFonts w:ascii="Times New Roman" w:hAnsi="Times New Roman" w:cs="Times New Roman"/>
            <w:color w:val="auto"/>
            <w:sz w:val="24"/>
            <w:szCs w:val="24"/>
          </w:rPr>
          <w:t>http://hdl.handle.net/11245/1.412682</w:t>
        </w:r>
      </w:hyperlink>
      <w:r w:rsidR="00D93935" w:rsidRPr="00B22CA9">
        <w:rPr>
          <w:rFonts w:ascii="Times New Roman" w:hAnsi="Times New Roman" w:cs="Times New Roman"/>
          <w:sz w:val="24"/>
          <w:szCs w:val="24"/>
        </w:rPr>
        <w:t xml:space="preserve"> </w:t>
      </w:r>
      <w:r w:rsidRPr="00B22CA9">
        <w:rPr>
          <w:rStyle w:val="Hipervnculo"/>
          <w:rFonts w:ascii="Times New Roman" w:hAnsi="Times New Roman" w:cs="Times New Roman"/>
          <w:color w:val="auto"/>
          <w:sz w:val="24"/>
          <w:szCs w:val="24"/>
        </w:rPr>
        <w:t>.</w:t>
      </w:r>
    </w:p>
    <w:p w:rsidR="00D10461" w:rsidRPr="00B22CA9" w:rsidRDefault="00D10461" w:rsidP="0070075D">
      <w:pPr>
        <w:spacing w:line="240" w:lineRule="auto"/>
        <w:jc w:val="both"/>
        <w:rPr>
          <w:rFonts w:ascii="Times New Roman" w:hAnsi="Times New Roman" w:cs="Times New Roman"/>
          <w:sz w:val="24"/>
          <w:szCs w:val="24"/>
        </w:rPr>
      </w:pPr>
      <w:proofErr w:type="spellStart"/>
      <w:r w:rsidRPr="00B22CA9">
        <w:rPr>
          <w:rFonts w:ascii="Times New Roman" w:hAnsi="Times New Roman" w:cs="Times New Roman"/>
          <w:sz w:val="24"/>
          <w:szCs w:val="24"/>
        </w:rPr>
        <w:t>Lenaerts</w:t>
      </w:r>
      <w:proofErr w:type="spellEnd"/>
      <w:r w:rsidRPr="00B22CA9">
        <w:rPr>
          <w:rFonts w:ascii="Times New Roman" w:hAnsi="Times New Roman" w:cs="Times New Roman"/>
          <w:sz w:val="24"/>
          <w:szCs w:val="24"/>
        </w:rPr>
        <w:t xml:space="preserve">, K. (2012). Exploring the Limits of the EU Charter of Fundamental Rights. </w:t>
      </w:r>
      <w:r w:rsidRPr="00B22CA9">
        <w:rPr>
          <w:rFonts w:ascii="Times New Roman" w:hAnsi="Times New Roman" w:cs="Times New Roman"/>
          <w:i/>
          <w:sz w:val="24"/>
          <w:szCs w:val="24"/>
        </w:rPr>
        <w:t>European Constitutional Law Review</w:t>
      </w:r>
      <w:r w:rsidRPr="00B22CA9">
        <w:rPr>
          <w:rFonts w:ascii="Times New Roman" w:hAnsi="Times New Roman" w:cs="Times New Roman"/>
          <w:iCs/>
          <w:sz w:val="24"/>
          <w:szCs w:val="24"/>
        </w:rPr>
        <w:t xml:space="preserve">, </w:t>
      </w:r>
      <w:r w:rsidRPr="00B22CA9">
        <w:rPr>
          <w:rFonts w:ascii="Times New Roman" w:hAnsi="Times New Roman" w:cs="Times New Roman"/>
          <w:sz w:val="24"/>
          <w:szCs w:val="24"/>
        </w:rPr>
        <w:t>375-403.</w:t>
      </w:r>
      <w:r w:rsidR="009B5330" w:rsidRPr="00B22CA9">
        <w:rPr>
          <w:rFonts w:ascii="Times New Roman" w:hAnsi="Times New Roman" w:cs="Times New Roman"/>
          <w:sz w:val="24"/>
          <w:szCs w:val="24"/>
        </w:rPr>
        <w:t xml:space="preserve"> https://doi.org/10.1017/S1574019612000260.</w:t>
      </w:r>
    </w:p>
    <w:p w:rsidR="00EB71A7" w:rsidRPr="00B22CA9" w:rsidRDefault="00EB71A7" w:rsidP="007F11DF">
      <w:pPr>
        <w:spacing w:line="240" w:lineRule="auto"/>
        <w:jc w:val="both"/>
        <w:rPr>
          <w:rFonts w:ascii="Times New Roman" w:hAnsi="Times New Roman" w:cs="Times New Roman"/>
          <w:sz w:val="24"/>
          <w:szCs w:val="24"/>
          <w:lang w:val="fr-FR"/>
        </w:rPr>
      </w:pPr>
      <w:proofErr w:type="spellStart"/>
      <w:r w:rsidRPr="00B22CA9">
        <w:rPr>
          <w:rFonts w:ascii="Times New Roman" w:hAnsi="Times New Roman" w:cs="Times New Roman"/>
          <w:sz w:val="24"/>
          <w:szCs w:val="24"/>
        </w:rPr>
        <w:t>Lindholm</w:t>
      </w:r>
      <w:proofErr w:type="spellEnd"/>
      <w:r w:rsidRPr="00B22CA9">
        <w:rPr>
          <w:rFonts w:ascii="Times New Roman" w:hAnsi="Times New Roman" w:cs="Times New Roman"/>
          <w:sz w:val="24"/>
          <w:szCs w:val="24"/>
        </w:rPr>
        <w:t>, J. (2007). S</w:t>
      </w:r>
      <w:r w:rsidRPr="00B22CA9">
        <w:rPr>
          <w:rFonts w:ascii="Times New Roman" w:hAnsi="Times New Roman" w:cs="Times New Roman"/>
          <w:i/>
          <w:iCs/>
          <w:sz w:val="24"/>
          <w:szCs w:val="24"/>
        </w:rPr>
        <w:t>tate Procedure and Union Rights A Comparison of the European Union and the United States</w:t>
      </w:r>
      <w:r w:rsidRPr="00B22CA9">
        <w:rPr>
          <w:rFonts w:ascii="Times New Roman" w:hAnsi="Times New Roman" w:cs="Times New Roman"/>
          <w:sz w:val="24"/>
          <w:szCs w:val="24"/>
        </w:rPr>
        <w:t xml:space="preserve">. </w:t>
      </w:r>
      <w:r w:rsidRPr="00B22CA9">
        <w:rPr>
          <w:rFonts w:ascii="Times New Roman" w:hAnsi="Times New Roman" w:cs="Times New Roman"/>
          <w:sz w:val="24"/>
          <w:szCs w:val="24"/>
          <w:lang w:val="fr-FR"/>
        </w:rPr>
        <w:t xml:space="preserve">Uppsala: </w:t>
      </w:r>
      <w:proofErr w:type="spellStart"/>
      <w:r w:rsidRPr="00B22CA9">
        <w:rPr>
          <w:rFonts w:ascii="Times New Roman" w:hAnsi="Times New Roman" w:cs="Times New Roman"/>
          <w:sz w:val="24"/>
          <w:szCs w:val="24"/>
          <w:lang w:val="fr-FR"/>
        </w:rPr>
        <w:t>Iustus</w:t>
      </w:r>
      <w:proofErr w:type="spellEnd"/>
      <w:r w:rsidRPr="00B22CA9">
        <w:rPr>
          <w:rFonts w:ascii="Times New Roman" w:hAnsi="Times New Roman" w:cs="Times New Roman"/>
          <w:sz w:val="24"/>
          <w:szCs w:val="24"/>
          <w:lang w:val="fr-FR"/>
        </w:rPr>
        <w:t xml:space="preserve"> </w:t>
      </w:r>
      <w:proofErr w:type="spellStart"/>
      <w:r w:rsidRPr="00B22CA9">
        <w:rPr>
          <w:rFonts w:ascii="Times New Roman" w:hAnsi="Times New Roman" w:cs="Times New Roman"/>
          <w:sz w:val="24"/>
          <w:szCs w:val="24"/>
          <w:lang w:val="fr-FR"/>
        </w:rPr>
        <w:t>Förlag</w:t>
      </w:r>
      <w:proofErr w:type="spellEnd"/>
      <w:r w:rsidRPr="00B22CA9">
        <w:rPr>
          <w:rFonts w:ascii="Times New Roman" w:hAnsi="Times New Roman" w:cs="Times New Roman"/>
          <w:sz w:val="24"/>
          <w:szCs w:val="24"/>
          <w:lang w:val="fr-FR"/>
        </w:rPr>
        <w:t>.</w:t>
      </w:r>
    </w:p>
    <w:p w:rsidR="00BE7358" w:rsidRPr="00B22CA9" w:rsidRDefault="00BE7358" w:rsidP="007F11DF">
      <w:pPr>
        <w:spacing w:line="240" w:lineRule="auto"/>
        <w:jc w:val="both"/>
        <w:rPr>
          <w:rFonts w:ascii="Times New Roman" w:hAnsi="Times New Roman" w:cs="Times New Roman"/>
          <w:sz w:val="24"/>
          <w:szCs w:val="24"/>
          <w:lang w:val="es-ES"/>
        </w:rPr>
      </w:pPr>
      <w:r w:rsidRPr="00B22CA9">
        <w:rPr>
          <w:rFonts w:ascii="Times New Roman" w:hAnsi="Times New Roman" w:cs="Times New Roman"/>
          <w:sz w:val="24"/>
          <w:szCs w:val="24"/>
          <w:lang w:val="fr-FR"/>
        </w:rPr>
        <w:t xml:space="preserve">Materne, T. (2012). </w:t>
      </w:r>
      <w:r w:rsidRPr="00B22CA9">
        <w:rPr>
          <w:rFonts w:ascii="Times New Roman" w:hAnsi="Times New Roman" w:cs="Times New Roman"/>
          <w:i/>
          <w:iCs/>
          <w:sz w:val="24"/>
          <w:szCs w:val="24"/>
          <w:lang w:val="fr-FR"/>
        </w:rPr>
        <w:t>La procédure en manquement D’État. Guide à la lumière de la jurisprudence de la Cour de Justice de l’Union Européenne</w:t>
      </w:r>
      <w:r w:rsidRPr="00B22CA9">
        <w:rPr>
          <w:rFonts w:ascii="Times New Roman" w:hAnsi="Times New Roman" w:cs="Times New Roman"/>
          <w:sz w:val="24"/>
          <w:szCs w:val="24"/>
          <w:lang w:val="fr-FR"/>
        </w:rPr>
        <w:t xml:space="preserve">. </w:t>
      </w:r>
      <w:r w:rsidRPr="00B22CA9">
        <w:rPr>
          <w:rFonts w:ascii="Times New Roman" w:hAnsi="Times New Roman" w:cs="Times New Roman"/>
          <w:sz w:val="24"/>
          <w:szCs w:val="24"/>
          <w:lang w:val="es-ES"/>
        </w:rPr>
        <w:t xml:space="preserve">Bruselas: </w:t>
      </w:r>
      <w:proofErr w:type="spellStart"/>
      <w:r w:rsidRPr="00B22CA9">
        <w:rPr>
          <w:rFonts w:ascii="Times New Roman" w:hAnsi="Times New Roman" w:cs="Times New Roman"/>
          <w:sz w:val="24"/>
          <w:szCs w:val="24"/>
          <w:lang w:val="es-ES"/>
        </w:rPr>
        <w:t>Larcier</w:t>
      </w:r>
      <w:proofErr w:type="spellEnd"/>
      <w:r w:rsidRPr="00B22CA9">
        <w:rPr>
          <w:rFonts w:ascii="Times New Roman" w:hAnsi="Times New Roman" w:cs="Times New Roman"/>
          <w:sz w:val="24"/>
          <w:szCs w:val="24"/>
          <w:lang w:val="es-ES"/>
        </w:rPr>
        <w:t xml:space="preserve">.  </w:t>
      </w:r>
    </w:p>
    <w:p w:rsidR="000F30DE" w:rsidRPr="00B22CA9" w:rsidRDefault="000F30DE" w:rsidP="007F11DF">
      <w:pPr>
        <w:spacing w:line="240" w:lineRule="auto"/>
        <w:jc w:val="both"/>
        <w:rPr>
          <w:rFonts w:ascii="Times New Roman" w:hAnsi="Times New Roman" w:cs="Times New Roman"/>
          <w:sz w:val="24"/>
          <w:szCs w:val="24"/>
        </w:rPr>
      </w:pPr>
      <w:r w:rsidRPr="00B22CA9">
        <w:rPr>
          <w:rFonts w:ascii="Times New Roman" w:hAnsi="Times New Roman" w:cs="Times New Roman"/>
          <w:sz w:val="24"/>
          <w:szCs w:val="24"/>
          <w:lang w:val="es-ES"/>
        </w:rPr>
        <w:t>Núñez Lozano, M. C. (2017). La eficacia de las sentencias del Tribunal de Justicia de la Unión Europea sobre los Actos Nacionales. En VV. AA. </w:t>
      </w:r>
      <w:r w:rsidRPr="00B22CA9">
        <w:rPr>
          <w:rStyle w:val="titulo"/>
          <w:rFonts w:ascii="Times New Roman" w:hAnsi="Times New Roman" w:cs="Times New Roman"/>
          <w:i/>
          <w:iCs/>
          <w:sz w:val="24"/>
          <w:szCs w:val="24"/>
          <w:bdr w:val="none" w:sz="0" w:space="0" w:color="auto" w:frame="1"/>
          <w:lang w:val="es-ES"/>
        </w:rPr>
        <w:t>El alcance de la invalidez de la actuación administrativa</w:t>
      </w:r>
      <w:r w:rsidRPr="00B22CA9">
        <w:rPr>
          <w:rStyle w:val="separador"/>
          <w:rFonts w:ascii="Times New Roman" w:hAnsi="Times New Roman" w:cs="Times New Roman"/>
          <w:i/>
          <w:iCs/>
          <w:sz w:val="24"/>
          <w:szCs w:val="24"/>
          <w:bdr w:val="none" w:sz="0" w:space="0" w:color="auto" w:frame="1"/>
          <w:lang w:val="es-ES"/>
        </w:rPr>
        <w:t>: </w:t>
      </w:r>
      <w:r w:rsidRPr="00B22CA9">
        <w:rPr>
          <w:rStyle w:val="subtitulo"/>
          <w:rFonts w:ascii="Times New Roman" w:hAnsi="Times New Roman" w:cs="Times New Roman"/>
          <w:i/>
          <w:iCs/>
          <w:sz w:val="24"/>
          <w:szCs w:val="24"/>
          <w:bdr w:val="none" w:sz="0" w:space="0" w:color="auto" w:frame="1"/>
          <w:lang w:val="es-ES"/>
        </w:rPr>
        <w:t>Actas del XII Congreso de la Asociación Española de Profesores de Derecho Administrativo</w:t>
      </w:r>
      <w:r w:rsidRPr="00B22CA9">
        <w:rPr>
          <w:rStyle w:val="subtitulo"/>
          <w:rFonts w:ascii="Times New Roman" w:hAnsi="Times New Roman" w:cs="Times New Roman"/>
          <w:sz w:val="24"/>
          <w:szCs w:val="24"/>
          <w:bdr w:val="none" w:sz="0" w:space="0" w:color="auto" w:frame="1"/>
          <w:lang w:val="es-ES"/>
        </w:rPr>
        <w:t xml:space="preserve">. </w:t>
      </w:r>
      <w:r w:rsidRPr="00B22CA9">
        <w:rPr>
          <w:rStyle w:val="subtitulo"/>
          <w:rFonts w:ascii="Times New Roman" w:hAnsi="Times New Roman" w:cs="Times New Roman"/>
          <w:sz w:val="24"/>
          <w:szCs w:val="24"/>
          <w:bdr w:val="none" w:sz="0" w:space="0" w:color="auto" w:frame="1"/>
        </w:rPr>
        <w:t xml:space="preserve">(pp. </w:t>
      </w:r>
      <w:r w:rsidRPr="00B22CA9">
        <w:rPr>
          <w:rFonts w:ascii="Times New Roman" w:hAnsi="Times New Roman" w:cs="Times New Roman"/>
          <w:sz w:val="24"/>
          <w:szCs w:val="24"/>
        </w:rPr>
        <w:t>549-614).</w:t>
      </w:r>
      <w:r w:rsidRPr="00B22CA9">
        <w:rPr>
          <w:rStyle w:val="subtitulo"/>
          <w:rFonts w:ascii="Times New Roman" w:hAnsi="Times New Roman" w:cs="Times New Roman"/>
          <w:sz w:val="24"/>
          <w:szCs w:val="24"/>
          <w:bdr w:val="none" w:sz="0" w:space="0" w:color="auto" w:frame="1"/>
        </w:rPr>
        <w:t xml:space="preserve"> Madrid: </w:t>
      </w:r>
      <w:proofErr w:type="spellStart"/>
      <w:r w:rsidRPr="00B22CA9">
        <w:rPr>
          <w:rStyle w:val="subtitulo"/>
          <w:rFonts w:ascii="Times New Roman" w:hAnsi="Times New Roman" w:cs="Times New Roman"/>
          <w:sz w:val="24"/>
          <w:szCs w:val="24"/>
          <w:bdr w:val="none" w:sz="0" w:space="0" w:color="auto" w:frame="1"/>
        </w:rPr>
        <w:t>Instituto</w:t>
      </w:r>
      <w:proofErr w:type="spellEnd"/>
      <w:r w:rsidRPr="00B22CA9">
        <w:rPr>
          <w:rStyle w:val="subtitulo"/>
          <w:rFonts w:ascii="Times New Roman" w:hAnsi="Times New Roman" w:cs="Times New Roman"/>
          <w:sz w:val="24"/>
          <w:szCs w:val="24"/>
          <w:bdr w:val="none" w:sz="0" w:space="0" w:color="auto" w:frame="1"/>
        </w:rPr>
        <w:t xml:space="preserve"> </w:t>
      </w:r>
      <w:proofErr w:type="spellStart"/>
      <w:r w:rsidRPr="00B22CA9">
        <w:rPr>
          <w:rStyle w:val="subtitulo"/>
          <w:rFonts w:ascii="Times New Roman" w:hAnsi="Times New Roman" w:cs="Times New Roman"/>
          <w:sz w:val="24"/>
          <w:szCs w:val="24"/>
          <w:bdr w:val="none" w:sz="0" w:space="0" w:color="auto" w:frame="1"/>
        </w:rPr>
        <w:t>Nacional</w:t>
      </w:r>
      <w:proofErr w:type="spellEnd"/>
      <w:r w:rsidRPr="00B22CA9">
        <w:rPr>
          <w:rStyle w:val="subtitulo"/>
          <w:rFonts w:ascii="Times New Roman" w:hAnsi="Times New Roman" w:cs="Times New Roman"/>
          <w:sz w:val="24"/>
          <w:szCs w:val="24"/>
          <w:bdr w:val="none" w:sz="0" w:space="0" w:color="auto" w:frame="1"/>
        </w:rPr>
        <w:t xml:space="preserve"> de </w:t>
      </w:r>
      <w:proofErr w:type="spellStart"/>
      <w:r w:rsidRPr="00B22CA9">
        <w:rPr>
          <w:rStyle w:val="subtitulo"/>
          <w:rFonts w:ascii="Times New Roman" w:hAnsi="Times New Roman" w:cs="Times New Roman"/>
          <w:sz w:val="24"/>
          <w:szCs w:val="24"/>
          <w:bdr w:val="none" w:sz="0" w:space="0" w:color="auto" w:frame="1"/>
        </w:rPr>
        <w:t>Administración</w:t>
      </w:r>
      <w:proofErr w:type="spellEnd"/>
      <w:r w:rsidRPr="00B22CA9">
        <w:rPr>
          <w:rStyle w:val="subtitulo"/>
          <w:rFonts w:ascii="Times New Roman" w:hAnsi="Times New Roman" w:cs="Times New Roman"/>
          <w:sz w:val="24"/>
          <w:szCs w:val="24"/>
          <w:bdr w:val="none" w:sz="0" w:space="0" w:color="auto" w:frame="1"/>
        </w:rPr>
        <w:t xml:space="preserve"> </w:t>
      </w:r>
      <w:proofErr w:type="spellStart"/>
      <w:r w:rsidRPr="00B22CA9">
        <w:rPr>
          <w:rStyle w:val="subtitulo"/>
          <w:rFonts w:ascii="Times New Roman" w:hAnsi="Times New Roman" w:cs="Times New Roman"/>
          <w:sz w:val="24"/>
          <w:szCs w:val="24"/>
          <w:bdr w:val="none" w:sz="0" w:space="0" w:color="auto" w:frame="1"/>
        </w:rPr>
        <w:t>Pública</w:t>
      </w:r>
      <w:proofErr w:type="spellEnd"/>
      <w:r w:rsidRPr="00B22CA9">
        <w:rPr>
          <w:rStyle w:val="subtitulo"/>
          <w:rFonts w:ascii="Times New Roman" w:hAnsi="Times New Roman" w:cs="Times New Roman"/>
          <w:sz w:val="24"/>
          <w:szCs w:val="24"/>
          <w:bdr w:val="none" w:sz="0" w:space="0" w:color="auto" w:frame="1"/>
        </w:rPr>
        <w:t>.</w:t>
      </w:r>
    </w:p>
    <w:p w:rsidR="00E75241" w:rsidRPr="00B22CA9" w:rsidRDefault="00E75241" w:rsidP="007F11DF">
      <w:pPr>
        <w:spacing w:line="240" w:lineRule="auto"/>
        <w:jc w:val="both"/>
        <w:rPr>
          <w:rFonts w:ascii="Times New Roman" w:hAnsi="Times New Roman" w:cs="Times New Roman"/>
          <w:sz w:val="24"/>
          <w:szCs w:val="24"/>
        </w:rPr>
      </w:pPr>
      <w:proofErr w:type="spellStart"/>
      <w:r w:rsidRPr="00B22CA9">
        <w:rPr>
          <w:rFonts w:ascii="Times New Roman" w:hAnsi="Times New Roman" w:cs="Times New Roman"/>
          <w:sz w:val="24"/>
          <w:szCs w:val="24"/>
        </w:rPr>
        <w:t>Palombella</w:t>
      </w:r>
      <w:proofErr w:type="spellEnd"/>
      <w:r w:rsidRPr="00B22CA9">
        <w:rPr>
          <w:rFonts w:ascii="Times New Roman" w:hAnsi="Times New Roman" w:cs="Times New Roman"/>
          <w:sz w:val="24"/>
          <w:szCs w:val="24"/>
        </w:rPr>
        <w:t xml:space="preserve">, G. (2016). Beyond Legality - Before Democracy: Rule of Law Caveats in the EU Two-Level System. </w:t>
      </w:r>
      <w:r w:rsidRPr="00B22CA9">
        <w:rPr>
          <w:rFonts w:ascii="Times New Roman" w:hAnsi="Times New Roman" w:cs="Times New Roman"/>
          <w:sz w:val="24"/>
          <w:szCs w:val="24"/>
          <w:lang w:val="es-ES"/>
        </w:rPr>
        <w:t xml:space="preserve">En </w:t>
      </w:r>
      <w:r w:rsidR="007B1E7E" w:rsidRPr="00B22CA9">
        <w:rPr>
          <w:rFonts w:ascii="Times New Roman" w:hAnsi="Times New Roman" w:cs="Times New Roman"/>
          <w:sz w:val="24"/>
          <w:szCs w:val="24"/>
          <w:lang w:val="es-ES"/>
        </w:rPr>
        <w:t xml:space="preserve">C. </w:t>
      </w:r>
      <w:proofErr w:type="spellStart"/>
      <w:r w:rsidR="007B1E7E" w:rsidRPr="00B22CA9">
        <w:rPr>
          <w:rFonts w:ascii="Times New Roman" w:hAnsi="Times New Roman" w:cs="Times New Roman"/>
          <w:sz w:val="24"/>
          <w:szCs w:val="24"/>
          <w:lang w:val="es-ES"/>
        </w:rPr>
        <w:t>Closa</w:t>
      </w:r>
      <w:proofErr w:type="spellEnd"/>
      <w:r w:rsidR="007B1E7E" w:rsidRPr="00B22CA9">
        <w:rPr>
          <w:rFonts w:ascii="Times New Roman" w:hAnsi="Times New Roman" w:cs="Times New Roman"/>
          <w:sz w:val="24"/>
          <w:szCs w:val="24"/>
          <w:lang w:val="es-ES"/>
        </w:rPr>
        <w:t xml:space="preserve">,  D. </w:t>
      </w:r>
      <w:proofErr w:type="spellStart"/>
      <w:r w:rsidR="007B1E7E" w:rsidRPr="00B22CA9">
        <w:rPr>
          <w:rFonts w:ascii="Times New Roman" w:hAnsi="Times New Roman" w:cs="Times New Roman"/>
          <w:sz w:val="24"/>
          <w:szCs w:val="24"/>
          <w:lang w:val="es-ES"/>
        </w:rPr>
        <w:t>Kochenov</w:t>
      </w:r>
      <w:proofErr w:type="spellEnd"/>
      <w:r w:rsidR="007B1E7E" w:rsidRPr="00B22CA9">
        <w:rPr>
          <w:rFonts w:ascii="Times New Roman" w:hAnsi="Times New Roman" w:cs="Times New Roman"/>
          <w:sz w:val="24"/>
          <w:szCs w:val="24"/>
          <w:lang w:val="es-ES"/>
        </w:rPr>
        <w:t xml:space="preserve">, y J. H. H. </w:t>
      </w:r>
      <w:proofErr w:type="spellStart"/>
      <w:r w:rsidR="007B1E7E" w:rsidRPr="00B22CA9">
        <w:rPr>
          <w:rFonts w:ascii="Times New Roman" w:hAnsi="Times New Roman" w:cs="Times New Roman"/>
          <w:sz w:val="24"/>
          <w:szCs w:val="24"/>
          <w:lang w:val="es-ES"/>
        </w:rPr>
        <w:t>Weiler</w:t>
      </w:r>
      <w:proofErr w:type="spellEnd"/>
      <w:r w:rsidR="007B1E7E" w:rsidRPr="00B22CA9">
        <w:rPr>
          <w:rFonts w:ascii="Times New Roman" w:hAnsi="Times New Roman" w:cs="Times New Roman"/>
          <w:sz w:val="24"/>
          <w:szCs w:val="24"/>
          <w:lang w:val="es-ES"/>
        </w:rPr>
        <w:t xml:space="preserve">. </w:t>
      </w:r>
      <w:r w:rsidRPr="00B22CA9">
        <w:rPr>
          <w:rFonts w:ascii="Times New Roman" w:hAnsi="Times New Roman" w:cs="Times New Roman"/>
          <w:i/>
          <w:iCs/>
          <w:sz w:val="24"/>
          <w:szCs w:val="24"/>
        </w:rPr>
        <w:t>Reinforcing rule of law oversight in the European Union</w:t>
      </w:r>
      <w:r w:rsidRPr="00B22CA9">
        <w:rPr>
          <w:rFonts w:ascii="Times New Roman" w:hAnsi="Times New Roman" w:cs="Times New Roman"/>
          <w:sz w:val="24"/>
          <w:szCs w:val="24"/>
        </w:rPr>
        <w:t xml:space="preserve"> (pp. 36-58). Cambridge: Cambridge University Press.</w:t>
      </w:r>
    </w:p>
    <w:p w:rsidR="00914813" w:rsidRPr="00B22CA9" w:rsidRDefault="00914813" w:rsidP="007F11DF">
      <w:pPr>
        <w:spacing w:line="240" w:lineRule="auto"/>
        <w:jc w:val="both"/>
        <w:rPr>
          <w:rFonts w:ascii="Times New Roman" w:hAnsi="Times New Roman" w:cs="Times New Roman"/>
          <w:sz w:val="24"/>
          <w:szCs w:val="24"/>
          <w:lang w:val="es-ES"/>
        </w:rPr>
      </w:pPr>
      <w:proofErr w:type="spellStart"/>
      <w:r w:rsidRPr="00B22CA9">
        <w:rPr>
          <w:rFonts w:ascii="Times New Roman" w:hAnsi="Times New Roman" w:cs="Times New Roman"/>
          <w:sz w:val="24"/>
          <w:szCs w:val="24"/>
        </w:rPr>
        <w:t>Pech</w:t>
      </w:r>
      <w:proofErr w:type="spellEnd"/>
      <w:r w:rsidRPr="00B22CA9">
        <w:rPr>
          <w:rFonts w:ascii="Times New Roman" w:hAnsi="Times New Roman" w:cs="Times New Roman"/>
          <w:sz w:val="24"/>
          <w:szCs w:val="24"/>
        </w:rPr>
        <w:t xml:space="preserve">, L. y </w:t>
      </w:r>
      <w:proofErr w:type="spellStart"/>
      <w:r w:rsidRPr="00B22CA9">
        <w:rPr>
          <w:rFonts w:ascii="Times New Roman" w:hAnsi="Times New Roman" w:cs="Times New Roman"/>
          <w:sz w:val="24"/>
          <w:szCs w:val="24"/>
        </w:rPr>
        <w:t>Planton</w:t>
      </w:r>
      <w:proofErr w:type="spellEnd"/>
      <w:r w:rsidRPr="00B22CA9">
        <w:rPr>
          <w:rFonts w:ascii="Times New Roman" w:hAnsi="Times New Roman" w:cs="Times New Roman"/>
          <w:sz w:val="24"/>
          <w:szCs w:val="24"/>
        </w:rPr>
        <w:t>, S. (2018).</w:t>
      </w:r>
      <w:r w:rsidRPr="00B22CA9">
        <w:rPr>
          <w:rFonts w:ascii="Times New Roman" w:hAnsi="Times New Roman" w:cs="Times New Roman"/>
        </w:rPr>
        <w:t xml:space="preserve"> </w:t>
      </w:r>
      <w:r w:rsidRPr="00B22CA9">
        <w:rPr>
          <w:rFonts w:ascii="Times New Roman" w:hAnsi="Times New Roman" w:cs="Times New Roman"/>
          <w:i/>
          <w:sz w:val="24"/>
          <w:szCs w:val="24"/>
        </w:rPr>
        <w:t xml:space="preserve">Rule of Law backsliding in the EU: The Court of Justice to the rescue? Some thoughts on the ECJ ruling in </w:t>
      </w:r>
      <w:proofErr w:type="spellStart"/>
      <w:r w:rsidRPr="00B22CA9">
        <w:rPr>
          <w:rFonts w:ascii="Times New Roman" w:hAnsi="Times New Roman" w:cs="Times New Roman"/>
          <w:i/>
          <w:sz w:val="24"/>
          <w:szCs w:val="24"/>
        </w:rPr>
        <w:t>Associação</w:t>
      </w:r>
      <w:proofErr w:type="spellEnd"/>
      <w:r w:rsidRPr="00B22CA9">
        <w:rPr>
          <w:rFonts w:ascii="Times New Roman" w:hAnsi="Times New Roman" w:cs="Times New Roman"/>
          <w:i/>
          <w:sz w:val="24"/>
          <w:szCs w:val="24"/>
        </w:rPr>
        <w:t xml:space="preserve"> </w:t>
      </w:r>
      <w:proofErr w:type="spellStart"/>
      <w:r w:rsidRPr="00B22CA9">
        <w:rPr>
          <w:rFonts w:ascii="Times New Roman" w:hAnsi="Times New Roman" w:cs="Times New Roman"/>
          <w:i/>
          <w:sz w:val="24"/>
          <w:szCs w:val="24"/>
        </w:rPr>
        <w:t>Sindical</w:t>
      </w:r>
      <w:proofErr w:type="spellEnd"/>
      <w:r w:rsidRPr="00B22CA9">
        <w:rPr>
          <w:rFonts w:ascii="Times New Roman" w:hAnsi="Times New Roman" w:cs="Times New Roman"/>
          <w:i/>
          <w:sz w:val="24"/>
          <w:szCs w:val="24"/>
        </w:rPr>
        <w:t xml:space="preserve"> dos </w:t>
      </w:r>
      <w:proofErr w:type="spellStart"/>
      <w:r w:rsidRPr="00B22CA9">
        <w:rPr>
          <w:rFonts w:ascii="Times New Roman" w:hAnsi="Times New Roman" w:cs="Times New Roman"/>
          <w:i/>
          <w:sz w:val="24"/>
          <w:szCs w:val="24"/>
        </w:rPr>
        <w:t>Juízes</w:t>
      </w:r>
      <w:proofErr w:type="spellEnd"/>
      <w:r w:rsidRPr="00B22CA9">
        <w:rPr>
          <w:rFonts w:ascii="Times New Roman" w:hAnsi="Times New Roman" w:cs="Times New Roman"/>
          <w:i/>
          <w:sz w:val="24"/>
          <w:szCs w:val="24"/>
        </w:rPr>
        <w:t xml:space="preserve"> </w:t>
      </w:r>
      <w:proofErr w:type="spellStart"/>
      <w:r w:rsidRPr="00B22CA9">
        <w:rPr>
          <w:rFonts w:ascii="Times New Roman" w:hAnsi="Times New Roman" w:cs="Times New Roman"/>
          <w:i/>
          <w:sz w:val="24"/>
          <w:szCs w:val="24"/>
        </w:rPr>
        <w:t>Portugueses</w:t>
      </w:r>
      <w:proofErr w:type="spellEnd"/>
      <w:r w:rsidRPr="00B22CA9">
        <w:rPr>
          <w:rFonts w:ascii="Times New Roman" w:hAnsi="Times New Roman" w:cs="Times New Roman"/>
          <w:sz w:val="24"/>
          <w:szCs w:val="24"/>
        </w:rPr>
        <w:t xml:space="preserve"> </w:t>
      </w:r>
      <w:r w:rsidRPr="00B22CA9">
        <w:rPr>
          <w:rFonts w:ascii="Times New Roman" w:eastAsia="SimSun" w:hAnsi="Times New Roman" w:cs="Times New Roman"/>
          <w:sz w:val="24"/>
          <w:szCs w:val="24"/>
        </w:rPr>
        <w:t>[</w:t>
      </w:r>
      <w:r w:rsidRPr="00B22CA9">
        <w:rPr>
          <w:rFonts w:ascii="Times New Roman" w:hAnsi="Times New Roman" w:cs="Times New Roman"/>
          <w:sz w:val="24"/>
          <w:szCs w:val="24"/>
        </w:rPr>
        <w:t>blog</w:t>
      </w:r>
      <w:r w:rsidRPr="00B22CA9">
        <w:rPr>
          <w:rFonts w:ascii="Times New Roman" w:eastAsia="SimSun" w:hAnsi="Times New Roman" w:cs="Times New Roman"/>
          <w:sz w:val="24"/>
          <w:szCs w:val="24"/>
        </w:rPr>
        <w:t>]</w:t>
      </w:r>
      <w:r w:rsidRPr="00B22CA9">
        <w:rPr>
          <w:rFonts w:ascii="Times New Roman" w:hAnsi="Times New Roman" w:cs="Times New Roman"/>
          <w:sz w:val="24"/>
          <w:szCs w:val="24"/>
        </w:rPr>
        <w:t xml:space="preserve"> 13</w:t>
      </w:r>
      <w:r w:rsidR="00061499" w:rsidRPr="00B22CA9">
        <w:rPr>
          <w:rFonts w:ascii="Times New Roman" w:hAnsi="Times New Roman" w:cs="Times New Roman"/>
          <w:sz w:val="24"/>
          <w:szCs w:val="24"/>
        </w:rPr>
        <w:t>-</w:t>
      </w:r>
      <w:r w:rsidRPr="00B22CA9">
        <w:rPr>
          <w:rFonts w:ascii="Times New Roman" w:hAnsi="Times New Roman" w:cs="Times New Roman"/>
          <w:sz w:val="24"/>
          <w:szCs w:val="24"/>
        </w:rPr>
        <w:t>03</w:t>
      </w:r>
      <w:r w:rsidR="00061499" w:rsidRPr="00B22CA9">
        <w:rPr>
          <w:rFonts w:ascii="Times New Roman" w:hAnsi="Times New Roman" w:cs="Times New Roman"/>
          <w:sz w:val="24"/>
          <w:szCs w:val="24"/>
        </w:rPr>
        <w:t>-</w:t>
      </w:r>
      <w:r w:rsidRPr="00B22CA9">
        <w:rPr>
          <w:rFonts w:ascii="Times New Roman" w:hAnsi="Times New Roman" w:cs="Times New Roman"/>
          <w:sz w:val="24"/>
          <w:szCs w:val="24"/>
        </w:rPr>
        <w:t xml:space="preserve">2018. </w:t>
      </w:r>
      <w:r w:rsidRPr="00B22CA9">
        <w:rPr>
          <w:rFonts w:ascii="Times New Roman" w:hAnsi="Times New Roman" w:cs="Times New Roman"/>
          <w:sz w:val="24"/>
          <w:szCs w:val="24"/>
          <w:lang w:val="es-ES"/>
        </w:rPr>
        <w:t xml:space="preserve">Disponible en </w:t>
      </w:r>
      <w:hyperlink r:id="rId15" w:history="1">
        <w:r w:rsidRPr="00B22CA9">
          <w:rPr>
            <w:rStyle w:val="Hipervnculo"/>
            <w:rFonts w:ascii="Times New Roman" w:hAnsi="Times New Roman" w:cs="Times New Roman"/>
            <w:color w:val="auto"/>
            <w:sz w:val="24"/>
            <w:szCs w:val="24"/>
            <w:lang w:val="es-ES"/>
          </w:rPr>
          <w:t>http://eulawanalysis.blogspot.com/2018/03/rule-of-law-backsliding-in-eu-court-of.html</w:t>
        </w:r>
      </w:hyperlink>
      <w:r w:rsidRPr="00B22CA9">
        <w:rPr>
          <w:rFonts w:ascii="Times New Roman" w:hAnsi="Times New Roman" w:cs="Times New Roman"/>
          <w:sz w:val="24"/>
          <w:szCs w:val="24"/>
          <w:lang w:val="es-ES"/>
        </w:rPr>
        <w:t>.</w:t>
      </w:r>
    </w:p>
    <w:p w:rsidR="00986C71" w:rsidRPr="00B22CA9" w:rsidRDefault="00914813" w:rsidP="007F11DF">
      <w:pPr>
        <w:spacing w:line="240" w:lineRule="auto"/>
        <w:jc w:val="both"/>
        <w:rPr>
          <w:rFonts w:ascii="Times New Roman" w:hAnsi="Times New Roman" w:cs="Times New Roman"/>
          <w:sz w:val="24"/>
          <w:szCs w:val="24"/>
        </w:rPr>
      </w:pPr>
      <w:r w:rsidRPr="00B22CA9">
        <w:rPr>
          <w:rFonts w:ascii="Times New Roman" w:hAnsi="Times New Roman" w:cs="Times New Roman"/>
          <w:sz w:val="24"/>
          <w:szCs w:val="24"/>
          <w:lang w:val="es-ES"/>
        </w:rPr>
        <w:t xml:space="preserve"> </w:t>
      </w:r>
      <w:proofErr w:type="spellStart"/>
      <w:r w:rsidR="00986C71" w:rsidRPr="00B22CA9">
        <w:rPr>
          <w:rFonts w:ascii="Times New Roman" w:hAnsi="Times New Roman" w:cs="Times New Roman"/>
          <w:sz w:val="24"/>
          <w:szCs w:val="24"/>
        </w:rPr>
        <w:t>Pescatore</w:t>
      </w:r>
      <w:proofErr w:type="spellEnd"/>
      <w:r w:rsidR="00986C71" w:rsidRPr="00B22CA9">
        <w:rPr>
          <w:rFonts w:ascii="Times New Roman" w:hAnsi="Times New Roman" w:cs="Times New Roman"/>
          <w:sz w:val="24"/>
          <w:szCs w:val="24"/>
        </w:rPr>
        <w:t xml:space="preserve">, P. (2015). The Doctrine of "Direct effect": an infant disease of Community Law. </w:t>
      </w:r>
      <w:r w:rsidR="00986C71" w:rsidRPr="00B22CA9">
        <w:rPr>
          <w:rFonts w:ascii="Times New Roman" w:hAnsi="Times New Roman" w:cs="Times New Roman"/>
          <w:i/>
          <w:iCs/>
          <w:sz w:val="24"/>
          <w:szCs w:val="24"/>
        </w:rPr>
        <w:t>European Law Review</w:t>
      </w:r>
      <w:r w:rsidR="00986C71" w:rsidRPr="00B22CA9">
        <w:rPr>
          <w:rFonts w:ascii="Times New Roman" w:hAnsi="Times New Roman" w:cs="Times New Roman"/>
          <w:sz w:val="24"/>
          <w:szCs w:val="24"/>
        </w:rPr>
        <w:t>, 40/2, 135-153.</w:t>
      </w:r>
    </w:p>
    <w:p w:rsidR="00FE2A33" w:rsidRPr="00B22CA9" w:rsidRDefault="00FE2A33" w:rsidP="007F11DF">
      <w:pPr>
        <w:spacing w:line="240" w:lineRule="auto"/>
        <w:jc w:val="both"/>
        <w:rPr>
          <w:rFonts w:ascii="Times New Roman" w:hAnsi="Times New Roman" w:cs="Times New Roman"/>
          <w:sz w:val="24"/>
          <w:szCs w:val="24"/>
        </w:rPr>
      </w:pPr>
      <w:r w:rsidRPr="00B22CA9">
        <w:rPr>
          <w:rFonts w:ascii="Times New Roman" w:hAnsi="Times New Roman" w:cs="Times New Roman"/>
          <w:sz w:val="24"/>
          <w:szCs w:val="24"/>
        </w:rPr>
        <w:t xml:space="preserve">Peters, A. (2011). Soft law as a new mode of governance. </w:t>
      </w:r>
      <w:r w:rsidRPr="00B22CA9">
        <w:rPr>
          <w:rFonts w:ascii="Times New Roman" w:hAnsi="Times New Roman" w:cs="Times New Roman"/>
          <w:sz w:val="24"/>
          <w:szCs w:val="24"/>
          <w:lang w:val="de-DE"/>
        </w:rPr>
        <w:t xml:space="preserve">En U. Diedrichs, W. Reiners y W. Wessels (eds.). </w:t>
      </w:r>
      <w:r w:rsidRPr="00B22CA9">
        <w:rPr>
          <w:rFonts w:ascii="Times New Roman" w:hAnsi="Times New Roman" w:cs="Times New Roman"/>
          <w:i/>
          <w:sz w:val="24"/>
          <w:szCs w:val="24"/>
        </w:rPr>
        <w:t xml:space="preserve">The </w:t>
      </w:r>
      <w:proofErr w:type="spellStart"/>
      <w:r w:rsidRPr="00B22CA9">
        <w:rPr>
          <w:rFonts w:ascii="Times New Roman" w:hAnsi="Times New Roman" w:cs="Times New Roman"/>
          <w:i/>
          <w:sz w:val="24"/>
          <w:szCs w:val="24"/>
        </w:rPr>
        <w:t>Dynamisc</w:t>
      </w:r>
      <w:proofErr w:type="spellEnd"/>
      <w:r w:rsidRPr="00B22CA9">
        <w:rPr>
          <w:rFonts w:ascii="Times New Roman" w:hAnsi="Times New Roman" w:cs="Times New Roman"/>
          <w:i/>
          <w:sz w:val="24"/>
          <w:szCs w:val="24"/>
        </w:rPr>
        <w:t xml:space="preserve"> of Change in EU Governance</w:t>
      </w:r>
      <w:r w:rsidRPr="00B22CA9">
        <w:rPr>
          <w:rFonts w:ascii="Times New Roman" w:hAnsi="Times New Roman" w:cs="Times New Roman"/>
          <w:sz w:val="24"/>
          <w:szCs w:val="24"/>
        </w:rPr>
        <w:t xml:space="preserve">. (pp. 21-51). </w:t>
      </w:r>
      <w:proofErr w:type="spellStart"/>
      <w:r w:rsidRPr="00B22CA9">
        <w:rPr>
          <w:rFonts w:ascii="Times New Roman" w:hAnsi="Times New Roman" w:cs="Times New Roman"/>
          <w:sz w:val="24"/>
          <w:szCs w:val="24"/>
        </w:rPr>
        <w:t>Cheltehham</w:t>
      </w:r>
      <w:proofErr w:type="spellEnd"/>
      <w:r w:rsidRPr="00B22CA9">
        <w:rPr>
          <w:rFonts w:ascii="Times New Roman" w:hAnsi="Times New Roman" w:cs="Times New Roman"/>
          <w:sz w:val="24"/>
          <w:szCs w:val="24"/>
        </w:rPr>
        <w:t>: Edward Elgar.</w:t>
      </w:r>
    </w:p>
    <w:p w:rsidR="003C7AE7" w:rsidRPr="00B22CA9" w:rsidRDefault="003C7AE7" w:rsidP="007F11DF">
      <w:pPr>
        <w:spacing w:line="240" w:lineRule="auto"/>
        <w:jc w:val="both"/>
        <w:rPr>
          <w:rFonts w:ascii="Times New Roman" w:hAnsi="Times New Roman" w:cs="Times New Roman"/>
          <w:sz w:val="24"/>
          <w:szCs w:val="24"/>
          <w:lang w:val="es-ES"/>
        </w:rPr>
      </w:pPr>
      <w:proofErr w:type="spellStart"/>
      <w:r w:rsidRPr="00B22CA9">
        <w:rPr>
          <w:rFonts w:ascii="Times New Roman" w:hAnsi="Times New Roman" w:cs="Times New Roman"/>
          <w:sz w:val="24"/>
          <w:szCs w:val="24"/>
          <w:lang w:val="es-ES"/>
        </w:rPr>
        <w:t>Pizzorusso</w:t>
      </w:r>
      <w:proofErr w:type="spellEnd"/>
      <w:r w:rsidRPr="00B22CA9">
        <w:rPr>
          <w:rFonts w:ascii="Times New Roman" w:hAnsi="Times New Roman" w:cs="Times New Roman"/>
          <w:sz w:val="24"/>
          <w:szCs w:val="24"/>
          <w:lang w:val="es-ES"/>
        </w:rPr>
        <w:t xml:space="preserve">, A. (2002). </w:t>
      </w:r>
      <w:proofErr w:type="spellStart"/>
      <w:r w:rsidRPr="00B22CA9">
        <w:rPr>
          <w:rFonts w:ascii="Times New Roman" w:hAnsi="Times New Roman" w:cs="Times New Roman"/>
          <w:i/>
          <w:sz w:val="24"/>
          <w:szCs w:val="24"/>
          <w:lang w:val="es-ES"/>
        </w:rPr>
        <w:t>Il</w:t>
      </w:r>
      <w:proofErr w:type="spellEnd"/>
      <w:r w:rsidRPr="00B22CA9">
        <w:rPr>
          <w:rFonts w:ascii="Times New Roman" w:hAnsi="Times New Roman" w:cs="Times New Roman"/>
          <w:i/>
          <w:sz w:val="24"/>
          <w:szCs w:val="24"/>
          <w:lang w:val="es-ES"/>
        </w:rPr>
        <w:t xml:space="preserve"> patrimonio </w:t>
      </w:r>
      <w:proofErr w:type="spellStart"/>
      <w:r w:rsidRPr="00B22CA9">
        <w:rPr>
          <w:rFonts w:ascii="Times New Roman" w:hAnsi="Times New Roman" w:cs="Times New Roman"/>
          <w:i/>
          <w:sz w:val="24"/>
          <w:szCs w:val="24"/>
          <w:lang w:val="es-ES"/>
        </w:rPr>
        <w:t>costituzionale</w:t>
      </w:r>
      <w:proofErr w:type="spellEnd"/>
      <w:r w:rsidRPr="00B22CA9">
        <w:rPr>
          <w:rFonts w:ascii="Times New Roman" w:hAnsi="Times New Roman" w:cs="Times New Roman"/>
          <w:i/>
          <w:sz w:val="24"/>
          <w:szCs w:val="24"/>
          <w:lang w:val="es-ES"/>
        </w:rPr>
        <w:t xml:space="preserve"> europeo</w:t>
      </w:r>
      <w:r w:rsidRPr="00B22CA9">
        <w:rPr>
          <w:rFonts w:ascii="Times New Roman" w:hAnsi="Times New Roman" w:cs="Times New Roman"/>
          <w:sz w:val="24"/>
          <w:szCs w:val="24"/>
          <w:lang w:val="es-ES"/>
        </w:rPr>
        <w:t xml:space="preserve">. Bolonia: </w:t>
      </w:r>
      <w:proofErr w:type="spellStart"/>
      <w:r w:rsidRPr="00B22CA9">
        <w:rPr>
          <w:rFonts w:ascii="Times New Roman" w:hAnsi="Times New Roman" w:cs="Times New Roman"/>
          <w:sz w:val="24"/>
          <w:szCs w:val="24"/>
          <w:lang w:val="es-ES"/>
        </w:rPr>
        <w:t>Il</w:t>
      </w:r>
      <w:proofErr w:type="spellEnd"/>
      <w:r w:rsidRPr="00B22CA9">
        <w:rPr>
          <w:rFonts w:ascii="Times New Roman" w:hAnsi="Times New Roman" w:cs="Times New Roman"/>
          <w:sz w:val="24"/>
          <w:szCs w:val="24"/>
          <w:lang w:val="es-ES"/>
        </w:rPr>
        <w:t xml:space="preserve"> </w:t>
      </w:r>
      <w:proofErr w:type="spellStart"/>
      <w:r w:rsidRPr="00B22CA9">
        <w:rPr>
          <w:rFonts w:ascii="Times New Roman" w:hAnsi="Times New Roman" w:cs="Times New Roman"/>
          <w:sz w:val="24"/>
          <w:szCs w:val="24"/>
          <w:lang w:val="es-ES"/>
        </w:rPr>
        <w:t>Mulino</w:t>
      </w:r>
      <w:proofErr w:type="spellEnd"/>
      <w:r w:rsidRPr="00B22CA9">
        <w:rPr>
          <w:rFonts w:ascii="Times New Roman" w:hAnsi="Times New Roman" w:cs="Times New Roman"/>
          <w:sz w:val="24"/>
          <w:szCs w:val="24"/>
          <w:lang w:val="es-ES"/>
        </w:rPr>
        <w:t xml:space="preserve">. </w:t>
      </w:r>
    </w:p>
    <w:p w:rsidR="00581843" w:rsidRPr="00B22CA9" w:rsidRDefault="00581843" w:rsidP="007F11DF">
      <w:pPr>
        <w:spacing w:line="240" w:lineRule="auto"/>
        <w:jc w:val="both"/>
        <w:rPr>
          <w:rFonts w:ascii="Times New Roman" w:hAnsi="Times New Roman" w:cs="Times New Roman"/>
          <w:sz w:val="24"/>
          <w:szCs w:val="24"/>
          <w:lang w:val="de-DE"/>
        </w:rPr>
      </w:pPr>
      <w:proofErr w:type="spellStart"/>
      <w:r w:rsidRPr="00B22CA9">
        <w:rPr>
          <w:rFonts w:ascii="Times New Roman" w:hAnsi="Times New Roman" w:cs="Times New Roman"/>
          <w:sz w:val="24"/>
          <w:szCs w:val="24"/>
          <w:lang w:val="es-ES"/>
        </w:rPr>
        <w:t>Poiares</w:t>
      </w:r>
      <w:proofErr w:type="spellEnd"/>
      <w:r w:rsidRPr="00B22CA9">
        <w:rPr>
          <w:rFonts w:ascii="Times New Roman" w:hAnsi="Times New Roman" w:cs="Times New Roman"/>
          <w:sz w:val="24"/>
          <w:szCs w:val="24"/>
          <w:lang w:val="es-ES"/>
        </w:rPr>
        <w:t xml:space="preserve"> Maduro, M. (2004). </w:t>
      </w:r>
      <w:r w:rsidRPr="00B22CA9">
        <w:rPr>
          <w:rFonts w:ascii="Times New Roman" w:hAnsi="Times New Roman" w:cs="Times New Roman"/>
          <w:sz w:val="24"/>
          <w:szCs w:val="24"/>
        </w:rPr>
        <w:t xml:space="preserve">How constitutional can the European Union be? The tension between </w:t>
      </w:r>
      <w:proofErr w:type="spellStart"/>
      <w:r w:rsidRPr="00B22CA9">
        <w:rPr>
          <w:rFonts w:ascii="Times New Roman" w:hAnsi="Times New Roman" w:cs="Times New Roman"/>
          <w:sz w:val="24"/>
          <w:szCs w:val="24"/>
        </w:rPr>
        <w:t>intergovernamentalism</w:t>
      </w:r>
      <w:proofErr w:type="spellEnd"/>
      <w:r w:rsidRPr="00B22CA9">
        <w:rPr>
          <w:rFonts w:ascii="Times New Roman" w:hAnsi="Times New Roman" w:cs="Times New Roman"/>
          <w:sz w:val="24"/>
          <w:szCs w:val="24"/>
        </w:rPr>
        <w:t xml:space="preserve"> and constitutionalism in the European Union. </w:t>
      </w:r>
      <w:r w:rsidRPr="00B22CA9">
        <w:rPr>
          <w:rFonts w:ascii="Times New Roman" w:hAnsi="Times New Roman" w:cs="Times New Roman"/>
          <w:sz w:val="24"/>
          <w:szCs w:val="24"/>
          <w:lang w:val="de-DE"/>
        </w:rPr>
        <w:t xml:space="preserve">En J. H. H. Weiler y C. L. Eisgruber (eds). </w:t>
      </w:r>
      <w:r w:rsidRPr="00B22CA9">
        <w:rPr>
          <w:rFonts w:ascii="Times New Roman" w:hAnsi="Times New Roman" w:cs="Times New Roman"/>
          <w:i/>
          <w:iCs/>
          <w:sz w:val="24"/>
          <w:szCs w:val="24"/>
          <w:lang w:val="de-DE"/>
        </w:rPr>
        <w:t>Altneuland: The EU Constitution in a Contextual Perspective, Jean Monnet Working Paper Series,</w:t>
      </w:r>
      <w:r w:rsidRPr="00B22CA9">
        <w:rPr>
          <w:rFonts w:ascii="Times New Roman" w:hAnsi="Times New Roman" w:cs="Times New Roman"/>
          <w:sz w:val="24"/>
          <w:szCs w:val="24"/>
          <w:lang w:val="de-DE"/>
        </w:rPr>
        <w:t xml:space="preserve"> 5/04</w:t>
      </w:r>
      <w:r w:rsidR="00F048C1" w:rsidRPr="00B22CA9">
        <w:rPr>
          <w:rFonts w:ascii="Times New Roman" w:hAnsi="Times New Roman" w:cs="Times New Roman"/>
          <w:sz w:val="24"/>
          <w:szCs w:val="24"/>
          <w:lang w:val="de-DE"/>
        </w:rPr>
        <w:t>.</w:t>
      </w:r>
      <w:r w:rsidRPr="00B22CA9">
        <w:rPr>
          <w:rFonts w:ascii="Times New Roman" w:hAnsi="Times New Roman" w:cs="Times New Roman"/>
          <w:sz w:val="24"/>
          <w:szCs w:val="24"/>
          <w:lang w:val="de-DE"/>
        </w:rPr>
        <w:t xml:space="preserve"> Disponible en </w:t>
      </w:r>
      <w:r w:rsidR="004E3D35" w:rsidRPr="00B22CA9">
        <w:rPr>
          <w:rFonts w:ascii="Times New Roman" w:hAnsi="Times New Roman" w:cs="Times New Roman"/>
        </w:rPr>
        <w:fldChar w:fldCharType="begin"/>
      </w:r>
      <w:r w:rsidR="004E3D35" w:rsidRPr="00B22CA9">
        <w:rPr>
          <w:rFonts w:ascii="Times New Roman" w:hAnsi="Times New Roman" w:cs="Times New Roman"/>
        </w:rPr>
        <w:instrText xml:space="preserve"> HYPERLINK "http://www.jeanmonnetprogram.org" </w:instrText>
      </w:r>
      <w:r w:rsidR="004E3D35" w:rsidRPr="00B22CA9">
        <w:rPr>
          <w:rFonts w:ascii="Times New Roman" w:hAnsi="Times New Roman" w:cs="Times New Roman"/>
        </w:rPr>
        <w:fldChar w:fldCharType="separate"/>
      </w:r>
      <w:r w:rsidR="00D93935" w:rsidRPr="00B22CA9">
        <w:rPr>
          <w:rStyle w:val="Hipervnculo"/>
          <w:rFonts w:ascii="Times New Roman" w:hAnsi="Times New Roman" w:cs="Times New Roman"/>
          <w:color w:val="auto"/>
          <w:sz w:val="24"/>
          <w:szCs w:val="24"/>
          <w:lang w:val="de-DE"/>
        </w:rPr>
        <w:t>http://www.jeanmonnetprogram.org</w:t>
      </w:r>
      <w:r w:rsidR="004E3D35" w:rsidRPr="00B22CA9">
        <w:rPr>
          <w:rStyle w:val="Hipervnculo"/>
          <w:rFonts w:ascii="Times New Roman" w:hAnsi="Times New Roman" w:cs="Times New Roman"/>
          <w:color w:val="auto"/>
          <w:sz w:val="24"/>
          <w:szCs w:val="24"/>
          <w:lang w:val="de-DE"/>
        </w:rPr>
        <w:fldChar w:fldCharType="end"/>
      </w:r>
      <w:r w:rsidR="00D93935" w:rsidRPr="00B22CA9">
        <w:rPr>
          <w:rFonts w:ascii="Times New Roman" w:hAnsi="Times New Roman" w:cs="Times New Roman"/>
          <w:sz w:val="24"/>
          <w:szCs w:val="24"/>
          <w:lang w:val="de-DE"/>
        </w:rPr>
        <w:t xml:space="preserve"> </w:t>
      </w:r>
      <w:r w:rsidRPr="00B22CA9">
        <w:rPr>
          <w:rFonts w:ascii="Times New Roman" w:hAnsi="Times New Roman" w:cs="Times New Roman"/>
          <w:sz w:val="24"/>
          <w:szCs w:val="24"/>
          <w:lang w:val="de-DE"/>
        </w:rPr>
        <w:t>.</w:t>
      </w:r>
    </w:p>
    <w:p w:rsidR="00E076FE" w:rsidRPr="00B22CA9" w:rsidRDefault="00E076FE" w:rsidP="007F11DF">
      <w:pPr>
        <w:spacing w:line="240" w:lineRule="auto"/>
        <w:jc w:val="both"/>
        <w:rPr>
          <w:rFonts w:ascii="Times New Roman" w:hAnsi="Times New Roman" w:cs="Times New Roman"/>
          <w:sz w:val="24"/>
          <w:szCs w:val="24"/>
          <w:lang w:val="de-DE"/>
        </w:rPr>
      </w:pPr>
      <w:r w:rsidRPr="00B22CA9">
        <w:rPr>
          <w:rFonts w:ascii="Times New Roman" w:hAnsi="Times New Roman" w:cs="Times New Roman"/>
          <w:sz w:val="24"/>
          <w:szCs w:val="24"/>
          <w:lang w:val="de-DE"/>
        </w:rPr>
        <w:t xml:space="preserve">Prete, L. (2017). </w:t>
      </w:r>
      <w:r w:rsidRPr="00B22CA9">
        <w:rPr>
          <w:rFonts w:ascii="Times New Roman" w:hAnsi="Times New Roman" w:cs="Times New Roman"/>
          <w:i/>
          <w:sz w:val="24"/>
          <w:szCs w:val="24"/>
          <w:lang w:val="de-DE"/>
        </w:rPr>
        <w:t>Infringement Proceedings in EU Law</w:t>
      </w:r>
      <w:r w:rsidRPr="00B22CA9">
        <w:rPr>
          <w:rFonts w:ascii="Times New Roman" w:hAnsi="Times New Roman" w:cs="Times New Roman"/>
          <w:sz w:val="24"/>
          <w:szCs w:val="24"/>
          <w:lang w:val="de-DE"/>
        </w:rPr>
        <w:t>. Alphen aan den Rijn: Kluwer.</w:t>
      </w:r>
    </w:p>
    <w:p w:rsidR="002B7114" w:rsidRPr="00B22CA9" w:rsidRDefault="002B7114" w:rsidP="007F11DF">
      <w:pPr>
        <w:spacing w:line="240" w:lineRule="auto"/>
        <w:jc w:val="both"/>
        <w:rPr>
          <w:rFonts w:ascii="Times New Roman" w:hAnsi="Times New Roman" w:cs="Times New Roman"/>
          <w:sz w:val="24"/>
          <w:szCs w:val="24"/>
        </w:rPr>
      </w:pPr>
      <w:r w:rsidRPr="00B22CA9">
        <w:rPr>
          <w:rFonts w:ascii="Times New Roman" w:hAnsi="Times New Roman" w:cs="Times New Roman"/>
          <w:sz w:val="24"/>
          <w:szCs w:val="24"/>
          <w:lang w:val="de-DE"/>
        </w:rPr>
        <w:t xml:space="preserve">Prete, L. y Smulders B. (2010). </w:t>
      </w:r>
      <w:r w:rsidRPr="00B22CA9">
        <w:rPr>
          <w:rFonts w:ascii="Times New Roman" w:hAnsi="Times New Roman" w:cs="Times New Roman"/>
          <w:sz w:val="24"/>
          <w:szCs w:val="24"/>
        </w:rPr>
        <w:t xml:space="preserve">The Coming of Age of Infringement Proceedings. </w:t>
      </w:r>
      <w:r w:rsidRPr="00B22CA9">
        <w:rPr>
          <w:rFonts w:ascii="Times New Roman" w:hAnsi="Times New Roman" w:cs="Times New Roman"/>
          <w:i/>
          <w:iCs/>
          <w:sz w:val="24"/>
          <w:szCs w:val="24"/>
        </w:rPr>
        <w:t>Common Market Law Review</w:t>
      </w:r>
      <w:r w:rsidRPr="00B22CA9">
        <w:rPr>
          <w:rFonts w:ascii="Times New Roman" w:hAnsi="Times New Roman" w:cs="Times New Roman"/>
          <w:sz w:val="24"/>
          <w:szCs w:val="24"/>
        </w:rPr>
        <w:t>, 47/1, 9–61.</w:t>
      </w:r>
    </w:p>
    <w:p w:rsidR="00CB0DC3" w:rsidRPr="00B22CA9" w:rsidRDefault="00CB0DC3" w:rsidP="007F11DF">
      <w:pPr>
        <w:spacing w:line="240" w:lineRule="auto"/>
        <w:jc w:val="both"/>
        <w:rPr>
          <w:rFonts w:ascii="Times New Roman" w:hAnsi="Times New Roman" w:cs="Times New Roman"/>
          <w:sz w:val="24"/>
          <w:szCs w:val="24"/>
        </w:rPr>
      </w:pPr>
      <w:r w:rsidRPr="00B22CA9">
        <w:rPr>
          <w:rFonts w:ascii="Times New Roman" w:hAnsi="Times New Roman" w:cs="Times New Roman"/>
          <w:sz w:val="24"/>
          <w:szCs w:val="24"/>
        </w:rPr>
        <w:lastRenderedPageBreak/>
        <w:t>Robin Olivier, S</w:t>
      </w:r>
      <w:r w:rsidR="002D14BC" w:rsidRPr="00B22CA9">
        <w:rPr>
          <w:rFonts w:ascii="Times New Roman" w:hAnsi="Times New Roman" w:cs="Times New Roman"/>
          <w:sz w:val="24"/>
          <w:szCs w:val="24"/>
        </w:rPr>
        <w:t>.</w:t>
      </w:r>
      <w:r w:rsidRPr="00B22CA9">
        <w:rPr>
          <w:rFonts w:ascii="Times New Roman" w:hAnsi="Times New Roman" w:cs="Times New Roman"/>
          <w:sz w:val="24"/>
          <w:szCs w:val="24"/>
        </w:rPr>
        <w:t xml:space="preserve"> (2014). The Evolution of Direct Effect in the EU: Stocktaking, Problems, Projections. </w:t>
      </w:r>
      <w:r w:rsidRPr="00B22CA9">
        <w:rPr>
          <w:rFonts w:ascii="Times New Roman" w:hAnsi="Times New Roman" w:cs="Times New Roman"/>
          <w:i/>
          <w:sz w:val="24"/>
          <w:szCs w:val="24"/>
        </w:rPr>
        <w:t xml:space="preserve">Jean Monnet Working Paper Series, </w:t>
      </w:r>
      <w:r w:rsidRPr="00B22CA9">
        <w:rPr>
          <w:rFonts w:ascii="Times New Roman" w:hAnsi="Times New Roman" w:cs="Times New Roman"/>
          <w:iCs/>
          <w:sz w:val="24"/>
          <w:szCs w:val="24"/>
        </w:rPr>
        <w:t>07/14</w:t>
      </w:r>
      <w:r w:rsidRPr="00B22CA9">
        <w:rPr>
          <w:rFonts w:ascii="Times New Roman" w:hAnsi="Times New Roman" w:cs="Times New Roman"/>
          <w:sz w:val="24"/>
          <w:szCs w:val="24"/>
        </w:rPr>
        <w:t xml:space="preserve">. </w:t>
      </w:r>
      <w:proofErr w:type="spellStart"/>
      <w:r w:rsidRPr="00B22CA9">
        <w:rPr>
          <w:rFonts w:ascii="Times New Roman" w:hAnsi="Times New Roman" w:cs="Times New Roman"/>
          <w:sz w:val="24"/>
          <w:szCs w:val="24"/>
        </w:rPr>
        <w:t>Disponible</w:t>
      </w:r>
      <w:proofErr w:type="spellEnd"/>
      <w:r w:rsidRPr="00B22CA9">
        <w:rPr>
          <w:rFonts w:ascii="Times New Roman" w:hAnsi="Times New Roman" w:cs="Times New Roman"/>
          <w:sz w:val="24"/>
          <w:szCs w:val="24"/>
        </w:rPr>
        <w:t xml:space="preserve"> en: </w:t>
      </w:r>
      <w:hyperlink r:id="rId16" w:history="1">
        <w:r w:rsidRPr="00B22CA9">
          <w:rPr>
            <w:rStyle w:val="Hipervnculo"/>
            <w:rFonts w:ascii="Times New Roman" w:hAnsi="Times New Roman" w:cs="Times New Roman"/>
            <w:color w:val="auto"/>
            <w:sz w:val="24"/>
            <w:szCs w:val="24"/>
          </w:rPr>
          <w:t>https://jeanmonnetprogram.org/</w:t>
        </w:r>
      </w:hyperlink>
      <w:r w:rsidRPr="00B22CA9">
        <w:rPr>
          <w:rStyle w:val="Hipervnculo"/>
          <w:rFonts w:ascii="Times New Roman" w:hAnsi="Times New Roman" w:cs="Times New Roman"/>
          <w:color w:val="auto"/>
          <w:sz w:val="24"/>
          <w:szCs w:val="24"/>
          <w:u w:val="none"/>
        </w:rPr>
        <w:t>.</w:t>
      </w:r>
    </w:p>
    <w:p w:rsidR="0036205F" w:rsidRPr="00B22CA9" w:rsidRDefault="0036205F" w:rsidP="007F11DF">
      <w:pPr>
        <w:spacing w:line="240" w:lineRule="auto"/>
        <w:jc w:val="both"/>
        <w:rPr>
          <w:rFonts w:ascii="Times New Roman" w:hAnsi="Times New Roman" w:cs="Times New Roman"/>
          <w:sz w:val="24"/>
          <w:szCs w:val="24"/>
          <w:lang w:val="es-ES"/>
        </w:rPr>
      </w:pPr>
      <w:r w:rsidRPr="00B22CA9">
        <w:rPr>
          <w:rFonts w:ascii="Times New Roman" w:hAnsi="Times New Roman" w:cs="Times New Roman"/>
          <w:sz w:val="24"/>
          <w:szCs w:val="24"/>
          <w:lang w:val="es-ES"/>
        </w:rPr>
        <w:t xml:space="preserve">Rodríguez Iglesias, G. C. y Baquero Cruz, J. (2006). Las funciones constitucionales del Tribunal de Justicia de la Unión Europea. </w:t>
      </w:r>
      <w:r w:rsidRPr="00B22CA9">
        <w:rPr>
          <w:rFonts w:ascii="Times New Roman" w:hAnsi="Times New Roman" w:cs="Times New Roman"/>
          <w:i/>
          <w:iCs/>
          <w:sz w:val="24"/>
          <w:szCs w:val="24"/>
          <w:lang w:val="es-ES"/>
        </w:rPr>
        <w:t>Fundamentos</w:t>
      </w:r>
      <w:r w:rsidRPr="00B22CA9">
        <w:rPr>
          <w:rFonts w:ascii="Times New Roman" w:hAnsi="Times New Roman" w:cs="Times New Roman"/>
          <w:sz w:val="24"/>
          <w:szCs w:val="24"/>
          <w:lang w:val="es-ES"/>
        </w:rPr>
        <w:t xml:space="preserve">, 4, 291-346. Disponible en </w:t>
      </w:r>
      <w:hyperlink r:id="rId17" w:history="1">
        <w:r w:rsidR="00D93935" w:rsidRPr="00B22CA9">
          <w:rPr>
            <w:rStyle w:val="Hipervnculo"/>
            <w:rFonts w:ascii="Times New Roman" w:hAnsi="Times New Roman" w:cs="Times New Roman"/>
            <w:color w:val="auto"/>
            <w:sz w:val="24"/>
            <w:szCs w:val="24"/>
            <w:lang w:val="es-ES"/>
          </w:rPr>
          <w:t>https://www.unioviedo.es/constitucional/fundamentos/Portada.html</w:t>
        </w:r>
      </w:hyperlink>
      <w:r w:rsidRPr="00B22CA9">
        <w:rPr>
          <w:rFonts w:ascii="Times New Roman" w:hAnsi="Times New Roman" w:cs="Times New Roman"/>
          <w:sz w:val="24"/>
          <w:szCs w:val="24"/>
          <w:lang w:val="es-ES"/>
        </w:rPr>
        <w:t>.</w:t>
      </w:r>
    </w:p>
    <w:p w:rsidR="00C42591" w:rsidRPr="00B22CA9" w:rsidRDefault="00C42591" w:rsidP="007F11DF">
      <w:pPr>
        <w:spacing w:line="240" w:lineRule="auto"/>
        <w:jc w:val="both"/>
        <w:rPr>
          <w:rFonts w:ascii="Times New Roman" w:hAnsi="Times New Roman" w:cs="Times New Roman"/>
          <w:sz w:val="24"/>
          <w:szCs w:val="24"/>
        </w:rPr>
      </w:pPr>
      <w:r w:rsidRPr="00B22CA9">
        <w:rPr>
          <w:rFonts w:ascii="Times New Roman" w:hAnsi="Times New Roman" w:cs="Times New Roman"/>
          <w:sz w:val="24"/>
          <w:szCs w:val="24"/>
        </w:rPr>
        <w:t xml:space="preserve">Rosas A. (2012). When is the Charter of Fundamental Rights Applicable at National Level?, </w:t>
      </w:r>
      <w:r w:rsidRPr="00B22CA9">
        <w:rPr>
          <w:rFonts w:ascii="Times New Roman" w:hAnsi="Times New Roman" w:cs="Times New Roman"/>
          <w:i/>
          <w:sz w:val="24"/>
          <w:szCs w:val="24"/>
        </w:rPr>
        <w:t>Jurisprudence</w:t>
      </w:r>
      <w:r w:rsidRPr="00B22CA9">
        <w:rPr>
          <w:rFonts w:ascii="Times New Roman" w:hAnsi="Times New Roman" w:cs="Times New Roman"/>
          <w:sz w:val="24"/>
          <w:szCs w:val="24"/>
        </w:rPr>
        <w:t xml:space="preserve">, 19, 1269-1288.  </w:t>
      </w:r>
    </w:p>
    <w:p w:rsidR="00E061F3" w:rsidRPr="00B22CA9" w:rsidRDefault="00E061F3" w:rsidP="007F11DF">
      <w:pPr>
        <w:spacing w:line="240" w:lineRule="auto"/>
        <w:jc w:val="both"/>
        <w:rPr>
          <w:rFonts w:ascii="Times New Roman" w:hAnsi="Times New Roman" w:cs="Times New Roman"/>
          <w:sz w:val="24"/>
          <w:szCs w:val="24"/>
          <w:lang w:val="es-ES_tradnl"/>
        </w:rPr>
      </w:pPr>
      <w:r w:rsidRPr="00B22CA9">
        <w:rPr>
          <w:rFonts w:ascii="Times New Roman" w:hAnsi="Times New Roman" w:cs="Times New Roman"/>
          <w:sz w:val="24"/>
          <w:szCs w:val="24"/>
          <w:lang w:val="es-ES"/>
        </w:rPr>
        <w:t xml:space="preserve">Rubio Llorente, F. (1992). Seis tesis sobre la jurisdicción constitucional en Europa. </w:t>
      </w:r>
      <w:r w:rsidRPr="00B22CA9">
        <w:rPr>
          <w:rFonts w:ascii="Times New Roman" w:hAnsi="Times New Roman" w:cs="Times New Roman"/>
          <w:i/>
          <w:iCs/>
          <w:sz w:val="24"/>
          <w:szCs w:val="24"/>
          <w:lang w:val="es-ES_tradnl"/>
        </w:rPr>
        <w:t>Revista Española de Derecho Constitucional</w:t>
      </w:r>
      <w:r w:rsidRPr="00B22CA9">
        <w:rPr>
          <w:rFonts w:ascii="Times New Roman" w:hAnsi="Times New Roman" w:cs="Times New Roman"/>
          <w:sz w:val="24"/>
          <w:szCs w:val="24"/>
          <w:lang w:val="es-ES_tradnl"/>
        </w:rPr>
        <w:t>, 35, 9-39.</w:t>
      </w:r>
    </w:p>
    <w:p w:rsidR="00255F59" w:rsidRPr="00B22CA9" w:rsidRDefault="00C4055E" w:rsidP="007F11DF">
      <w:pPr>
        <w:spacing w:line="240" w:lineRule="auto"/>
        <w:jc w:val="both"/>
        <w:rPr>
          <w:rFonts w:ascii="Times New Roman" w:hAnsi="Times New Roman" w:cs="Times New Roman"/>
          <w:sz w:val="24"/>
          <w:szCs w:val="24"/>
        </w:rPr>
      </w:pPr>
      <w:r w:rsidRPr="00B22CA9">
        <w:rPr>
          <w:rFonts w:ascii="Times New Roman" w:hAnsi="Times New Roman" w:cs="Times New Roman"/>
          <w:sz w:val="24"/>
          <w:szCs w:val="24"/>
          <w:lang w:val="es-ES"/>
        </w:rPr>
        <w:t>Sarmiento, D</w:t>
      </w:r>
      <w:r w:rsidR="002D14BC" w:rsidRPr="00B22CA9">
        <w:rPr>
          <w:rFonts w:ascii="Times New Roman" w:hAnsi="Times New Roman" w:cs="Times New Roman"/>
          <w:sz w:val="24"/>
          <w:szCs w:val="24"/>
          <w:lang w:val="es-ES"/>
        </w:rPr>
        <w:t>.</w:t>
      </w:r>
      <w:r w:rsidRPr="00B22CA9">
        <w:rPr>
          <w:rFonts w:ascii="Times New Roman" w:hAnsi="Times New Roman" w:cs="Times New Roman"/>
          <w:sz w:val="24"/>
          <w:szCs w:val="24"/>
          <w:lang w:val="es-ES"/>
        </w:rPr>
        <w:t xml:space="preserve"> (2013). </w:t>
      </w:r>
      <w:proofErr w:type="spellStart"/>
      <w:r w:rsidRPr="00B22CA9">
        <w:rPr>
          <w:rFonts w:ascii="Times New Roman" w:hAnsi="Times New Roman" w:cs="Times New Roman"/>
          <w:sz w:val="24"/>
          <w:szCs w:val="24"/>
          <w:lang w:val="es-ES"/>
        </w:rPr>
        <w:t>Who´s</w:t>
      </w:r>
      <w:proofErr w:type="spellEnd"/>
      <w:r w:rsidRPr="00B22CA9">
        <w:rPr>
          <w:rFonts w:ascii="Times New Roman" w:hAnsi="Times New Roman" w:cs="Times New Roman"/>
          <w:sz w:val="24"/>
          <w:szCs w:val="24"/>
          <w:lang w:val="es-ES"/>
        </w:rPr>
        <w:t xml:space="preserve"> </w:t>
      </w:r>
      <w:proofErr w:type="spellStart"/>
      <w:r w:rsidRPr="00B22CA9">
        <w:rPr>
          <w:rFonts w:ascii="Times New Roman" w:hAnsi="Times New Roman" w:cs="Times New Roman"/>
          <w:sz w:val="24"/>
          <w:szCs w:val="24"/>
          <w:lang w:val="es-ES"/>
        </w:rPr>
        <w:t>afraid</w:t>
      </w:r>
      <w:proofErr w:type="spellEnd"/>
      <w:r w:rsidRPr="00B22CA9">
        <w:rPr>
          <w:rFonts w:ascii="Times New Roman" w:hAnsi="Times New Roman" w:cs="Times New Roman"/>
          <w:sz w:val="24"/>
          <w:szCs w:val="24"/>
          <w:lang w:val="es-ES"/>
        </w:rPr>
        <w:t xml:space="preserve"> of </w:t>
      </w:r>
      <w:proofErr w:type="spellStart"/>
      <w:r w:rsidRPr="00B22CA9">
        <w:rPr>
          <w:rFonts w:ascii="Times New Roman" w:hAnsi="Times New Roman" w:cs="Times New Roman"/>
          <w:sz w:val="24"/>
          <w:szCs w:val="24"/>
          <w:lang w:val="es-ES"/>
        </w:rPr>
        <w:t>the</w:t>
      </w:r>
      <w:proofErr w:type="spellEnd"/>
      <w:r w:rsidRPr="00B22CA9">
        <w:rPr>
          <w:rFonts w:ascii="Times New Roman" w:hAnsi="Times New Roman" w:cs="Times New Roman"/>
          <w:sz w:val="24"/>
          <w:szCs w:val="24"/>
          <w:lang w:val="es-ES"/>
        </w:rPr>
        <w:t xml:space="preserve"> </w:t>
      </w:r>
      <w:proofErr w:type="spellStart"/>
      <w:r w:rsidRPr="00B22CA9">
        <w:rPr>
          <w:rFonts w:ascii="Times New Roman" w:hAnsi="Times New Roman" w:cs="Times New Roman"/>
          <w:sz w:val="24"/>
          <w:szCs w:val="24"/>
          <w:lang w:val="es-ES"/>
        </w:rPr>
        <w:t>Charter</w:t>
      </w:r>
      <w:proofErr w:type="spellEnd"/>
      <w:r w:rsidRPr="00B22CA9">
        <w:rPr>
          <w:rFonts w:ascii="Times New Roman" w:hAnsi="Times New Roman" w:cs="Times New Roman"/>
          <w:sz w:val="24"/>
          <w:szCs w:val="24"/>
          <w:lang w:val="es-ES"/>
        </w:rPr>
        <w:t xml:space="preserve">? </w:t>
      </w:r>
      <w:r w:rsidRPr="00B22CA9">
        <w:rPr>
          <w:rFonts w:ascii="Times New Roman" w:hAnsi="Times New Roman" w:cs="Times New Roman"/>
          <w:sz w:val="24"/>
          <w:szCs w:val="24"/>
        </w:rPr>
        <w:t xml:space="preserve">The Court of Justice, National Courts and the new Framework of Fundamental Rights Protection in Europe. </w:t>
      </w:r>
      <w:r w:rsidRPr="00B22CA9">
        <w:rPr>
          <w:rFonts w:ascii="Times New Roman" w:hAnsi="Times New Roman" w:cs="Times New Roman"/>
          <w:i/>
          <w:sz w:val="24"/>
          <w:szCs w:val="24"/>
        </w:rPr>
        <w:t xml:space="preserve">Common Market Law Review, </w:t>
      </w:r>
      <w:r w:rsidRPr="00B22CA9">
        <w:rPr>
          <w:rFonts w:ascii="Times New Roman" w:hAnsi="Times New Roman" w:cs="Times New Roman"/>
          <w:sz w:val="24"/>
          <w:szCs w:val="24"/>
        </w:rPr>
        <w:t xml:space="preserve">50, 1267-1304. </w:t>
      </w:r>
    </w:p>
    <w:p w:rsidR="00D46CC7" w:rsidRPr="00B22CA9" w:rsidRDefault="00D46CC7" w:rsidP="007F11DF">
      <w:pPr>
        <w:spacing w:line="240" w:lineRule="auto"/>
        <w:jc w:val="both"/>
        <w:rPr>
          <w:rFonts w:ascii="Times New Roman" w:hAnsi="Times New Roman" w:cs="Times New Roman"/>
          <w:sz w:val="24"/>
          <w:szCs w:val="24"/>
          <w:lang w:val="es-ES"/>
        </w:rPr>
      </w:pPr>
      <w:r w:rsidRPr="00B22CA9">
        <w:rPr>
          <w:rFonts w:ascii="Times New Roman" w:hAnsi="Times New Roman" w:cs="Times New Roman"/>
          <w:sz w:val="24"/>
          <w:szCs w:val="24"/>
        </w:rPr>
        <w:t xml:space="preserve">Sarmiento, D. (2017). </w:t>
      </w:r>
      <w:r w:rsidRPr="00B22CA9">
        <w:rPr>
          <w:rFonts w:ascii="Times New Roman" w:hAnsi="Times New Roman" w:cs="Times New Roman"/>
          <w:i/>
          <w:sz w:val="24"/>
          <w:szCs w:val="24"/>
        </w:rPr>
        <w:t>Provisional (And Extraordinary) Measures in the Name of the Rule of Law</w:t>
      </w:r>
      <w:r w:rsidRPr="00B22CA9">
        <w:rPr>
          <w:rFonts w:ascii="Times New Roman" w:eastAsia="SimSun" w:hAnsi="Times New Roman" w:cs="Times New Roman"/>
          <w:sz w:val="24"/>
          <w:szCs w:val="24"/>
        </w:rPr>
        <w:t>[</w:t>
      </w:r>
      <w:r w:rsidRPr="00B22CA9">
        <w:rPr>
          <w:rFonts w:ascii="Times New Roman" w:hAnsi="Times New Roman" w:cs="Times New Roman"/>
          <w:sz w:val="24"/>
          <w:szCs w:val="24"/>
        </w:rPr>
        <w:t>blog</w:t>
      </w:r>
      <w:r w:rsidRPr="00B22CA9">
        <w:rPr>
          <w:rFonts w:ascii="Times New Roman" w:eastAsia="SimSun" w:hAnsi="Times New Roman" w:cs="Times New Roman"/>
          <w:sz w:val="24"/>
          <w:szCs w:val="24"/>
        </w:rPr>
        <w:t>]24</w:t>
      </w:r>
      <w:r w:rsidR="00061499" w:rsidRPr="00B22CA9">
        <w:rPr>
          <w:rFonts w:ascii="Times New Roman" w:eastAsia="SimSun" w:hAnsi="Times New Roman" w:cs="Times New Roman"/>
          <w:sz w:val="24"/>
          <w:szCs w:val="24"/>
        </w:rPr>
        <w:t>-</w:t>
      </w:r>
      <w:r w:rsidRPr="00B22CA9">
        <w:rPr>
          <w:rFonts w:ascii="Times New Roman" w:eastAsia="SimSun" w:hAnsi="Times New Roman" w:cs="Times New Roman"/>
          <w:sz w:val="24"/>
          <w:szCs w:val="24"/>
        </w:rPr>
        <w:t>10</w:t>
      </w:r>
      <w:r w:rsidR="00061499" w:rsidRPr="00B22CA9">
        <w:rPr>
          <w:rFonts w:ascii="Times New Roman" w:eastAsia="SimSun" w:hAnsi="Times New Roman" w:cs="Times New Roman"/>
          <w:sz w:val="24"/>
          <w:szCs w:val="24"/>
        </w:rPr>
        <w:t>-</w:t>
      </w:r>
      <w:r w:rsidRPr="00B22CA9">
        <w:rPr>
          <w:rFonts w:ascii="Times New Roman" w:eastAsia="SimSun" w:hAnsi="Times New Roman" w:cs="Times New Roman"/>
          <w:sz w:val="24"/>
          <w:szCs w:val="24"/>
        </w:rPr>
        <w:t xml:space="preserve">2017. </w:t>
      </w:r>
      <w:r w:rsidRPr="00B22CA9">
        <w:rPr>
          <w:rFonts w:ascii="Times New Roman" w:eastAsia="SimSun" w:hAnsi="Times New Roman" w:cs="Times New Roman"/>
          <w:sz w:val="24"/>
          <w:szCs w:val="24"/>
          <w:lang w:val="es-ES"/>
        </w:rPr>
        <w:t xml:space="preserve">Disponible en </w:t>
      </w:r>
      <w:hyperlink r:id="rId18" w:history="1">
        <w:r w:rsidRPr="00B22CA9">
          <w:rPr>
            <w:rStyle w:val="Hipervnculo"/>
            <w:rFonts w:ascii="Times New Roman" w:eastAsia="SimSun" w:hAnsi="Times New Roman" w:cs="Times New Roman"/>
            <w:color w:val="auto"/>
            <w:sz w:val="24"/>
            <w:szCs w:val="24"/>
            <w:lang w:val="es-ES"/>
          </w:rPr>
          <w:t>https://verfassungsblog.de/provisional-and-extraordinary-measures-in-the-name-of-the-rule-of-law/</w:t>
        </w:r>
      </w:hyperlink>
      <w:r w:rsidRPr="00B22CA9">
        <w:rPr>
          <w:rFonts w:ascii="Times New Roman" w:eastAsia="SimSun" w:hAnsi="Times New Roman" w:cs="Times New Roman"/>
          <w:sz w:val="24"/>
          <w:szCs w:val="24"/>
          <w:lang w:val="es-ES"/>
        </w:rPr>
        <w:t>.</w:t>
      </w:r>
    </w:p>
    <w:p w:rsidR="003C7AE7" w:rsidRPr="00B22CA9" w:rsidRDefault="003C7AE7" w:rsidP="003C7AE7">
      <w:pPr>
        <w:spacing w:line="240" w:lineRule="auto"/>
        <w:jc w:val="both"/>
        <w:rPr>
          <w:rFonts w:ascii="Times New Roman" w:hAnsi="Times New Roman" w:cs="Times New Roman"/>
          <w:sz w:val="24"/>
          <w:szCs w:val="24"/>
        </w:rPr>
      </w:pPr>
      <w:proofErr w:type="spellStart"/>
      <w:r w:rsidRPr="00B22CA9">
        <w:rPr>
          <w:rFonts w:ascii="Times New Roman" w:hAnsi="Times New Roman" w:cs="Times New Roman"/>
          <w:sz w:val="24"/>
          <w:szCs w:val="24"/>
        </w:rPr>
        <w:t>Schütze</w:t>
      </w:r>
      <w:proofErr w:type="spellEnd"/>
      <w:r w:rsidRPr="00B22CA9">
        <w:rPr>
          <w:rFonts w:ascii="Times New Roman" w:hAnsi="Times New Roman" w:cs="Times New Roman"/>
          <w:sz w:val="24"/>
          <w:szCs w:val="24"/>
        </w:rPr>
        <w:t>, R. (2009). From Dual to Cooperative Federalism. The Changing Structure of European Law. Oxford: Oxford University</w:t>
      </w:r>
      <w:bookmarkStart w:id="0" w:name="_GoBack"/>
      <w:bookmarkEnd w:id="0"/>
      <w:r w:rsidRPr="00B22CA9">
        <w:rPr>
          <w:rFonts w:ascii="Times New Roman" w:hAnsi="Times New Roman" w:cs="Times New Roman"/>
          <w:sz w:val="24"/>
          <w:szCs w:val="24"/>
        </w:rPr>
        <w:t xml:space="preserve"> Press.</w:t>
      </w:r>
    </w:p>
    <w:p w:rsidR="009161AB" w:rsidRPr="00B22CA9" w:rsidRDefault="009161AB" w:rsidP="003C7AE7">
      <w:pPr>
        <w:spacing w:line="240" w:lineRule="auto"/>
        <w:jc w:val="both"/>
        <w:rPr>
          <w:rFonts w:ascii="Times New Roman" w:hAnsi="Times New Roman" w:cs="Times New Roman"/>
          <w:sz w:val="24"/>
          <w:szCs w:val="24"/>
          <w:lang w:val="es-ES"/>
        </w:rPr>
      </w:pPr>
      <w:proofErr w:type="spellStart"/>
      <w:r w:rsidRPr="00B22CA9">
        <w:rPr>
          <w:rFonts w:ascii="Times New Roman" w:hAnsi="Times New Roman" w:cs="Times New Roman"/>
          <w:sz w:val="24"/>
          <w:szCs w:val="24"/>
        </w:rPr>
        <w:t>Sikora</w:t>
      </w:r>
      <w:proofErr w:type="spellEnd"/>
      <w:r w:rsidRPr="00B22CA9">
        <w:rPr>
          <w:rFonts w:ascii="Times New Roman" w:hAnsi="Times New Roman" w:cs="Times New Roman"/>
          <w:sz w:val="24"/>
          <w:szCs w:val="24"/>
        </w:rPr>
        <w:t xml:space="preserve">, A. (2018). </w:t>
      </w:r>
      <w:r w:rsidRPr="00B22CA9">
        <w:rPr>
          <w:rFonts w:ascii="Times New Roman" w:hAnsi="Times New Roman" w:cs="Times New Roman"/>
          <w:i/>
          <w:sz w:val="24"/>
          <w:szCs w:val="24"/>
        </w:rPr>
        <w:t>The CJEU and the rule of law in Poland: Note on the Polish Supreme Court preliminary ruling request of 2 August 2018</w:t>
      </w:r>
      <w:r w:rsidRPr="00B22CA9">
        <w:rPr>
          <w:rFonts w:ascii="Times New Roman" w:hAnsi="Times New Roman" w:cs="Times New Roman"/>
          <w:sz w:val="24"/>
          <w:szCs w:val="24"/>
        </w:rPr>
        <w:t xml:space="preserve"> </w:t>
      </w:r>
      <w:r w:rsidRPr="00B22CA9">
        <w:rPr>
          <w:rFonts w:ascii="Times New Roman" w:eastAsia="SimSun" w:hAnsi="Times New Roman" w:cs="Times New Roman"/>
          <w:sz w:val="24"/>
          <w:szCs w:val="24"/>
        </w:rPr>
        <w:t>[</w:t>
      </w:r>
      <w:r w:rsidRPr="00B22CA9">
        <w:rPr>
          <w:rFonts w:ascii="Times New Roman" w:hAnsi="Times New Roman" w:cs="Times New Roman"/>
          <w:sz w:val="24"/>
          <w:szCs w:val="24"/>
        </w:rPr>
        <w:t>blog</w:t>
      </w:r>
      <w:r w:rsidRPr="00B22CA9">
        <w:rPr>
          <w:rFonts w:ascii="Times New Roman" w:eastAsia="SimSun" w:hAnsi="Times New Roman" w:cs="Times New Roman"/>
          <w:sz w:val="24"/>
          <w:szCs w:val="24"/>
        </w:rPr>
        <w:t xml:space="preserve">] </w:t>
      </w:r>
      <w:r w:rsidR="00061499" w:rsidRPr="00B22CA9">
        <w:rPr>
          <w:rFonts w:ascii="Times New Roman" w:eastAsia="SimSun" w:hAnsi="Times New Roman" w:cs="Times New Roman"/>
          <w:sz w:val="24"/>
          <w:szCs w:val="24"/>
        </w:rPr>
        <w:t>04-</w:t>
      </w:r>
      <w:r w:rsidRPr="00B22CA9">
        <w:rPr>
          <w:rFonts w:ascii="Times New Roman" w:eastAsia="SimSun" w:hAnsi="Times New Roman" w:cs="Times New Roman"/>
          <w:sz w:val="24"/>
          <w:szCs w:val="24"/>
        </w:rPr>
        <w:t>08</w:t>
      </w:r>
      <w:r w:rsidR="00061499" w:rsidRPr="00B22CA9">
        <w:rPr>
          <w:rFonts w:ascii="Times New Roman" w:eastAsia="SimSun" w:hAnsi="Times New Roman" w:cs="Times New Roman"/>
          <w:sz w:val="24"/>
          <w:szCs w:val="24"/>
        </w:rPr>
        <w:t>-</w:t>
      </w:r>
      <w:r w:rsidRPr="00B22CA9">
        <w:rPr>
          <w:rFonts w:ascii="Times New Roman" w:eastAsia="SimSun" w:hAnsi="Times New Roman" w:cs="Times New Roman"/>
          <w:sz w:val="24"/>
          <w:szCs w:val="24"/>
        </w:rPr>
        <w:t xml:space="preserve">2018. </w:t>
      </w:r>
      <w:r w:rsidRPr="00B22CA9">
        <w:rPr>
          <w:rFonts w:ascii="Times New Roman" w:eastAsia="SimSun" w:hAnsi="Times New Roman" w:cs="Times New Roman"/>
          <w:sz w:val="24"/>
          <w:szCs w:val="24"/>
          <w:lang w:val="es-ES"/>
        </w:rPr>
        <w:t xml:space="preserve">Disponible en </w:t>
      </w:r>
      <w:hyperlink r:id="rId19" w:history="1">
        <w:r w:rsidRPr="00B22CA9">
          <w:rPr>
            <w:rStyle w:val="Hipervnculo"/>
            <w:rFonts w:ascii="Times New Roman" w:eastAsia="SimSun" w:hAnsi="Times New Roman" w:cs="Times New Roman"/>
            <w:color w:val="auto"/>
            <w:sz w:val="24"/>
            <w:szCs w:val="24"/>
            <w:lang w:val="es-ES"/>
          </w:rPr>
          <w:t>http://eulawanalysis.blogspot.com/2018/08/the-cjeu-and-rule-of-law-in-poland-note.html</w:t>
        </w:r>
      </w:hyperlink>
      <w:r w:rsidRPr="00B22CA9">
        <w:rPr>
          <w:rFonts w:ascii="Times New Roman" w:eastAsia="SimSun" w:hAnsi="Times New Roman" w:cs="Times New Roman"/>
          <w:sz w:val="24"/>
          <w:szCs w:val="24"/>
          <w:lang w:val="es-ES"/>
        </w:rPr>
        <w:t>.</w:t>
      </w:r>
      <w:r w:rsidRPr="00B22CA9">
        <w:rPr>
          <w:rFonts w:ascii="Times New Roman" w:hAnsi="Times New Roman" w:cs="Times New Roman"/>
          <w:sz w:val="24"/>
          <w:szCs w:val="24"/>
          <w:lang w:val="es-ES"/>
        </w:rPr>
        <w:t xml:space="preserve"> </w:t>
      </w:r>
    </w:p>
    <w:p w:rsidR="00C05D12" w:rsidRPr="00B22CA9" w:rsidRDefault="00C05D12" w:rsidP="00C05D12">
      <w:pPr>
        <w:spacing w:line="240" w:lineRule="auto"/>
        <w:jc w:val="both"/>
        <w:rPr>
          <w:rFonts w:ascii="Times New Roman" w:hAnsi="Times New Roman" w:cs="Times New Roman"/>
          <w:sz w:val="24"/>
          <w:szCs w:val="24"/>
        </w:rPr>
      </w:pPr>
      <w:r w:rsidRPr="00B22CA9">
        <w:rPr>
          <w:rFonts w:ascii="Times New Roman" w:hAnsi="Times New Roman" w:cs="Times New Roman"/>
          <w:sz w:val="24"/>
          <w:szCs w:val="24"/>
        </w:rPr>
        <w:t xml:space="preserve">Stein, E. (1981). Lawyers, Judges and the Making of a Transnational Constitution, </w:t>
      </w:r>
      <w:r w:rsidRPr="00B22CA9">
        <w:rPr>
          <w:rFonts w:ascii="Times New Roman" w:hAnsi="Times New Roman" w:cs="Times New Roman"/>
          <w:i/>
          <w:sz w:val="24"/>
          <w:szCs w:val="24"/>
        </w:rPr>
        <w:t>American</w:t>
      </w:r>
      <w:r w:rsidRPr="00B22CA9">
        <w:rPr>
          <w:rFonts w:ascii="Times New Roman" w:hAnsi="Times New Roman" w:cs="Times New Roman"/>
          <w:sz w:val="24"/>
          <w:szCs w:val="24"/>
        </w:rPr>
        <w:t xml:space="preserve"> </w:t>
      </w:r>
      <w:r w:rsidRPr="00B22CA9">
        <w:rPr>
          <w:rFonts w:ascii="Times New Roman" w:hAnsi="Times New Roman" w:cs="Times New Roman"/>
          <w:i/>
          <w:sz w:val="24"/>
          <w:szCs w:val="24"/>
        </w:rPr>
        <w:t>Journal</w:t>
      </w:r>
      <w:r w:rsidRPr="00B22CA9">
        <w:rPr>
          <w:rFonts w:ascii="Times New Roman" w:hAnsi="Times New Roman" w:cs="Times New Roman"/>
          <w:sz w:val="24"/>
          <w:szCs w:val="24"/>
        </w:rPr>
        <w:t xml:space="preserve"> </w:t>
      </w:r>
      <w:r w:rsidRPr="00B22CA9">
        <w:rPr>
          <w:rFonts w:ascii="Times New Roman" w:hAnsi="Times New Roman" w:cs="Times New Roman"/>
          <w:i/>
          <w:sz w:val="24"/>
          <w:szCs w:val="24"/>
        </w:rPr>
        <w:t>of</w:t>
      </w:r>
      <w:r w:rsidRPr="00B22CA9">
        <w:rPr>
          <w:rFonts w:ascii="Times New Roman" w:hAnsi="Times New Roman" w:cs="Times New Roman"/>
          <w:sz w:val="24"/>
          <w:szCs w:val="24"/>
        </w:rPr>
        <w:t xml:space="preserve"> </w:t>
      </w:r>
      <w:r w:rsidRPr="00B22CA9">
        <w:rPr>
          <w:rFonts w:ascii="Times New Roman" w:hAnsi="Times New Roman" w:cs="Times New Roman"/>
          <w:i/>
          <w:sz w:val="24"/>
          <w:szCs w:val="24"/>
        </w:rPr>
        <w:t>International</w:t>
      </w:r>
      <w:r w:rsidRPr="00B22CA9">
        <w:rPr>
          <w:rFonts w:ascii="Times New Roman" w:hAnsi="Times New Roman" w:cs="Times New Roman"/>
          <w:sz w:val="24"/>
          <w:szCs w:val="24"/>
        </w:rPr>
        <w:t xml:space="preserve"> </w:t>
      </w:r>
      <w:r w:rsidRPr="00B22CA9">
        <w:rPr>
          <w:rFonts w:ascii="Times New Roman" w:hAnsi="Times New Roman" w:cs="Times New Roman"/>
          <w:i/>
          <w:sz w:val="24"/>
          <w:szCs w:val="24"/>
        </w:rPr>
        <w:t>Law</w:t>
      </w:r>
      <w:r w:rsidRPr="00B22CA9">
        <w:rPr>
          <w:rFonts w:ascii="Times New Roman" w:hAnsi="Times New Roman" w:cs="Times New Roman"/>
          <w:sz w:val="24"/>
          <w:szCs w:val="24"/>
        </w:rPr>
        <w:t>, 75, 1-27.</w:t>
      </w:r>
    </w:p>
    <w:p w:rsidR="000B1B7D" w:rsidRPr="00B22CA9" w:rsidRDefault="000B1B7D" w:rsidP="00C05D12">
      <w:pPr>
        <w:spacing w:line="240" w:lineRule="auto"/>
        <w:jc w:val="both"/>
        <w:rPr>
          <w:rFonts w:ascii="Times New Roman" w:hAnsi="Times New Roman" w:cs="Times New Roman"/>
          <w:sz w:val="24"/>
          <w:szCs w:val="24"/>
          <w:lang w:val="es-ES"/>
        </w:rPr>
      </w:pPr>
      <w:proofErr w:type="spellStart"/>
      <w:r w:rsidRPr="00B22CA9">
        <w:rPr>
          <w:rFonts w:ascii="Times New Roman" w:hAnsi="Times New Roman" w:cs="Times New Roman"/>
          <w:sz w:val="24"/>
          <w:szCs w:val="24"/>
        </w:rPr>
        <w:t>Taborowski</w:t>
      </w:r>
      <w:proofErr w:type="spellEnd"/>
      <w:r w:rsidRPr="00B22CA9">
        <w:rPr>
          <w:rFonts w:ascii="Times New Roman" w:hAnsi="Times New Roman" w:cs="Times New Roman"/>
          <w:sz w:val="24"/>
          <w:szCs w:val="24"/>
        </w:rPr>
        <w:t xml:space="preserve">, M (2018). </w:t>
      </w:r>
      <w:r w:rsidRPr="00B22CA9">
        <w:rPr>
          <w:rFonts w:ascii="Times New Roman" w:hAnsi="Times New Roman" w:cs="Times New Roman"/>
          <w:i/>
          <w:sz w:val="24"/>
          <w:szCs w:val="24"/>
        </w:rPr>
        <w:t>The Commission takes a step back in the fight for the Rule of Law</w:t>
      </w:r>
      <w:r w:rsidRPr="00B22CA9">
        <w:rPr>
          <w:rFonts w:ascii="Times New Roman" w:hAnsi="Times New Roman" w:cs="Times New Roman"/>
          <w:sz w:val="24"/>
          <w:szCs w:val="24"/>
        </w:rPr>
        <w:t xml:space="preserve"> </w:t>
      </w:r>
      <w:r w:rsidRPr="00B22CA9">
        <w:rPr>
          <w:rFonts w:ascii="Times New Roman" w:eastAsia="SimSun" w:hAnsi="Times New Roman" w:cs="Times New Roman"/>
          <w:sz w:val="24"/>
          <w:szCs w:val="24"/>
        </w:rPr>
        <w:t>[</w:t>
      </w:r>
      <w:r w:rsidRPr="00B22CA9">
        <w:rPr>
          <w:rFonts w:ascii="Times New Roman" w:hAnsi="Times New Roman" w:cs="Times New Roman"/>
          <w:sz w:val="24"/>
          <w:szCs w:val="24"/>
        </w:rPr>
        <w:t>blog</w:t>
      </w:r>
      <w:r w:rsidRPr="00B22CA9">
        <w:rPr>
          <w:rFonts w:ascii="Times New Roman" w:eastAsia="SimSun" w:hAnsi="Times New Roman" w:cs="Times New Roman"/>
          <w:sz w:val="24"/>
          <w:szCs w:val="24"/>
        </w:rPr>
        <w:t xml:space="preserve">] </w:t>
      </w:r>
      <w:r w:rsidRPr="00B22CA9">
        <w:rPr>
          <w:rFonts w:ascii="Times New Roman" w:hAnsi="Times New Roman" w:cs="Times New Roman"/>
          <w:sz w:val="24"/>
          <w:szCs w:val="24"/>
        </w:rPr>
        <w:t>03</w:t>
      </w:r>
      <w:r w:rsidR="00061499" w:rsidRPr="00B22CA9">
        <w:rPr>
          <w:rFonts w:ascii="Times New Roman" w:hAnsi="Times New Roman" w:cs="Times New Roman"/>
          <w:sz w:val="24"/>
          <w:szCs w:val="24"/>
        </w:rPr>
        <w:t>-</w:t>
      </w:r>
      <w:r w:rsidRPr="00B22CA9">
        <w:rPr>
          <w:rFonts w:ascii="Times New Roman" w:hAnsi="Times New Roman" w:cs="Times New Roman"/>
          <w:sz w:val="24"/>
          <w:szCs w:val="24"/>
        </w:rPr>
        <w:t>01</w:t>
      </w:r>
      <w:r w:rsidR="00061499" w:rsidRPr="00B22CA9">
        <w:rPr>
          <w:rFonts w:ascii="Times New Roman" w:hAnsi="Times New Roman" w:cs="Times New Roman"/>
          <w:sz w:val="24"/>
          <w:szCs w:val="24"/>
        </w:rPr>
        <w:t>-</w:t>
      </w:r>
      <w:r w:rsidRPr="00B22CA9">
        <w:rPr>
          <w:rFonts w:ascii="Times New Roman" w:hAnsi="Times New Roman" w:cs="Times New Roman"/>
          <w:sz w:val="24"/>
          <w:szCs w:val="24"/>
        </w:rPr>
        <w:t xml:space="preserve">2018. </w:t>
      </w:r>
      <w:r w:rsidRPr="00B22CA9">
        <w:rPr>
          <w:rFonts w:ascii="Times New Roman" w:hAnsi="Times New Roman" w:cs="Times New Roman"/>
          <w:sz w:val="24"/>
          <w:szCs w:val="24"/>
          <w:lang w:val="es-ES"/>
        </w:rPr>
        <w:t xml:space="preserve">Disponible en </w:t>
      </w:r>
      <w:hyperlink r:id="rId20" w:history="1">
        <w:r w:rsidRPr="00B22CA9">
          <w:rPr>
            <w:rStyle w:val="Hipervnculo"/>
            <w:rFonts w:ascii="Times New Roman" w:hAnsi="Times New Roman" w:cs="Times New Roman"/>
            <w:color w:val="auto"/>
            <w:sz w:val="24"/>
            <w:szCs w:val="24"/>
            <w:lang w:val="es-ES"/>
          </w:rPr>
          <w:t>https://verfassungsblog.de/the-commission-takes-a-step-back-in-the-fight-for-the-rule-of-law/</w:t>
        </w:r>
      </w:hyperlink>
      <w:r w:rsidRPr="00B22CA9">
        <w:rPr>
          <w:rFonts w:ascii="Times New Roman" w:hAnsi="Times New Roman" w:cs="Times New Roman"/>
          <w:sz w:val="24"/>
          <w:szCs w:val="24"/>
          <w:lang w:val="es-ES"/>
        </w:rPr>
        <w:t xml:space="preserve">. </w:t>
      </w:r>
    </w:p>
    <w:p w:rsidR="00C4055E" w:rsidRPr="00B22CA9" w:rsidRDefault="004E3D35" w:rsidP="007F11DF">
      <w:pPr>
        <w:spacing w:line="240" w:lineRule="auto"/>
        <w:jc w:val="both"/>
        <w:rPr>
          <w:rStyle w:val="Hipervnculo"/>
          <w:rFonts w:ascii="Times New Roman" w:hAnsi="Times New Roman" w:cs="Times New Roman"/>
          <w:color w:val="auto"/>
          <w:sz w:val="24"/>
          <w:szCs w:val="24"/>
          <w:u w:val="none"/>
          <w:bdr w:val="none" w:sz="0" w:space="0" w:color="auto" w:frame="1"/>
          <w:shd w:val="clear" w:color="auto" w:fill="FFFFFF"/>
        </w:rPr>
      </w:pPr>
      <w:hyperlink r:id="rId21" w:history="1">
        <w:r w:rsidR="00255F59" w:rsidRPr="00B22CA9">
          <w:rPr>
            <w:rStyle w:val="Hipervnculo"/>
            <w:rFonts w:ascii="Times New Roman" w:hAnsi="Times New Roman" w:cs="Times New Roman"/>
            <w:color w:val="auto"/>
            <w:sz w:val="24"/>
            <w:szCs w:val="24"/>
            <w:u w:val="none"/>
            <w:bdr w:val="none" w:sz="0" w:space="0" w:color="auto" w:frame="1"/>
            <w:shd w:val="clear" w:color="auto" w:fill="FFFFFF"/>
          </w:rPr>
          <w:t>Von </w:t>
        </w:r>
        <w:proofErr w:type="spellStart"/>
        <w:r w:rsidR="00255F59" w:rsidRPr="00B22CA9">
          <w:rPr>
            <w:rStyle w:val="Textoennegrita"/>
            <w:rFonts w:ascii="Times New Roman" w:hAnsi="Times New Roman" w:cs="Times New Roman"/>
            <w:b w:val="0"/>
            <w:bCs w:val="0"/>
            <w:sz w:val="24"/>
            <w:szCs w:val="24"/>
            <w:bdr w:val="none" w:sz="0" w:space="0" w:color="auto" w:frame="1"/>
            <w:shd w:val="clear" w:color="auto" w:fill="FFFFFF"/>
          </w:rPr>
          <w:t>Bogdandy</w:t>
        </w:r>
        <w:proofErr w:type="spellEnd"/>
        <w:r w:rsidR="00255F59" w:rsidRPr="00B22CA9">
          <w:rPr>
            <w:rStyle w:val="Hipervnculo"/>
            <w:rFonts w:ascii="Times New Roman" w:hAnsi="Times New Roman" w:cs="Times New Roman"/>
            <w:color w:val="auto"/>
            <w:sz w:val="24"/>
            <w:szCs w:val="24"/>
            <w:u w:val="none"/>
            <w:bdr w:val="none" w:sz="0" w:space="0" w:color="auto" w:frame="1"/>
            <w:shd w:val="clear" w:color="auto" w:fill="FFFFFF"/>
          </w:rPr>
          <w:t xml:space="preserve">, A., </w:t>
        </w:r>
        <w:proofErr w:type="spellStart"/>
        <w:r w:rsidR="00255F59" w:rsidRPr="00B22CA9">
          <w:rPr>
            <w:rStyle w:val="Textoennegrita"/>
            <w:rFonts w:ascii="Times New Roman" w:hAnsi="Times New Roman" w:cs="Times New Roman"/>
            <w:b w:val="0"/>
            <w:bCs w:val="0"/>
            <w:sz w:val="24"/>
            <w:szCs w:val="24"/>
            <w:bdr w:val="none" w:sz="0" w:space="0" w:color="auto" w:frame="1"/>
            <w:shd w:val="clear" w:color="auto" w:fill="FFFFFF"/>
          </w:rPr>
          <w:t>Kottmann</w:t>
        </w:r>
        <w:proofErr w:type="spellEnd"/>
        <w:r w:rsidR="00255F59" w:rsidRPr="00B22CA9">
          <w:rPr>
            <w:rStyle w:val="Hipervnculo"/>
            <w:rFonts w:ascii="Times New Roman" w:hAnsi="Times New Roman" w:cs="Times New Roman"/>
            <w:color w:val="auto"/>
            <w:sz w:val="24"/>
            <w:szCs w:val="24"/>
            <w:u w:val="none"/>
            <w:bdr w:val="none" w:sz="0" w:space="0" w:color="auto" w:frame="1"/>
            <w:shd w:val="clear" w:color="auto" w:fill="FFFFFF"/>
          </w:rPr>
          <w:t xml:space="preserve">, M., </w:t>
        </w:r>
        <w:proofErr w:type="spellStart"/>
        <w:r w:rsidR="00255F59" w:rsidRPr="00B22CA9">
          <w:rPr>
            <w:rStyle w:val="Textoennegrita"/>
            <w:rFonts w:ascii="Times New Roman" w:hAnsi="Times New Roman" w:cs="Times New Roman"/>
            <w:b w:val="0"/>
            <w:bCs w:val="0"/>
            <w:sz w:val="24"/>
            <w:szCs w:val="24"/>
            <w:bdr w:val="none" w:sz="0" w:space="0" w:color="auto" w:frame="1"/>
            <w:shd w:val="clear" w:color="auto" w:fill="FFFFFF"/>
          </w:rPr>
          <w:t>Antpöhler</w:t>
        </w:r>
        <w:proofErr w:type="spellEnd"/>
        <w:r w:rsidR="00255F59" w:rsidRPr="00B22CA9">
          <w:rPr>
            <w:rStyle w:val="Hipervnculo"/>
            <w:rFonts w:ascii="Times New Roman" w:hAnsi="Times New Roman" w:cs="Times New Roman"/>
            <w:color w:val="auto"/>
            <w:sz w:val="24"/>
            <w:szCs w:val="24"/>
            <w:u w:val="none"/>
            <w:bdr w:val="none" w:sz="0" w:space="0" w:color="auto" w:frame="1"/>
            <w:shd w:val="clear" w:color="auto" w:fill="FFFFFF"/>
          </w:rPr>
          <w:t xml:space="preserve">, C., </w:t>
        </w:r>
        <w:proofErr w:type="spellStart"/>
        <w:r w:rsidR="00255F59" w:rsidRPr="00B22CA9">
          <w:rPr>
            <w:rStyle w:val="Textoennegrita"/>
            <w:rFonts w:ascii="Times New Roman" w:hAnsi="Times New Roman" w:cs="Times New Roman"/>
            <w:b w:val="0"/>
            <w:bCs w:val="0"/>
            <w:sz w:val="24"/>
            <w:szCs w:val="24"/>
            <w:bdr w:val="none" w:sz="0" w:space="0" w:color="auto" w:frame="1"/>
            <w:shd w:val="clear" w:color="auto" w:fill="FFFFFF"/>
          </w:rPr>
          <w:t>Dickschen</w:t>
        </w:r>
        <w:proofErr w:type="spellEnd"/>
        <w:r w:rsidR="00255F59" w:rsidRPr="00B22CA9">
          <w:rPr>
            <w:rStyle w:val="Hipervnculo"/>
            <w:rFonts w:ascii="Times New Roman" w:hAnsi="Times New Roman" w:cs="Times New Roman"/>
            <w:color w:val="auto"/>
            <w:sz w:val="24"/>
            <w:szCs w:val="24"/>
            <w:u w:val="none"/>
            <w:bdr w:val="none" w:sz="0" w:space="0" w:color="auto" w:frame="1"/>
            <w:shd w:val="clear" w:color="auto" w:fill="FFFFFF"/>
          </w:rPr>
          <w:t xml:space="preserve">, J., </w:t>
        </w:r>
        <w:proofErr w:type="spellStart"/>
        <w:r w:rsidR="00255F59" w:rsidRPr="00B22CA9">
          <w:rPr>
            <w:rStyle w:val="Textoennegrita"/>
            <w:rFonts w:ascii="Times New Roman" w:hAnsi="Times New Roman" w:cs="Times New Roman"/>
            <w:b w:val="0"/>
            <w:bCs w:val="0"/>
            <w:sz w:val="24"/>
            <w:szCs w:val="24"/>
            <w:bdr w:val="none" w:sz="0" w:space="0" w:color="auto" w:frame="1"/>
            <w:shd w:val="clear" w:color="auto" w:fill="FFFFFF"/>
          </w:rPr>
          <w:t>Hentrei</w:t>
        </w:r>
        <w:proofErr w:type="spellEnd"/>
        <w:r w:rsidR="00255F59" w:rsidRPr="00B22CA9">
          <w:rPr>
            <w:rStyle w:val="Hipervnculo"/>
            <w:rFonts w:ascii="Times New Roman" w:hAnsi="Times New Roman" w:cs="Times New Roman"/>
            <w:color w:val="auto"/>
            <w:sz w:val="24"/>
            <w:szCs w:val="24"/>
            <w:u w:val="none"/>
            <w:bdr w:val="none" w:sz="0" w:space="0" w:color="auto" w:frame="1"/>
            <w:shd w:val="clear" w:color="auto" w:fill="FFFFFF"/>
          </w:rPr>
          <w:t xml:space="preserve">, S. y </w:t>
        </w:r>
        <w:proofErr w:type="spellStart"/>
        <w:r w:rsidR="00255F59" w:rsidRPr="00B22CA9">
          <w:rPr>
            <w:rStyle w:val="Textoennegrita"/>
            <w:rFonts w:ascii="Times New Roman" w:hAnsi="Times New Roman" w:cs="Times New Roman"/>
            <w:b w:val="0"/>
            <w:bCs w:val="0"/>
            <w:sz w:val="24"/>
            <w:szCs w:val="24"/>
            <w:bdr w:val="none" w:sz="0" w:space="0" w:color="auto" w:frame="1"/>
            <w:shd w:val="clear" w:color="auto" w:fill="FFFFFF"/>
          </w:rPr>
          <w:t>Smrkolj</w:t>
        </w:r>
        <w:proofErr w:type="spellEnd"/>
        <w:r w:rsidR="00255F59" w:rsidRPr="00B22CA9">
          <w:rPr>
            <w:rStyle w:val="Textoennegrita"/>
            <w:rFonts w:ascii="Times New Roman" w:hAnsi="Times New Roman" w:cs="Times New Roman"/>
            <w:b w:val="0"/>
            <w:bCs w:val="0"/>
            <w:sz w:val="24"/>
            <w:szCs w:val="24"/>
            <w:bdr w:val="none" w:sz="0" w:space="0" w:color="auto" w:frame="1"/>
            <w:shd w:val="clear" w:color="auto" w:fill="FFFFFF"/>
          </w:rPr>
          <w:t xml:space="preserve"> M. (2012). </w:t>
        </w:r>
        <w:r w:rsidR="00255F59" w:rsidRPr="00B22CA9">
          <w:rPr>
            <w:rStyle w:val="Hipervnculo"/>
            <w:rFonts w:ascii="Times New Roman" w:hAnsi="Times New Roman" w:cs="Times New Roman"/>
            <w:color w:val="auto"/>
            <w:sz w:val="24"/>
            <w:szCs w:val="24"/>
            <w:u w:val="none"/>
            <w:bdr w:val="none" w:sz="0" w:space="0" w:color="auto" w:frame="1"/>
            <w:shd w:val="clear" w:color="auto" w:fill="FFFFFF"/>
          </w:rPr>
          <w:t xml:space="preserve">Reverse </w:t>
        </w:r>
        <w:proofErr w:type="spellStart"/>
        <w:r w:rsidR="00255F59" w:rsidRPr="00B22CA9">
          <w:rPr>
            <w:rStyle w:val="Hipervnculo"/>
            <w:rFonts w:ascii="Times New Roman" w:hAnsi="Times New Roman" w:cs="Times New Roman"/>
            <w:color w:val="auto"/>
            <w:sz w:val="24"/>
            <w:szCs w:val="24"/>
            <w:u w:val="none"/>
            <w:bdr w:val="none" w:sz="0" w:space="0" w:color="auto" w:frame="1"/>
            <w:shd w:val="clear" w:color="auto" w:fill="FFFFFF"/>
          </w:rPr>
          <w:t>Solange</w:t>
        </w:r>
        <w:proofErr w:type="spellEnd"/>
        <w:r w:rsidR="00255F59" w:rsidRPr="00B22CA9">
          <w:rPr>
            <w:rStyle w:val="Hipervnculo"/>
            <w:rFonts w:ascii="Times New Roman" w:hAnsi="Times New Roman" w:cs="Times New Roman"/>
            <w:color w:val="auto"/>
            <w:sz w:val="24"/>
            <w:szCs w:val="24"/>
            <w:u w:val="none"/>
            <w:bdr w:val="none" w:sz="0" w:space="0" w:color="auto" w:frame="1"/>
            <w:shd w:val="clear" w:color="auto" w:fill="FFFFFF"/>
          </w:rPr>
          <w:t xml:space="preserve">–Protecting the essence of fundamental rights against EU Member States. </w:t>
        </w:r>
        <w:r w:rsidR="00255F59" w:rsidRPr="00B22CA9">
          <w:rPr>
            <w:rStyle w:val="Hipervnculo"/>
            <w:rFonts w:ascii="Times New Roman" w:hAnsi="Times New Roman" w:cs="Times New Roman"/>
            <w:i/>
            <w:iCs/>
            <w:color w:val="auto"/>
            <w:sz w:val="24"/>
            <w:szCs w:val="24"/>
            <w:u w:val="none"/>
            <w:bdr w:val="none" w:sz="0" w:space="0" w:color="auto" w:frame="1"/>
            <w:shd w:val="clear" w:color="auto" w:fill="FFFFFF"/>
          </w:rPr>
          <w:t>Common Market Law Review</w:t>
        </w:r>
        <w:r w:rsidR="00255F59" w:rsidRPr="00B22CA9">
          <w:rPr>
            <w:rStyle w:val="Hipervnculo"/>
            <w:rFonts w:ascii="Times New Roman" w:hAnsi="Times New Roman" w:cs="Times New Roman"/>
            <w:color w:val="auto"/>
            <w:sz w:val="24"/>
            <w:szCs w:val="24"/>
            <w:u w:val="none"/>
            <w:bdr w:val="none" w:sz="0" w:space="0" w:color="auto" w:frame="1"/>
            <w:shd w:val="clear" w:color="auto" w:fill="FFFFFF"/>
          </w:rPr>
          <w:t>, 49/2, 489–519</w:t>
        </w:r>
      </w:hyperlink>
      <w:r w:rsidR="00255F59" w:rsidRPr="00B22CA9">
        <w:rPr>
          <w:rStyle w:val="Hipervnculo"/>
          <w:rFonts w:ascii="Times New Roman" w:hAnsi="Times New Roman" w:cs="Times New Roman"/>
          <w:color w:val="auto"/>
          <w:sz w:val="24"/>
          <w:szCs w:val="24"/>
          <w:u w:val="none"/>
          <w:bdr w:val="none" w:sz="0" w:space="0" w:color="auto" w:frame="1"/>
          <w:shd w:val="clear" w:color="auto" w:fill="FFFFFF"/>
        </w:rPr>
        <w:t>.</w:t>
      </w:r>
    </w:p>
    <w:p w:rsidR="0082526B" w:rsidRPr="00B22CA9" w:rsidRDefault="0082526B" w:rsidP="007F11DF">
      <w:pPr>
        <w:spacing w:line="240" w:lineRule="auto"/>
        <w:jc w:val="both"/>
        <w:rPr>
          <w:rFonts w:ascii="Times New Roman" w:hAnsi="Times New Roman" w:cs="Times New Roman"/>
          <w:sz w:val="24"/>
          <w:szCs w:val="24"/>
        </w:rPr>
      </w:pPr>
      <w:r w:rsidRPr="00B22CA9">
        <w:rPr>
          <w:rFonts w:ascii="Times New Roman" w:hAnsi="Times New Roman" w:cs="Times New Roman"/>
          <w:sz w:val="24"/>
          <w:szCs w:val="24"/>
        </w:rPr>
        <w:t xml:space="preserve">Von </w:t>
      </w:r>
      <w:proofErr w:type="spellStart"/>
      <w:r w:rsidRPr="00B22CA9">
        <w:rPr>
          <w:rFonts w:ascii="Times New Roman" w:hAnsi="Times New Roman" w:cs="Times New Roman"/>
          <w:sz w:val="24"/>
          <w:szCs w:val="24"/>
        </w:rPr>
        <w:t>Bogdandy</w:t>
      </w:r>
      <w:proofErr w:type="spellEnd"/>
      <w:r w:rsidRPr="00B22CA9">
        <w:rPr>
          <w:rFonts w:ascii="Times New Roman" w:hAnsi="Times New Roman" w:cs="Times New Roman"/>
          <w:sz w:val="24"/>
          <w:szCs w:val="24"/>
        </w:rPr>
        <w:t xml:space="preserve">, A., </w:t>
      </w:r>
      <w:proofErr w:type="spellStart"/>
      <w:r w:rsidRPr="00B22CA9">
        <w:rPr>
          <w:rFonts w:ascii="Times New Roman" w:hAnsi="Times New Roman" w:cs="Times New Roman"/>
          <w:sz w:val="24"/>
          <w:szCs w:val="24"/>
        </w:rPr>
        <w:t>Antpöhler</w:t>
      </w:r>
      <w:proofErr w:type="spellEnd"/>
      <w:r w:rsidRPr="00B22CA9">
        <w:rPr>
          <w:rFonts w:ascii="Times New Roman" w:hAnsi="Times New Roman" w:cs="Times New Roman"/>
          <w:sz w:val="24"/>
          <w:szCs w:val="24"/>
        </w:rPr>
        <w:t xml:space="preserve">, C. y Ioannidis M. (2017). </w:t>
      </w:r>
      <w:proofErr w:type="spellStart"/>
      <w:r w:rsidRPr="00B22CA9">
        <w:rPr>
          <w:rFonts w:ascii="Times New Roman" w:hAnsi="Times New Roman" w:cs="Times New Roman"/>
          <w:sz w:val="24"/>
          <w:szCs w:val="24"/>
          <w:lang w:val="es-ES"/>
        </w:rPr>
        <w:t>Protecting</w:t>
      </w:r>
      <w:proofErr w:type="spellEnd"/>
      <w:r w:rsidRPr="00B22CA9">
        <w:rPr>
          <w:rFonts w:ascii="Times New Roman" w:hAnsi="Times New Roman" w:cs="Times New Roman"/>
          <w:sz w:val="24"/>
          <w:szCs w:val="24"/>
          <w:lang w:val="es-ES"/>
        </w:rPr>
        <w:t xml:space="preserve"> EU </w:t>
      </w:r>
      <w:proofErr w:type="spellStart"/>
      <w:r w:rsidRPr="00B22CA9">
        <w:rPr>
          <w:rFonts w:ascii="Times New Roman" w:hAnsi="Times New Roman" w:cs="Times New Roman"/>
          <w:sz w:val="24"/>
          <w:szCs w:val="24"/>
          <w:lang w:val="es-ES"/>
        </w:rPr>
        <w:t>values</w:t>
      </w:r>
      <w:proofErr w:type="spellEnd"/>
      <w:r w:rsidRPr="00B22CA9">
        <w:rPr>
          <w:rFonts w:ascii="Times New Roman" w:hAnsi="Times New Roman" w:cs="Times New Roman"/>
          <w:sz w:val="24"/>
          <w:szCs w:val="24"/>
          <w:lang w:val="es-ES"/>
        </w:rPr>
        <w:t xml:space="preserve">. En A. </w:t>
      </w:r>
      <w:proofErr w:type="spellStart"/>
      <w:r w:rsidRPr="00B22CA9">
        <w:rPr>
          <w:rFonts w:ascii="Times New Roman" w:hAnsi="Times New Roman" w:cs="Times New Roman"/>
          <w:sz w:val="24"/>
          <w:szCs w:val="24"/>
          <w:lang w:val="es-ES"/>
        </w:rPr>
        <w:t>Jakab</w:t>
      </w:r>
      <w:proofErr w:type="spellEnd"/>
      <w:r w:rsidRPr="00B22CA9">
        <w:rPr>
          <w:rFonts w:ascii="Times New Roman" w:hAnsi="Times New Roman" w:cs="Times New Roman"/>
          <w:sz w:val="24"/>
          <w:szCs w:val="24"/>
          <w:lang w:val="es-ES"/>
        </w:rPr>
        <w:t xml:space="preserve"> y D. </w:t>
      </w:r>
      <w:proofErr w:type="spellStart"/>
      <w:r w:rsidRPr="00B22CA9">
        <w:rPr>
          <w:rFonts w:ascii="Times New Roman" w:hAnsi="Times New Roman" w:cs="Times New Roman"/>
          <w:sz w:val="24"/>
          <w:szCs w:val="24"/>
          <w:lang w:val="es-ES"/>
        </w:rPr>
        <w:t>Kochenov</w:t>
      </w:r>
      <w:proofErr w:type="spellEnd"/>
      <w:r w:rsidRPr="00B22CA9">
        <w:rPr>
          <w:rFonts w:ascii="Times New Roman" w:hAnsi="Times New Roman" w:cs="Times New Roman"/>
          <w:sz w:val="24"/>
          <w:szCs w:val="24"/>
          <w:lang w:val="es-ES"/>
        </w:rPr>
        <w:t xml:space="preserve"> (eds.). </w:t>
      </w:r>
      <w:r w:rsidRPr="00B22CA9">
        <w:rPr>
          <w:rFonts w:ascii="Times New Roman" w:hAnsi="Times New Roman" w:cs="Times New Roman"/>
          <w:i/>
          <w:iCs/>
          <w:sz w:val="24"/>
          <w:szCs w:val="24"/>
        </w:rPr>
        <w:t>The enforcement of EU law and values: ensuring member states' compliance</w:t>
      </w:r>
      <w:r w:rsidR="00731DFC" w:rsidRPr="00B22CA9">
        <w:rPr>
          <w:rFonts w:ascii="Times New Roman" w:hAnsi="Times New Roman" w:cs="Times New Roman"/>
          <w:sz w:val="24"/>
          <w:szCs w:val="24"/>
        </w:rPr>
        <w:t xml:space="preserve">. </w:t>
      </w:r>
      <w:r w:rsidRPr="00B22CA9">
        <w:rPr>
          <w:rFonts w:ascii="Times New Roman" w:hAnsi="Times New Roman" w:cs="Times New Roman"/>
          <w:sz w:val="24"/>
          <w:szCs w:val="24"/>
        </w:rPr>
        <w:t>(pp. 218-133). Oxford: Oxford University Press.</w:t>
      </w:r>
    </w:p>
    <w:p w:rsidR="00427C17" w:rsidRPr="00B22CA9" w:rsidRDefault="00427C17" w:rsidP="007F11DF">
      <w:pPr>
        <w:spacing w:line="240" w:lineRule="auto"/>
        <w:jc w:val="both"/>
        <w:rPr>
          <w:rFonts w:ascii="Times New Roman" w:hAnsi="Times New Roman" w:cs="Times New Roman"/>
          <w:sz w:val="24"/>
          <w:szCs w:val="24"/>
        </w:rPr>
      </w:pPr>
      <w:r w:rsidRPr="00B22CA9">
        <w:rPr>
          <w:rFonts w:ascii="Times New Roman" w:hAnsi="Times New Roman" w:cs="Times New Roman"/>
          <w:sz w:val="24"/>
          <w:szCs w:val="24"/>
        </w:rPr>
        <w:t xml:space="preserve">Von </w:t>
      </w:r>
      <w:proofErr w:type="spellStart"/>
      <w:r w:rsidRPr="00B22CA9">
        <w:rPr>
          <w:rFonts w:ascii="Times New Roman" w:hAnsi="Times New Roman" w:cs="Times New Roman"/>
          <w:sz w:val="24"/>
          <w:szCs w:val="24"/>
        </w:rPr>
        <w:t>Danwitz</w:t>
      </w:r>
      <w:proofErr w:type="spellEnd"/>
      <w:r w:rsidR="00C42591" w:rsidRPr="00B22CA9">
        <w:rPr>
          <w:rFonts w:ascii="Times New Roman" w:hAnsi="Times New Roman" w:cs="Times New Roman"/>
          <w:sz w:val="24"/>
          <w:szCs w:val="24"/>
        </w:rPr>
        <w:t xml:space="preserve"> T.</w:t>
      </w:r>
      <w:r w:rsidRPr="00B22CA9">
        <w:rPr>
          <w:rFonts w:ascii="Times New Roman" w:hAnsi="Times New Roman" w:cs="Times New Roman"/>
          <w:sz w:val="24"/>
          <w:szCs w:val="24"/>
        </w:rPr>
        <w:t xml:space="preserve"> y </w:t>
      </w:r>
      <w:proofErr w:type="spellStart"/>
      <w:r w:rsidRPr="00B22CA9">
        <w:rPr>
          <w:rFonts w:ascii="Times New Roman" w:hAnsi="Times New Roman" w:cs="Times New Roman"/>
          <w:sz w:val="24"/>
          <w:szCs w:val="24"/>
        </w:rPr>
        <w:t>Paraschas</w:t>
      </w:r>
      <w:proofErr w:type="spellEnd"/>
      <w:r w:rsidRPr="00B22CA9">
        <w:rPr>
          <w:rFonts w:ascii="Times New Roman" w:hAnsi="Times New Roman" w:cs="Times New Roman"/>
          <w:sz w:val="24"/>
          <w:szCs w:val="24"/>
        </w:rPr>
        <w:t>,</w:t>
      </w:r>
      <w:r w:rsidR="00C42591" w:rsidRPr="00B22CA9">
        <w:rPr>
          <w:rFonts w:ascii="Times New Roman" w:hAnsi="Times New Roman" w:cs="Times New Roman"/>
          <w:sz w:val="24"/>
          <w:szCs w:val="24"/>
        </w:rPr>
        <w:t xml:space="preserve"> K. (2012). </w:t>
      </w:r>
      <w:r w:rsidRPr="00B22CA9">
        <w:rPr>
          <w:rFonts w:ascii="Times New Roman" w:hAnsi="Times New Roman" w:cs="Times New Roman"/>
          <w:sz w:val="24"/>
          <w:szCs w:val="24"/>
        </w:rPr>
        <w:t>A fresh start for the Charter: Fundamental questions on the application of the European Charter of Fundamental Rights</w:t>
      </w:r>
      <w:r w:rsidR="00C42591" w:rsidRPr="00B22CA9">
        <w:rPr>
          <w:rFonts w:ascii="Times New Roman" w:hAnsi="Times New Roman" w:cs="Times New Roman"/>
          <w:sz w:val="24"/>
          <w:szCs w:val="24"/>
        </w:rPr>
        <w:t xml:space="preserve">. </w:t>
      </w:r>
      <w:r w:rsidRPr="00B22CA9">
        <w:rPr>
          <w:rFonts w:ascii="Times New Roman" w:hAnsi="Times New Roman" w:cs="Times New Roman"/>
          <w:i/>
          <w:sz w:val="24"/>
          <w:szCs w:val="24"/>
        </w:rPr>
        <w:t>Fordham International Law Journal</w:t>
      </w:r>
      <w:r w:rsidRPr="00B22CA9">
        <w:rPr>
          <w:rFonts w:ascii="Times New Roman" w:hAnsi="Times New Roman" w:cs="Times New Roman"/>
          <w:sz w:val="24"/>
          <w:szCs w:val="24"/>
        </w:rPr>
        <w:t>, 2012,</w:t>
      </w:r>
      <w:r w:rsidR="00C42591" w:rsidRPr="00B22CA9">
        <w:rPr>
          <w:rFonts w:ascii="Times New Roman" w:hAnsi="Times New Roman" w:cs="Times New Roman"/>
          <w:sz w:val="24"/>
          <w:szCs w:val="24"/>
        </w:rPr>
        <w:t xml:space="preserve"> </w:t>
      </w:r>
      <w:r w:rsidRPr="00B22CA9">
        <w:rPr>
          <w:rFonts w:ascii="Times New Roman" w:hAnsi="Times New Roman" w:cs="Times New Roman"/>
          <w:sz w:val="24"/>
          <w:szCs w:val="24"/>
        </w:rPr>
        <w:t>1396-1425</w:t>
      </w:r>
      <w:r w:rsidR="00C42591" w:rsidRPr="00B22CA9">
        <w:rPr>
          <w:rFonts w:ascii="Times New Roman" w:hAnsi="Times New Roman" w:cs="Times New Roman"/>
          <w:sz w:val="24"/>
          <w:szCs w:val="24"/>
        </w:rPr>
        <w:t>.</w:t>
      </w:r>
      <w:r w:rsidRPr="00B22CA9">
        <w:rPr>
          <w:rFonts w:ascii="Times New Roman" w:hAnsi="Times New Roman" w:cs="Times New Roman"/>
          <w:sz w:val="24"/>
          <w:szCs w:val="24"/>
        </w:rPr>
        <w:t xml:space="preserve"> </w:t>
      </w:r>
    </w:p>
    <w:p w:rsidR="00D434AC" w:rsidRPr="00B22CA9" w:rsidRDefault="00D434AC" w:rsidP="007F11DF">
      <w:pPr>
        <w:spacing w:line="240" w:lineRule="auto"/>
        <w:jc w:val="both"/>
        <w:rPr>
          <w:rFonts w:ascii="Times New Roman" w:hAnsi="Times New Roman" w:cs="Times New Roman"/>
          <w:sz w:val="24"/>
          <w:szCs w:val="24"/>
        </w:rPr>
      </w:pPr>
      <w:r w:rsidRPr="00B22CA9">
        <w:rPr>
          <w:rFonts w:ascii="Times New Roman" w:hAnsi="Times New Roman" w:cs="Times New Roman"/>
          <w:sz w:val="24"/>
          <w:szCs w:val="24"/>
        </w:rPr>
        <w:t xml:space="preserve">Walker, N. (2002). The idea of Constitutional Pluralism. </w:t>
      </w:r>
      <w:r w:rsidRPr="00B22CA9">
        <w:rPr>
          <w:rFonts w:ascii="Times New Roman" w:hAnsi="Times New Roman" w:cs="Times New Roman"/>
          <w:i/>
          <w:iCs/>
          <w:sz w:val="24"/>
          <w:szCs w:val="24"/>
        </w:rPr>
        <w:t>The Modern Law Review</w:t>
      </w:r>
      <w:r w:rsidRPr="00B22CA9">
        <w:rPr>
          <w:rFonts w:ascii="Times New Roman" w:hAnsi="Times New Roman" w:cs="Times New Roman"/>
          <w:sz w:val="24"/>
          <w:szCs w:val="24"/>
        </w:rPr>
        <w:t>, 65/3, 317-359</w:t>
      </w:r>
      <w:r w:rsidR="00A26AA9" w:rsidRPr="00B22CA9">
        <w:rPr>
          <w:rFonts w:ascii="Times New Roman" w:hAnsi="Times New Roman" w:cs="Times New Roman"/>
          <w:sz w:val="24"/>
          <w:szCs w:val="24"/>
        </w:rPr>
        <w:t>. https://doi.org/10.1111/1468-2230.00383.</w:t>
      </w:r>
    </w:p>
    <w:p w:rsidR="00D023A0" w:rsidRPr="00B22CA9" w:rsidRDefault="00D023A0" w:rsidP="007F11DF">
      <w:pPr>
        <w:spacing w:line="240" w:lineRule="auto"/>
        <w:jc w:val="both"/>
        <w:rPr>
          <w:rFonts w:ascii="Times New Roman" w:hAnsi="Times New Roman" w:cs="Times New Roman"/>
          <w:sz w:val="24"/>
          <w:szCs w:val="24"/>
        </w:rPr>
      </w:pPr>
      <w:r w:rsidRPr="00B22CA9">
        <w:rPr>
          <w:rFonts w:ascii="Times New Roman" w:hAnsi="Times New Roman" w:cs="Times New Roman"/>
          <w:sz w:val="24"/>
          <w:szCs w:val="24"/>
        </w:rPr>
        <w:lastRenderedPageBreak/>
        <w:t xml:space="preserve">Ward A. (2014). Article 51. Field of Application. En S. Peers, T. Hervey, J. Kenner y A. Ward (eds.). </w:t>
      </w:r>
      <w:r w:rsidRPr="00B22CA9">
        <w:rPr>
          <w:rFonts w:ascii="Times New Roman" w:hAnsi="Times New Roman" w:cs="Times New Roman"/>
          <w:i/>
          <w:iCs/>
          <w:sz w:val="24"/>
          <w:szCs w:val="24"/>
        </w:rPr>
        <w:t>The EU Charter of Fundamental Rights, A Commentary</w:t>
      </w:r>
      <w:r w:rsidRPr="00B22CA9">
        <w:rPr>
          <w:rFonts w:ascii="Times New Roman" w:hAnsi="Times New Roman" w:cs="Times New Roman"/>
          <w:sz w:val="24"/>
          <w:szCs w:val="24"/>
        </w:rPr>
        <w:t>. (pp. 1413-1454) Oxford: Hart Publishing.</w:t>
      </w:r>
    </w:p>
    <w:p w:rsidR="00D31926" w:rsidRPr="00B22CA9" w:rsidRDefault="00D31926" w:rsidP="007F11DF">
      <w:pPr>
        <w:spacing w:line="240" w:lineRule="auto"/>
        <w:jc w:val="both"/>
        <w:rPr>
          <w:rFonts w:ascii="Times New Roman" w:hAnsi="Times New Roman" w:cs="Times New Roman"/>
          <w:sz w:val="24"/>
          <w:szCs w:val="24"/>
        </w:rPr>
      </w:pPr>
      <w:proofErr w:type="spellStart"/>
      <w:r w:rsidRPr="00B22CA9">
        <w:rPr>
          <w:rFonts w:ascii="Times New Roman" w:hAnsi="Times New Roman" w:cs="Times New Roman"/>
          <w:sz w:val="24"/>
          <w:szCs w:val="24"/>
        </w:rPr>
        <w:t>Weiler</w:t>
      </w:r>
      <w:proofErr w:type="spellEnd"/>
      <w:r w:rsidRPr="00B22CA9">
        <w:rPr>
          <w:rFonts w:ascii="Times New Roman" w:hAnsi="Times New Roman" w:cs="Times New Roman"/>
          <w:sz w:val="24"/>
          <w:szCs w:val="24"/>
        </w:rPr>
        <w:t xml:space="preserve">, </w:t>
      </w:r>
      <w:r w:rsidR="00C13132" w:rsidRPr="00B22CA9">
        <w:rPr>
          <w:rFonts w:ascii="Times New Roman" w:hAnsi="Times New Roman" w:cs="Times New Roman"/>
          <w:sz w:val="24"/>
          <w:szCs w:val="24"/>
        </w:rPr>
        <w:t xml:space="preserve">J. H. H. (1991). </w:t>
      </w:r>
      <w:r w:rsidRPr="00B22CA9">
        <w:rPr>
          <w:rFonts w:ascii="Times New Roman" w:hAnsi="Times New Roman" w:cs="Times New Roman"/>
          <w:sz w:val="24"/>
          <w:szCs w:val="24"/>
        </w:rPr>
        <w:t>The Transformation of Europe</w:t>
      </w:r>
      <w:r w:rsidR="00C13132" w:rsidRPr="00B22CA9">
        <w:rPr>
          <w:rFonts w:ascii="Times New Roman" w:hAnsi="Times New Roman" w:cs="Times New Roman"/>
          <w:sz w:val="24"/>
          <w:szCs w:val="24"/>
        </w:rPr>
        <w:t xml:space="preserve">. </w:t>
      </w:r>
      <w:r w:rsidRPr="00B22CA9">
        <w:rPr>
          <w:rFonts w:ascii="Times New Roman" w:hAnsi="Times New Roman" w:cs="Times New Roman"/>
          <w:i/>
          <w:iCs/>
          <w:sz w:val="24"/>
          <w:szCs w:val="24"/>
        </w:rPr>
        <w:t>The Yale Law Journal</w:t>
      </w:r>
      <w:r w:rsidRPr="00B22CA9">
        <w:rPr>
          <w:rFonts w:ascii="Times New Roman" w:hAnsi="Times New Roman" w:cs="Times New Roman"/>
          <w:sz w:val="24"/>
          <w:szCs w:val="24"/>
        </w:rPr>
        <w:t>, 100</w:t>
      </w:r>
      <w:r w:rsidR="00C13132" w:rsidRPr="00B22CA9">
        <w:rPr>
          <w:rFonts w:ascii="Times New Roman" w:hAnsi="Times New Roman" w:cs="Times New Roman"/>
          <w:sz w:val="24"/>
          <w:szCs w:val="24"/>
        </w:rPr>
        <w:t>/</w:t>
      </w:r>
      <w:r w:rsidRPr="00B22CA9">
        <w:rPr>
          <w:rFonts w:ascii="Times New Roman" w:hAnsi="Times New Roman" w:cs="Times New Roman"/>
          <w:sz w:val="24"/>
          <w:szCs w:val="24"/>
        </w:rPr>
        <w:t>8, 2403-2483</w:t>
      </w:r>
      <w:r w:rsidR="00A03771" w:rsidRPr="00B22CA9">
        <w:rPr>
          <w:rFonts w:ascii="Times New Roman" w:hAnsi="Times New Roman" w:cs="Times New Roman"/>
          <w:sz w:val="24"/>
          <w:szCs w:val="24"/>
        </w:rPr>
        <w:t>.</w:t>
      </w:r>
      <w:r w:rsidR="00A26AA9" w:rsidRPr="00B22CA9">
        <w:rPr>
          <w:rFonts w:ascii="Times New Roman" w:hAnsi="Times New Roman" w:cs="Times New Roman"/>
          <w:sz w:val="24"/>
          <w:szCs w:val="24"/>
        </w:rPr>
        <w:t xml:space="preserve">  </w:t>
      </w:r>
      <w:hyperlink r:id="rId22" w:history="1">
        <w:r w:rsidR="00204C85" w:rsidRPr="00B22CA9">
          <w:rPr>
            <w:rStyle w:val="Hipervnculo"/>
            <w:rFonts w:ascii="Times New Roman" w:hAnsi="Times New Roman" w:cs="Times New Roman"/>
            <w:color w:val="auto"/>
            <w:sz w:val="24"/>
            <w:szCs w:val="24"/>
          </w:rPr>
          <w:t>https://doi.org/10.2307/796898</w:t>
        </w:r>
      </w:hyperlink>
      <w:r w:rsidR="00A26AA9" w:rsidRPr="00B22CA9">
        <w:rPr>
          <w:rFonts w:ascii="Times New Roman" w:hAnsi="Times New Roman" w:cs="Times New Roman"/>
          <w:sz w:val="24"/>
          <w:szCs w:val="24"/>
        </w:rPr>
        <w:t>.</w:t>
      </w:r>
    </w:p>
    <w:p w:rsidR="00204C85" w:rsidRPr="00B22CA9" w:rsidRDefault="00204C85" w:rsidP="00204C85">
      <w:pPr>
        <w:spacing w:line="240" w:lineRule="auto"/>
        <w:jc w:val="both"/>
        <w:rPr>
          <w:rFonts w:ascii="Times New Roman" w:hAnsi="Times New Roman" w:cs="Times New Roman"/>
          <w:sz w:val="24"/>
          <w:szCs w:val="24"/>
        </w:rPr>
      </w:pPr>
      <w:proofErr w:type="spellStart"/>
      <w:r w:rsidRPr="00B22CA9">
        <w:rPr>
          <w:rFonts w:ascii="Times New Roman" w:hAnsi="Times New Roman" w:cs="Times New Roman"/>
          <w:sz w:val="24"/>
          <w:szCs w:val="24"/>
        </w:rPr>
        <w:t>Weiler</w:t>
      </w:r>
      <w:proofErr w:type="spellEnd"/>
      <w:r w:rsidRPr="00B22CA9">
        <w:rPr>
          <w:rFonts w:ascii="Times New Roman" w:hAnsi="Times New Roman" w:cs="Times New Roman"/>
          <w:sz w:val="24"/>
          <w:szCs w:val="24"/>
        </w:rPr>
        <w:t>, J. H. H. (2000). Federalism and Constitutionalism: Europe</w:t>
      </w:r>
      <w:r w:rsidR="003C7AE7" w:rsidRPr="00B22CA9">
        <w:rPr>
          <w:rFonts w:ascii="Times New Roman" w:hAnsi="Times New Roman" w:cs="Times New Roman"/>
          <w:sz w:val="24"/>
          <w:szCs w:val="24"/>
        </w:rPr>
        <w:t>´</w:t>
      </w:r>
      <w:r w:rsidRPr="00B22CA9">
        <w:rPr>
          <w:rFonts w:ascii="Times New Roman" w:hAnsi="Times New Roman" w:cs="Times New Roman"/>
          <w:sz w:val="24"/>
          <w:szCs w:val="24"/>
        </w:rPr>
        <w:t xml:space="preserve">s </w:t>
      </w:r>
      <w:proofErr w:type="spellStart"/>
      <w:r w:rsidRPr="00B22CA9">
        <w:rPr>
          <w:rFonts w:ascii="Times New Roman" w:hAnsi="Times New Roman" w:cs="Times New Roman"/>
          <w:sz w:val="24"/>
          <w:szCs w:val="24"/>
        </w:rPr>
        <w:t>Sonderweg</w:t>
      </w:r>
      <w:proofErr w:type="spellEnd"/>
      <w:r w:rsidRPr="00B22CA9">
        <w:rPr>
          <w:rFonts w:ascii="Times New Roman" w:hAnsi="Times New Roman" w:cs="Times New Roman"/>
          <w:sz w:val="24"/>
          <w:szCs w:val="24"/>
        </w:rPr>
        <w:t xml:space="preserve">. </w:t>
      </w:r>
      <w:r w:rsidRPr="00B22CA9">
        <w:rPr>
          <w:rFonts w:ascii="Times New Roman" w:hAnsi="Times New Roman" w:cs="Times New Roman"/>
          <w:i/>
          <w:sz w:val="24"/>
          <w:szCs w:val="24"/>
        </w:rPr>
        <w:t>Harvard</w:t>
      </w:r>
      <w:r w:rsidRPr="00B22CA9">
        <w:rPr>
          <w:rFonts w:ascii="Times New Roman" w:hAnsi="Times New Roman" w:cs="Times New Roman"/>
          <w:sz w:val="24"/>
          <w:szCs w:val="24"/>
        </w:rPr>
        <w:t xml:space="preserve"> </w:t>
      </w:r>
      <w:r w:rsidRPr="00B22CA9">
        <w:rPr>
          <w:rFonts w:ascii="Times New Roman" w:hAnsi="Times New Roman" w:cs="Times New Roman"/>
          <w:i/>
          <w:sz w:val="24"/>
          <w:szCs w:val="24"/>
        </w:rPr>
        <w:t>Jean</w:t>
      </w:r>
      <w:r w:rsidRPr="00B22CA9">
        <w:rPr>
          <w:rFonts w:ascii="Times New Roman" w:hAnsi="Times New Roman" w:cs="Times New Roman"/>
          <w:sz w:val="24"/>
          <w:szCs w:val="24"/>
        </w:rPr>
        <w:t xml:space="preserve"> </w:t>
      </w:r>
      <w:r w:rsidRPr="00B22CA9">
        <w:rPr>
          <w:rFonts w:ascii="Times New Roman" w:hAnsi="Times New Roman" w:cs="Times New Roman"/>
          <w:i/>
          <w:sz w:val="24"/>
          <w:szCs w:val="24"/>
        </w:rPr>
        <w:t>Monnet</w:t>
      </w:r>
      <w:r w:rsidRPr="00B22CA9">
        <w:rPr>
          <w:rFonts w:ascii="Times New Roman" w:hAnsi="Times New Roman" w:cs="Times New Roman"/>
          <w:sz w:val="24"/>
          <w:szCs w:val="24"/>
        </w:rPr>
        <w:t xml:space="preserve"> </w:t>
      </w:r>
      <w:r w:rsidRPr="00B22CA9">
        <w:rPr>
          <w:rFonts w:ascii="Times New Roman" w:hAnsi="Times New Roman" w:cs="Times New Roman"/>
          <w:i/>
          <w:sz w:val="24"/>
          <w:szCs w:val="24"/>
        </w:rPr>
        <w:t>Paper</w:t>
      </w:r>
      <w:r w:rsidRPr="00B22CA9">
        <w:rPr>
          <w:rFonts w:ascii="Times New Roman" w:hAnsi="Times New Roman" w:cs="Times New Roman"/>
          <w:sz w:val="24"/>
          <w:szCs w:val="24"/>
        </w:rPr>
        <w:t xml:space="preserve">, 13/2000. </w:t>
      </w:r>
      <w:proofErr w:type="spellStart"/>
      <w:r w:rsidRPr="00B22CA9">
        <w:rPr>
          <w:rFonts w:ascii="Times New Roman" w:hAnsi="Times New Roman" w:cs="Times New Roman"/>
          <w:sz w:val="24"/>
          <w:szCs w:val="24"/>
        </w:rPr>
        <w:t>Disponible</w:t>
      </w:r>
      <w:proofErr w:type="spellEnd"/>
      <w:r w:rsidRPr="00B22CA9">
        <w:rPr>
          <w:rFonts w:ascii="Times New Roman" w:hAnsi="Times New Roman" w:cs="Times New Roman"/>
          <w:sz w:val="24"/>
          <w:szCs w:val="24"/>
        </w:rPr>
        <w:t xml:space="preserve"> en</w:t>
      </w:r>
      <w:r w:rsidR="003C7AE7" w:rsidRPr="00B22CA9">
        <w:rPr>
          <w:rFonts w:ascii="Times New Roman" w:hAnsi="Times New Roman" w:cs="Times New Roman"/>
          <w:sz w:val="24"/>
          <w:szCs w:val="24"/>
        </w:rPr>
        <w:t xml:space="preserve"> </w:t>
      </w:r>
      <w:hyperlink r:id="rId23" w:history="1">
        <w:r w:rsidR="003C7AE7" w:rsidRPr="00B22CA9">
          <w:rPr>
            <w:rStyle w:val="Hipervnculo"/>
            <w:rFonts w:ascii="Times New Roman" w:hAnsi="Times New Roman" w:cs="Times New Roman"/>
            <w:color w:val="auto"/>
            <w:sz w:val="24"/>
            <w:szCs w:val="24"/>
          </w:rPr>
          <w:t>https://jeanmonnetprogram.org/archive/papers/00/001001.html</w:t>
        </w:r>
      </w:hyperlink>
      <w:r w:rsidR="003C7AE7" w:rsidRPr="00B22CA9">
        <w:rPr>
          <w:rFonts w:ascii="Times New Roman" w:hAnsi="Times New Roman" w:cs="Times New Roman"/>
          <w:sz w:val="24"/>
          <w:szCs w:val="24"/>
        </w:rPr>
        <w:t xml:space="preserve"> .</w:t>
      </w:r>
      <w:r w:rsidRPr="00B22CA9">
        <w:rPr>
          <w:rFonts w:ascii="Times New Roman" w:hAnsi="Times New Roman" w:cs="Times New Roman"/>
          <w:sz w:val="24"/>
          <w:szCs w:val="24"/>
        </w:rPr>
        <w:t xml:space="preserve"> </w:t>
      </w:r>
    </w:p>
    <w:p w:rsidR="007B1E7E" w:rsidRPr="00B22CA9" w:rsidRDefault="00A03771" w:rsidP="007F11DF">
      <w:pPr>
        <w:spacing w:line="240" w:lineRule="auto"/>
        <w:jc w:val="both"/>
        <w:rPr>
          <w:rFonts w:ascii="Times New Roman" w:hAnsi="Times New Roman" w:cs="Times New Roman"/>
          <w:sz w:val="24"/>
          <w:szCs w:val="24"/>
        </w:rPr>
      </w:pPr>
      <w:proofErr w:type="spellStart"/>
      <w:r w:rsidRPr="00B22CA9">
        <w:rPr>
          <w:rFonts w:ascii="Times New Roman" w:hAnsi="Times New Roman" w:cs="Times New Roman"/>
          <w:sz w:val="24"/>
          <w:szCs w:val="24"/>
        </w:rPr>
        <w:t>Weiler</w:t>
      </w:r>
      <w:proofErr w:type="spellEnd"/>
      <w:r w:rsidRPr="00B22CA9">
        <w:rPr>
          <w:rFonts w:ascii="Times New Roman" w:hAnsi="Times New Roman" w:cs="Times New Roman"/>
          <w:sz w:val="24"/>
          <w:szCs w:val="24"/>
        </w:rPr>
        <w:t xml:space="preserve">, </w:t>
      </w:r>
      <w:r w:rsidR="007B1E7E" w:rsidRPr="00B22CA9">
        <w:rPr>
          <w:rFonts w:ascii="Times New Roman" w:hAnsi="Times New Roman" w:cs="Times New Roman"/>
          <w:sz w:val="24"/>
          <w:szCs w:val="24"/>
        </w:rPr>
        <w:t xml:space="preserve">J. H. H. (2016). </w:t>
      </w:r>
      <w:r w:rsidRPr="00B22CA9">
        <w:rPr>
          <w:rFonts w:ascii="Times New Roman" w:hAnsi="Times New Roman" w:cs="Times New Roman"/>
          <w:sz w:val="24"/>
          <w:szCs w:val="24"/>
        </w:rPr>
        <w:t>Epilogue: Living in a Glass House: Europe, Democracy and the Rule of Law</w:t>
      </w:r>
      <w:r w:rsidR="007B1E7E" w:rsidRPr="00B22CA9">
        <w:rPr>
          <w:rFonts w:ascii="Times New Roman" w:hAnsi="Times New Roman" w:cs="Times New Roman"/>
          <w:sz w:val="24"/>
          <w:szCs w:val="24"/>
        </w:rPr>
        <w:t xml:space="preserve">. </w:t>
      </w:r>
      <w:r w:rsidR="007B1E7E" w:rsidRPr="00B22CA9">
        <w:rPr>
          <w:rFonts w:ascii="Times New Roman" w:hAnsi="Times New Roman" w:cs="Times New Roman"/>
          <w:sz w:val="24"/>
          <w:szCs w:val="24"/>
          <w:lang w:val="es-ES"/>
        </w:rPr>
        <w:t xml:space="preserve">En C. </w:t>
      </w:r>
      <w:proofErr w:type="spellStart"/>
      <w:r w:rsidR="007B1E7E" w:rsidRPr="00B22CA9">
        <w:rPr>
          <w:rFonts w:ascii="Times New Roman" w:hAnsi="Times New Roman" w:cs="Times New Roman"/>
          <w:sz w:val="24"/>
          <w:szCs w:val="24"/>
          <w:lang w:val="es-ES"/>
        </w:rPr>
        <w:t>Closa</w:t>
      </w:r>
      <w:proofErr w:type="spellEnd"/>
      <w:r w:rsidR="007B1E7E" w:rsidRPr="00B22CA9">
        <w:rPr>
          <w:rFonts w:ascii="Times New Roman" w:hAnsi="Times New Roman" w:cs="Times New Roman"/>
          <w:sz w:val="24"/>
          <w:szCs w:val="24"/>
          <w:lang w:val="es-ES"/>
        </w:rPr>
        <w:t xml:space="preserve">,  D. </w:t>
      </w:r>
      <w:proofErr w:type="spellStart"/>
      <w:r w:rsidR="007B1E7E" w:rsidRPr="00B22CA9">
        <w:rPr>
          <w:rFonts w:ascii="Times New Roman" w:hAnsi="Times New Roman" w:cs="Times New Roman"/>
          <w:sz w:val="24"/>
          <w:szCs w:val="24"/>
          <w:lang w:val="es-ES"/>
        </w:rPr>
        <w:t>Kochenov</w:t>
      </w:r>
      <w:proofErr w:type="spellEnd"/>
      <w:r w:rsidR="007B1E7E" w:rsidRPr="00B22CA9">
        <w:rPr>
          <w:rFonts w:ascii="Times New Roman" w:hAnsi="Times New Roman" w:cs="Times New Roman"/>
          <w:sz w:val="24"/>
          <w:szCs w:val="24"/>
          <w:lang w:val="es-ES"/>
        </w:rPr>
        <w:t xml:space="preserve">, y J. H. H. </w:t>
      </w:r>
      <w:proofErr w:type="spellStart"/>
      <w:r w:rsidR="007B1E7E" w:rsidRPr="00B22CA9">
        <w:rPr>
          <w:rFonts w:ascii="Times New Roman" w:hAnsi="Times New Roman" w:cs="Times New Roman"/>
          <w:sz w:val="24"/>
          <w:szCs w:val="24"/>
          <w:lang w:val="es-ES"/>
        </w:rPr>
        <w:t>Weiler</w:t>
      </w:r>
      <w:proofErr w:type="spellEnd"/>
      <w:r w:rsidR="007B1E7E" w:rsidRPr="00B22CA9">
        <w:rPr>
          <w:rFonts w:ascii="Times New Roman" w:hAnsi="Times New Roman" w:cs="Times New Roman"/>
          <w:sz w:val="24"/>
          <w:szCs w:val="24"/>
          <w:lang w:val="es-ES"/>
        </w:rPr>
        <w:t xml:space="preserve">. </w:t>
      </w:r>
      <w:r w:rsidR="007B1E7E" w:rsidRPr="00B22CA9">
        <w:rPr>
          <w:rFonts w:ascii="Times New Roman" w:hAnsi="Times New Roman" w:cs="Times New Roman"/>
          <w:i/>
          <w:iCs/>
          <w:sz w:val="24"/>
          <w:szCs w:val="24"/>
        </w:rPr>
        <w:t>Reinforcing rule of law oversight in the European Union</w:t>
      </w:r>
      <w:r w:rsidR="007B1E7E" w:rsidRPr="00B22CA9">
        <w:rPr>
          <w:rFonts w:ascii="Times New Roman" w:hAnsi="Times New Roman" w:cs="Times New Roman"/>
          <w:sz w:val="24"/>
          <w:szCs w:val="24"/>
        </w:rPr>
        <w:t xml:space="preserve"> (pp. 313-326). Cambridge: Cambridge University Press.</w:t>
      </w:r>
    </w:p>
    <w:p w:rsidR="00BE7358" w:rsidRPr="00B22CA9" w:rsidRDefault="00581843" w:rsidP="007F11DF">
      <w:pPr>
        <w:spacing w:line="240" w:lineRule="auto"/>
        <w:jc w:val="both"/>
        <w:rPr>
          <w:rFonts w:ascii="Times New Roman" w:hAnsi="Times New Roman" w:cs="Times New Roman"/>
          <w:sz w:val="24"/>
          <w:szCs w:val="24"/>
          <w:lang w:val="es-ES"/>
        </w:rPr>
      </w:pPr>
      <w:r w:rsidRPr="00B22CA9">
        <w:rPr>
          <w:rFonts w:ascii="Times New Roman" w:hAnsi="Times New Roman" w:cs="Times New Roman"/>
          <w:sz w:val="24"/>
          <w:szCs w:val="24"/>
        </w:rPr>
        <w:t xml:space="preserve">Winter, J. A. (1972). Direct applicability and Direct Effect. Two distinct and different concepts in Community Law. </w:t>
      </w:r>
      <w:proofErr w:type="spellStart"/>
      <w:r w:rsidRPr="00B22CA9">
        <w:rPr>
          <w:rFonts w:ascii="Times New Roman" w:hAnsi="Times New Roman" w:cs="Times New Roman"/>
          <w:i/>
          <w:iCs/>
          <w:sz w:val="24"/>
          <w:szCs w:val="24"/>
          <w:lang w:val="es-ES"/>
        </w:rPr>
        <w:t>Common</w:t>
      </w:r>
      <w:proofErr w:type="spellEnd"/>
      <w:r w:rsidRPr="00B22CA9">
        <w:rPr>
          <w:rFonts w:ascii="Times New Roman" w:hAnsi="Times New Roman" w:cs="Times New Roman"/>
          <w:i/>
          <w:iCs/>
          <w:sz w:val="24"/>
          <w:szCs w:val="24"/>
          <w:lang w:val="es-ES"/>
        </w:rPr>
        <w:t xml:space="preserve"> </w:t>
      </w:r>
      <w:proofErr w:type="spellStart"/>
      <w:r w:rsidRPr="00B22CA9">
        <w:rPr>
          <w:rFonts w:ascii="Times New Roman" w:hAnsi="Times New Roman" w:cs="Times New Roman"/>
          <w:i/>
          <w:iCs/>
          <w:sz w:val="24"/>
          <w:szCs w:val="24"/>
          <w:lang w:val="es-ES"/>
        </w:rPr>
        <w:t>Market</w:t>
      </w:r>
      <w:proofErr w:type="spellEnd"/>
      <w:r w:rsidRPr="00B22CA9">
        <w:rPr>
          <w:rFonts w:ascii="Times New Roman" w:hAnsi="Times New Roman" w:cs="Times New Roman"/>
          <w:i/>
          <w:iCs/>
          <w:sz w:val="24"/>
          <w:szCs w:val="24"/>
          <w:lang w:val="es-ES"/>
        </w:rPr>
        <w:t xml:space="preserve"> </w:t>
      </w:r>
      <w:proofErr w:type="spellStart"/>
      <w:r w:rsidRPr="00B22CA9">
        <w:rPr>
          <w:rFonts w:ascii="Times New Roman" w:hAnsi="Times New Roman" w:cs="Times New Roman"/>
          <w:i/>
          <w:iCs/>
          <w:sz w:val="24"/>
          <w:szCs w:val="24"/>
          <w:lang w:val="es-ES"/>
        </w:rPr>
        <w:t>Law</w:t>
      </w:r>
      <w:proofErr w:type="spellEnd"/>
      <w:r w:rsidRPr="00B22CA9">
        <w:rPr>
          <w:rFonts w:ascii="Times New Roman" w:hAnsi="Times New Roman" w:cs="Times New Roman"/>
          <w:i/>
          <w:iCs/>
          <w:sz w:val="24"/>
          <w:szCs w:val="24"/>
          <w:lang w:val="es-ES"/>
        </w:rPr>
        <w:t xml:space="preserve"> </w:t>
      </w:r>
      <w:proofErr w:type="spellStart"/>
      <w:r w:rsidRPr="00B22CA9">
        <w:rPr>
          <w:rFonts w:ascii="Times New Roman" w:hAnsi="Times New Roman" w:cs="Times New Roman"/>
          <w:i/>
          <w:iCs/>
          <w:sz w:val="24"/>
          <w:szCs w:val="24"/>
          <w:lang w:val="es-ES"/>
        </w:rPr>
        <w:t>Review</w:t>
      </w:r>
      <w:proofErr w:type="spellEnd"/>
      <w:r w:rsidR="00F70D8E" w:rsidRPr="00B22CA9">
        <w:rPr>
          <w:rFonts w:ascii="Times New Roman" w:hAnsi="Times New Roman" w:cs="Times New Roman"/>
          <w:sz w:val="24"/>
          <w:szCs w:val="24"/>
          <w:lang w:val="es-ES"/>
        </w:rPr>
        <w:t>, 9/4, 425</w:t>
      </w:r>
      <w:r w:rsidR="008E1910" w:rsidRPr="00B22CA9">
        <w:rPr>
          <w:rFonts w:ascii="Times New Roman" w:hAnsi="Times New Roman" w:cs="Times New Roman"/>
          <w:sz w:val="24"/>
          <w:szCs w:val="24"/>
          <w:lang w:val="es-ES"/>
        </w:rPr>
        <w:t>-</w:t>
      </w:r>
      <w:r w:rsidRPr="00B22CA9">
        <w:rPr>
          <w:rFonts w:ascii="Times New Roman" w:hAnsi="Times New Roman" w:cs="Times New Roman"/>
          <w:sz w:val="24"/>
          <w:szCs w:val="24"/>
          <w:lang w:val="es-ES"/>
        </w:rPr>
        <w:t>438</w:t>
      </w:r>
      <w:r w:rsidR="005D734B" w:rsidRPr="00B22CA9">
        <w:rPr>
          <w:rFonts w:ascii="Times New Roman" w:hAnsi="Times New Roman" w:cs="Times New Roman"/>
          <w:sz w:val="24"/>
          <w:szCs w:val="24"/>
          <w:lang w:val="es-ES"/>
        </w:rPr>
        <w:t>.</w:t>
      </w:r>
      <w:r w:rsidR="00F70D8E" w:rsidRPr="00B22CA9">
        <w:rPr>
          <w:rFonts w:ascii="Times New Roman" w:hAnsi="Times New Roman" w:cs="Times New Roman"/>
          <w:sz w:val="24"/>
          <w:szCs w:val="24"/>
          <w:lang w:val="es-ES"/>
        </w:rPr>
        <w:t xml:space="preserve">  </w:t>
      </w:r>
    </w:p>
    <w:sectPr w:rsidR="00BE7358" w:rsidRPr="00B22CA9" w:rsidSect="002263C9">
      <w:footnotePr>
        <w:numRestart w:val="eachSect"/>
      </w:footnotePr>
      <w:type w:val="continuous"/>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3D35" w:rsidRDefault="004E3D35" w:rsidP="00B06572">
      <w:pPr>
        <w:spacing w:after="0" w:line="240" w:lineRule="auto"/>
      </w:pPr>
      <w:r>
        <w:separator/>
      </w:r>
    </w:p>
  </w:endnote>
  <w:endnote w:type="continuationSeparator" w:id="0">
    <w:p w:rsidR="004E3D35" w:rsidRDefault="004E3D35" w:rsidP="00B065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3D35" w:rsidRDefault="004E3D35" w:rsidP="00B06572">
      <w:pPr>
        <w:spacing w:after="0" w:line="240" w:lineRule="auto"/>
      </w:pPr>
      <w:r>
        <w:separator/>
      </w:r>
    </w:p>
  </w:footnote>
  <w:footnote w:type="continuationSeparator" w:id="0">
    <w:p w:rsidR="004E3D35" w:rsidRDefault="004E3D35" w:rsidP="00B06572">
      <w:pPr>
        <w:spacing w:after="0" w:line="240" w:lineRule="auto"/>
      </w:pPr>
      <w:r>
        <w:continuationSeparator/>
      </w:r>
    </w:p>
  </w:footnote>
  <w:footnote w:id="1">
    <w:p w:rsidR="003250B2" w:rsidRPr="00433988" w:rsidRDefault="003250B2" w:rsidP="006A3992">
      <w:pPr>
        <w:pStyle w:val="Textonotapie"/>
        <w:jc w:val="both"/>
        <w:rPr>
          <w:rFonts w:ascii="Times New Roman" w:hAnsi="Times New Roman" w:cs="Times New Roman"/>
          <w:lang w:val="es-ES"/>
        </w:rPr>
      </w:pPr>
      <w:r w:rsidRPr="00433988">
        <w:rPr>
          <w:rStyle w:val="Refdenotaalpie"/>
          <w:rFonts w:ascii="Times New Roman" w:hAnsi="Times New Roman" w:cs="Times New Roman"/>
        </w:rPr>
        <w:footnoteRef/>
      </w:r>
      <w:r w:rsidRPr="00433988">
        <w:rPr>
          <w:rFonts w:ascii="Times New Roman" w:hAnsi="Times New Roman" w:cs="Times New Roman"/>
          <w:lang w:val="es-ES"/>
        </w:rPr>
        <w:t xml:space="preserve"> Profesora Titular de Derecho Constitucional de la Universidad de Sevilla. Este artículo es fruto de la estancia realizada </w:t>
      </w:r>
      <w:r w:rsidR="008F7E7B" w:rsidRPr="00433988">
        <w:rPr>
          <w:rFonts w:ascii="Times New Roman" w:hAnsi="Times New Roman" w:cs="Times New Roman"/>
          <w:lang w:val="es-ES"/>
        </w:rPr>
        <w:t xml:space="preserve">entre febrero y julio de </w:t>
      </w:r>
      <w:r w:rsidRPr="00433988">
        <w:rPr>
          <w:rFonts w:ascii="Times New Roman" w:hAnsi="Times New Roman" w:cs="Times New Roman"/>
          <w:lang w:val="es-ES"/>
        </w:rPr>
        <w:t xml:space="preserve">2018 en el </w:t>
      </w:r>
      <w:r w:rsidRPr="00433988">
        <w:rPr>
          <w:rFonts w:ascii="Times New Roman" w:hAnsi="Times New Roman" w:cs="Times New Roman"/>
          <w:i/>
          <w:lang w:val="es-ES"/>
        </w:rPr>
        <w:t>Robert</w:t>
      </w:r>
      <w:r w:rsidRPr="00433988">
        <w:rPr>
          <w:rFonts w:ascii="Times New Roman" w:hAnsi="Times New Roman" w:cs="Times New Roman"/>
          <w:lang w:val="es-ES"/>
        </w:rPr>
        <w:t xml:space="preserve"> </w:t>
      </w:r>
      <w:proofErr w:type="spellStart"/>
      <w:r w:rsidRPr="00433988">
        <w:rPr>
          <w:rFonts w:ascii="Times New Roman" w:hAnsi="Times New Roman" w:cs="Times New Roman"/>
          <w:i/>
          <w:lang w:val="es-ES"/>
        </w:rPr>
        <w:t>Schuman</w:t>
      </w:r>
      <w:proofErr w:type="spellEnd"/>
      <w:r w:rsidRPr="00433988">
        <w:rPr>
          <w:rFonts w:ascii="Times New Roman" w:hAnsi="Times New Roman" w:cs="Times New Roman"/>
          <w:lang w:val="es-ES"/>
        </w:rPr>
        <w:t xml:space="preserve"> </w:t>
      </w:r>
      <w:r w:rsidRPr="00433988">
        <w:rPr>
          <w:rFonts w:ascii="Times New Roman" w:hAnsi="Times New Roman" w:cs="Times New Roman"/>
          <w:i/>
          <w:lang w:val="es-ES"/>
        </w:rPr>
        <w:t>Center</w:t>
      </w:r>
      <w:r w:rsidRPr="00433988">
        <w:rPr>
          <w:rFonts w:ascii="Times New Roman" w:hAnsi="Times New Roman" w:cs="Times New Roman"/>
          <w:lang w:val="es-ES"/>
        </w:rPr>
        <w:t xml:space="preserve"> </w:t>
      </w:r>
      <w:proofErr w:type="spellStart"/>
      <w:r w:rsidRPr="00433988">
        <w:rPr>
          <w:rFonts w:ascii="Times New Roman" w:hAnsi="Times New Roman" w:cs="Times New Roman"/>
          <w:i/>
          <w:lang w:val="es-ES"/>
        </w:rPr>
        <w:t>for</w:t>
      </w:r>
      <w:proofErr w:type="spellEnd"/>
      <w:r w:rsidRPr="00433988">
        <w:rPr>
          <w:rFonts w:ascii="Times New Roman" w:hAnsi="Times New Roman" w:cs="Times New Roman"/>
          <w:lang w:val="es-ES"/>
        </w:rPr>
        <w:t xml:space="preserve"> </w:t>
      </w:r>
      <w:proofErr w:type="spellStart"/>
      <w:r w:rsidRPr="00433988">
        <w:rPr>
          <w:rFonts w:ascii="Times New Roman" w:hAnsi="Times New Roman" w:cs="Times New Roman"/>
          <w:i/>
          <w:lang w:val="es-ES"/>
        </w:rPr>
        <w:t>European</w:t>
      </w:r>
      <w:proofErr w:type="spellEnd"/>
      <w:r w:rsidRPr="00433988">
        <w:rPr>
          <w:rFonts w:ascii="Times New Roman" w:hAnsi="Times New Roman" w:cs="Times New Roman"/>
          <w:lang w:val="es-ES"/>
        </w:rPr>
        <w:t xml:space="preserve"> </w:t>
      </w:r>
      <w:proofErr w:type="spellStart"/>
      <w:r w:rsidRPr="00433988">
        <w:rPr>
          <w:rFonts w:ascii="Times New Roman" w:hAnsi="Times New Roman" w:cs="Times New Roman"/>
          <w:i/>
          <w:lang w:val="es-ES"/>
        </w:rPr>
        <w:t>Studies</w:t>
      </w:r>
      <w:proofErr w:type="spellEnd"/>
      <w:r w:rsidRPr="00433988">
        <w:rPr>
          <w:rFonts w:ascii="Times New Roman" w:hAnsi="Times New Roman" w:cs="Times New Roman"/>
          <w:lang w:val="es-ES"/>
        </w:rPr>
        <w:t xml:space="preserve"> del Instituto Universitario Europeo de Florencia, financiada por el programa “José Castillejo” del Ministerio de Educación y Cultura (CAS170075) dentro del plan nacional para la promoción del talento, subprograma de movilidad, programa para la investigación e innovación técnica y científica 2013-2016. Está vinculado al proyecto de investigación “Desafíos en la construcción del espacio europeo de derechos fundamentales (DER-2017-83779-P), financiado por el Ministerio de Economía y Competitividad. Todas las fuentes electrónicas incluidas en este trabajo han sido recuperadas en fecha 2</w:t>
      </w:r>
      <w:r w:rsidR="00061499" w:rsidRPr="00433988">
        <w:rPr>
          <w:rFonts w:ascii="Times New Roman" w:hAnsi="Times New Roman" w:cs="Times New Roman"/>
          <w:lang w:val="es-ES"/>
        </w:rPr>
        <w:t>3-</w:t>
      </w:r>
      <w:r w:rsidRPr="00433988">
        <w:rPr>
          <w:rFonts w:ascii="Times New Roman" w:hAnsi="Times New Roman" w:cs="Times New Roman"/>
          <w:lang w:val="es-ES"/>
        </w:rPr>
        <w:t>09</w:t>
      </w:r>
      <w:r w:rsidR="00061499" w:rsidRPr="00433988">
        <w:rPr>
          <w:rFonts w:ascii="Times New Roman" w:hAnsi="Times New Roman" w:cs="Times New Roman"/>
          <w:lang w:val="es-ES"/>
        </w:rPr>
        <w:t>-</w:t>
      </w:r>
      <w:r w:rsidRPr="00433988">
        <w:rPr>
          <w:rFonts w:ascii="Times New Roman" w:hAnsi="Times New Roman" w:cs="Times New Roman"/>
          <w:lang w:val="es-ES"/>
        </w:rPr>
        <w:t>2018.</w:t>
      </w:r>
    </w:p>
  </w:footnote>
  <w:footnote w:id="2">
    <w:p w:rsidR="003250B2" w:rsidRPr="00433988" w:rsidRDefault="003250B2" w:rsidP="00500DE5">
      <w:pPr>
        <w:pStyle w:val="Textonotapie"/>
        <w:jc w:val="both"/>
        <w:rPr>
          <w:rFonts w:ascii="Times New Roman" w:hAnsi="Times New Roman" w:cs="Times New Roman"/>
          <w:lang w:val="es-ES"/>
        </w:rPr>
      </w:pPr>
      <w:r w:rsidRPr="00433988">
        <w:rPr>
          <w:rStyle w:val="Refdenotaalpie"/>
          <w:rFonts w:ascii="Times New Roman" w:hAnsi="Times New Roman" w:cs="Times New Roman"/>
        </w:rPr>
        <w:footnoteRef/>
      </w:r>
      <w:r w:rsidRPr="00433988">
        <w:rPr>
          <w:rFonts w:ascii="Times New Roman" w:hAnsi="Times New Roman" w:cs="Times New Roman"/>
          <w:lang w:val="es-ES"/>
        </w:rPr>
        <w:t xml:space="preserve"> En palabras de Cruz Villalón (2017: 93): la Carta “se convierte en parámetro preciso de la constitucionalidad </w:t>
      </w:r>
      <w:proofErr w:type="spellStart"/>
      <w:r w:rsidRPr="00433988">
        <w:rPr>
          <w:rFonts w:ascii="Times New Roman" w:hAnsi="Times New Roman" w:cs="Times New Roman"/>
          <w:lang w:val="es-ES"/>
        </w:rPr>
        <w:t>ius</w:t>
      </w:r>
      <w:proofErr w:type="spellEnd"/>
      <w:r w:rsidRPr="00433988">
        <w:rPr>
          <w:rFonts w:ascii="Times New Roman" w:hAnsi="Times New Roman" w:cs="Times New Roman"/>
          <w:lang w:val="es-ES"/>
        </w:rPr>
        <w:t xml:space="preserve">-fundamental de todos los actos de los poderes públicos” de la Unión. Desde su primera formulación las cláusulas horizontales han sido claves en la configuración normativa de la Carta (Alonso García, 2002), siendo la posterior interpretación de las mismas la que ha confirmado su función constitucional (Cruz Villalón, 2016a).  </w:t>
      </w:r>
    </w:p>
  </w:footnote>
  <w:footnote w:id="3">
    <w:p w:rsidR="003250B2" w:rsidRPr="00433988" w:rsidRDefault="003250B2" w:rsidP="00574B92">
      <w:pPr>
        <w:pStyle w:val="Textonotapie"/>
        <w:jc w:val="both"/>
        <w:rPr>
          <w:rFonts w:ascii="Times New Roman" w:hAnsi="Times New Roman" w:cs="Times New Roman"/>
          <w:lang w:val="es-ES"/>
        </w:rPr>
      </w:pPr>
      <w:r w:rsidRPr="00433988">
        <w:rPr>
          <w:rStyle w:val="Refdenotaalpie"/>
          <w:rFonts w:ascii="Times New Roman" w:hAnsi="Times New Roman" w:cs="Times New Roman"/>
        </w:rPr>
        <w:footnoteRef/>
      </w:r>
      <w:r w:rsidRPr="00433988">
        <w:rPr>
          <w:rFonts w:ascii="Times New Roman" w:hAnsi="Times New Roman" w:cs="Times New Roman"/>
          <w:lang w:val="es-ES"/>
        </w:rPr>
        <w:t xml:space="preserve"> Fueron muchos los estudios publicados sobre el tema al principio de esta década (Rosas, 2012) (Iglesias Sánchez, 2012) (</w:t>
      </w:r>
      <w:proofErr w:type="spellStart"/>
      <w:r w:rsidRPr="00433988">
        <w:rPr>
          <w:rFonts w:ascii="Times New Roman" w:hAnsi="Times New Roman" w:cs="Times New Roman"/>
          <w:lang w:val="es-ES"/>
        </w:rPr>
        <w:t>Kaila</w:t>
      </w:r>
      <w:proofErr w:type="spellEnd"/>
      <w:r w:rsidRPr="00433988">
        <w:rPr>
          <w:rFonts w:ascii="Times New Roman" w:hAnsi="Times New Roman" w:cs="Times New Roman"/>
          <w:lang w:val="es-ES"/>
        </w:rPr>
        <w:t>, 2012) (</w:t>
      </w:r>
      <w:proofErr w:type="spellStart"/>
      <w:r w:rsidRPr="00433988">
        <w:rPr>
          <w:rFonts w:ascii="Times New Roman" w:hAnsi="Times New Roman" w:cs="Times New Roman"/>
          <w:lang w:val="es-ES"/>
        </w:rPr>
        <w:t>Danwitz</w:t>
      </w:r>
      <w:proofErr w:type="spellEnd"/>
      <w:r w:rsidRPr="00433988">
        <w:rPr>
          <w:rFonts w:ascii="Times New Roman" w:hAnsi="Times New Roman" w:cs="Times New Roman"/>
          <w:lang w:val="es-ES"/>
        </w:rPr>
        <w:t xml:space="preserve"> y </w:t>
      </w:r>
      <w:proofErr w:type="spellStart"/>
      <w:r w:rsidRPr="00433988">
        <w:rPr>
          <w:rFonts w:ascii="Times New Roman" w:hAnsi="Times New Roman" w:cs="Times New Roman"/>
          <w:lang w:val="es-ES"/>
        </w:rPr>
        <w:t>Paraschas</w:t>
      </w:r>
      <w:proofErr w:type="spellEnd"/>
      <w:r w:rsidRPr="00433988">
        <w:rPr>
          <w:rFonts w:ascii="Times New Roman" w:hAnsi="Times New Roman" w:cs="Times New Roman"/>
          <w:lang w:val="es-ES"/>
        </w:rPr>
        <w:t>, 2012) (</w:t>
      </w:r>
      <w:proofErr w:type="spellStart"/>
      <w:r w:rsidRPr="00433988">
        <w:rPr>
          <w:rFonts w:ascii="Times New Roman" w:hAnsi="Times New Roman" w:cs="Times New Roman"/>
          <w:lang w:val="es-ES"/>
        </w:rPr>
        <w:t>Lenaerts</w:t>
      </w:r>
      <w:proofErr w:type="spellEnd"/>
      <w:r w:rsidRPr="00433988">
        <w:rPr>
          <w:rFonts w:ascii="Times New Roman" w:hAnsi="Times New Roman" w:cs="Times New Roman"/>
          <w:lang w:val="es-ES"/>
        </w:rPr>
        <w:t>, 2012).</w:t>
      </w:r>
    </w:p>
  </w:footnote>
  <w:footnote w:id="4">
    <w:p w:rsidR="003250B2" w:rsidRPr="00433988" w:rsidRDefault="003250B2" w:rsidP="00574B92">
      <w:pPr>
        <w:pStyle w:val="Textonotapie"/>
        <w:jc w:val="both"/>
        <w:rPr>
          <w:rFonts w:ascii="Times New Roman" w:hAnsi="Times New Roman" w:cs="Times New Roman"/>
          <w:lang w:val="es-ES"/>
        </w:rPr>
      </w:pPr>
      <w:r w:rsidRPr="00433988">
        <w:rPr>
          <w:rStyle w:val="Refdenotaalpie"/>
          <w:rFonts w:ascii="Times New Roman" w:hAnsi="Times New Roman" w:cs="Times New Roman"/>
        </w:rPr>
        <w:footnoteRef/>
      </w:r>
      <w:r w:rsidRPr="00433988">
        <w:rPr>
          <w:rFonts w:ascii="Times New Roman" w:hAnsi="Times New Roman" w:cs="Times New Roman"/>
          <w:lang w:val="es-ES"/>
        </w:rPr>
        <w:t xml:space="preserve"> En el mismo sentido se pronunciaron otros autores justo tras la elaboración y proclamación de la Carta. (</w:t>
      </w:r>
      <w:proofErr w:type="spellStart"/>
      <w:r w:rsidRPr="00433988">
        <w:rPr>
          <w:rFonts w:ascii="Times New Roman" w:hAnsi="Times New Roman" w:cs="Times New Roman"/>
          <w:lang w:val="es-ES"/>
        </w:rPr>
        <w:t>Eeckhout</w:t>
      </w:r>
      <w:proofErr w:type="spellEnd"/>
      <w:r w:rsidRPr="00433988">
        <w:rPr>
          <w:rFonts w:ascii="Times New Roman" w:hAnsi="Times New Roman" w:cs="Times New Roman"/>
          <w:lang w:val="es-ES"/>
        </w:rPr>
        <w:t>, 2002) (</w:t>
      </w:r>
      <w:proofErr w:type="spellStart"/>
      <w:r w:rsidRPr="00433988">
        <w:rPr>
          <w:rFonts w:ascii="Times New Roman" w:hAnsi="Times New Roman" w:cs="Times New Roman"/>
          <w:lang w:val="es-ES"/>
        </w:rPr>
        <w:t>Knook</w:t>
      </w:r>
      <w:proofErr w:type="spellEnd"/>
      <w:r w:rsidRPr="00433988">
        <w:rPr>
          <w:rFonts w:ascii="Times New Roman" w:hAnsi="Times New Roman" w:cs="Times New Roman"/>
          <w:lang w:val="es-ES"/>
        </w:rPr>
        <w:t xml:space="preserve">, 2005: 371).  </w:t>
      </w:r>
    </w:p>
  </w:footnote>
  <w:footnote w:id="5">
    <w:p w:rsidR="003250B2" w:rsidRPr="00433988" w:rsidRDefault="003250B2" w:rsidP="00810DAE">
      <w:pPr>
        <w:pStyle w:val="Textonotapie"/>
        <w:jc w:val="both"/>
        <w:rPr>
          <w:rFonts w:ascii="Times New Roman" w:hAnsi="Times New Roman" w:cs="Times New Roman"/>
          <w:lang w:val="es-ES"/>
        </w:rPr>
      </w:pPr>
      <w:r w:rsidRPr="00433988">
        <w:rPr>
          <w:rStyle w:val="Refdenotaalpie"/>
          <w:rFonts w:ascii="Times New Roman" w:hAnsi="Times New Roman" w:cs="Times New Roman"/>
        </w:rPr>
        <w:footnoteRef/>
      </w:r>
      <w:r w:rsidRPr="00433988">
        <w:rPr>
          <w:rFonts w:ascii="Times New Roman" w:hAnsi="Times New Roman" w:cs="Times New Roman"/>
          <w:lang w:val="es-ES"/>
        </w:rPr>
        <w:t xml:space="preserve"> Pasado un periodo de transición, como se recogía en el Protocolo 36 sobre disposiciones transitorias, en concreto en los apartados 1 a 3 del artículo 10. Sobre la repercusión que esto tiene en relación con los procedimientos ante el TJUE (</w:t>
      </w:r>
      <w:proofErr w:type="spellStart"/>
      <w:r w:rsidRPr="00433988">
        <w:rPr>
          <w:rFonts w:ascii="Times New Roman" w:hAnsi="Times New Roman" w:cs="Times New Roman"/>
          <w:lang w:val="es-ES"/>
        </w:rPr>
        <w:t>Koops</w:t>
      </w:r>
      <w:proofErr w:type="spellEnd"/>
      <w:r w:rsidRPr="00433988">
        <w:rPr>
          <w:rFonts w:ascii="Times New Roman" w:hAnsi="Times New Roman" w:cs="Times New Roman"/>
          <w:lang w:val="es-ES"/>
        </w:rPr>
        <w:t xml:space="preserve">, 2014: 132).  </w:t>
      </w:r>
    </w:p>
  </w:footnote>
  <w:footnote w:id="6">
    <w:p w:rsidR="003250B2" w:rsidRPr="00433988" w:rsidRDefault="003250B2" w:rsidP="0045743F">
      <w:pPr>
        <w:pStyle w:val="Textonotapie"/>
        <w:jc w:val="both"/>
        <w:rPr>
          <w:rFonts w:ascii="Times New Roman" w:hAnsi="Times New Roman" w:cs="Times New Roman"/>
          <w:lang w:val="es-ES"/>
        </w:rPr>
      </w:pPr>
      <w:r w:rsidRPr="00433988">
        <w:rPr>
          <w:rStyle w:val="Refdenotaalpie"/>
          <w:rFonts w:ascii="Times New Roman" w:hAnsi="Times New Roman" w:cs="Times New Roman"/>
        </w:rPr>
        <w:footnoteRef/>
      </w:r>
      <w:r w:rsidRPr="00433988">
        <w:rPr>
          <w:rFonts w:ascii="Times New Roman" w:hAnsi="Times New Roman" w:cs="Times New Roman"/>
          <w:lang w:val="es-ES"/>
        </w:rPr>
        <w:t xml:space="preserve"> La idea bá</w:t>
      </w:r>
      <w:r w:rsidR="00EA6435" w:rsidRPr="00433988">
        <w:rPr>
          <w:rFonts w:ascii="Times New Roman" w:hAnsi="Times New Roman" w:cs="Times New Roman"/>
          <w:lang w:val="es-ES"/>
        </w:rPr>
        <w:t>sica es que la vinculación del d</w:t>
      </w:r>
      <w:r w:rsidRPr="00433988">
        <w:rPr>
          <w:rFonts w:ascii="Times New Roman" w:hAnsi="Times New Roman" w:cs="Times New Roman"/>
          <w:lang w:val="es-ES"/>
        </w:rPr>
        <w:t xml:space="preserve">erecho de la Unión con las competencias propias del proyecto de integración ha determinado, por lo general, las líneas de interpretación de los derechos fundamentales que son específicas de la jurisprudencia del Tribunal de Justicia. Se trata de líneas en las que la necesidad de convergencia con las otras estrictamente constitucionales, las propias de la justicia constitucional estatal, o equiparables a estas, la del Tribunal de Estrasburgo, nunca se ha planteado como un absoluto (Azpitarte Sánchez, 2015: 254). </w:t>
      </w:r>
    </w:p>
  </w:footnote>
  <w:footnote w:id="7">
    <w:p w:rsidR="003250B2" w:rsidRPr="00433988" w:rsidRDefault="003250B2" w:rsidP="00A51BDD">
      <w:pPr>
        <w:pStyle w:val="Textonotapie"/>
        <w:jc w:val="both"/>
        <w:rPr>
          <w:rFonts w:ascii="Times New Roman" w:hAnsi="Times New Roman" w:cs="Times New Roman"/>
          <w:lang w:val="es-ES"/>
        </w:rPr>
      </w:pPr>
      <w:r w:rsidRPr="00433988">
        <w:rPr>
          <w:rStyle w:val="Refdenotaalpie"/>
          <w:rFonts w:ascii="Times New Roman" w:hAnsi="Times New Roman" w:cs="Times New Roman"/>
        </w:rPr>
        <w:footnoteRef/>
      </w:r>
      <w:r w:rsidRPr="00433988">
        <w:rPr>
          <w:rFonts w:ascii="Times New Roman" w:hAnsi="Times New Roman" w:cs="Times New Roman"/>
          <w:lang w:val="es-ES"/>
        </w:rPr>
        <w:t xml:space="preserve"> Sentencias de 26 de febrero de 2013, </w:t>
      </w:r>
      <w:proofErr w:type="spellStart"/>
      <w:r w:rsidRPr="00433988">
        <w:rPr>
          <w:rFonts w:ascii="Times New Roman" w:hAnsi="Times New Roman" w:cs="Times New Roman"/>
          <w:iCs/>
          <w:lang w:val="es-ES"/>
        </w:rPr>
        <w:t>Fransson</w:t>
      </w:r>
      <w:proofErr w:type="spellEnd"/>
      <w:r w:rsidRPr="00433988">
        <w:rPr>
          <w:rFonts w:ascii="Times New Roman" w:hAnsi="Times New Roman" w:cs="Times New Roman"/>
          <w:lang w:val="es-ES"/>
        </w:rPr>
        <w:t xml:space="preserve">, C-617/10, EU:C:2013:105; y de 26 de febrero de 2013, </w:t>
      </w:r>
      <w:proofErr w:type="spellStart"/>
      <w:r w:rsidRPr="00433988">
        <w:rPr>
          <w:rFonts w:ascii="Times New Roman" w:hAnsi="Times New Roman" w:cs="Times New Roman"/>
          <w:iCs/>
          <w:lang w:val="es-ES"/>
        </w:rPr>
        <w:t>Melloni</w:t>
      </w:r>
      <w:proofErr w:type="spellEnd"/>
      <w:r w:rsidRPr="00433988">
        <w:rPr>
          <w:rFonts w:ascii="Times New Roman" w:hAnsi="Times New Roman" w:cs="Times New Roman"/>
          <w:lang w:val="es-ES"/>
        </w:rPr>
        <w:t>, C-399/11, EU:C:2013:107.</w:t>
      </w:r>
    </w:p>
  </w:footnote>
  <w:footnote w:id="8">
    <w:p w:rsidR="003250B2" w:rsidRPr="00433988" w:rsidRDefault="003250B2" w:rsidP="00574B92">
      <w:pPr>
        <w:pStyle w:val="Textonotapie"/>
        <w:jc w:val="both"/>
        <w:rPr>
          <w:rFonts w:ascii="Times New Roman" w:hAnsi="Times New Roman" w:cs="Times New Roman"/>
          <w:lang w:val="es-ES"/>
        </w:rPr>
      </w:pPr>
      <w:r w:rsidRPr="00433988">
        <w:rPr>
          <w:rStyle w:val="Refdenotaalpie"/>
          <w:rFonts w:ascii="Times New Roman" w:hAnsi="Times New Roman" w:cs="Times New Roman"/>
        </w:rPr>
        <w:footnoteRef/>
      </w:r>
      <w:r w:rsidRPr="00433988">
        <w:rPr>
          <w:rFonts w:ascii="Times New Roman" w:hAnsi="Times New Roman" w:cs="Times New Roman"/>
          <w:lang w:val="es-ES"/>
        </w:rPr>
        <w:t xml:space="preserve"> En realidad el debate gira en torno al término inglés </w:t>
      </w:r>
      <w:proofErr w:type="spellStart"/>
      <w:r w:rsidRPr="00433988">
        <w:rPr>
          <w:rFonts w:ascii="Times New Roman" w:hAnsi="Times New Roman" w:cs="Times New Roman"/>
          <w:i/>
          <w:lang w:val="es-ES"/>
        </w:rPr>
        <w:t>implementation</w:t>
      </w:r>
      <w:proofErr w:type="spellEnd"/>
      <w:r w:rsidRPr="00433988">
        <w:rPr>
          <w:rFonts w:ascii="Times New Roman" w:hAnsi="Times New Roman" w:cs="Times New Roman"/>
          <w:i/>
          <w:lang w:val="es-ES"/>
        </w:rPr>
        <w:t xml:space="preserve"> </w:t>
      </w:r>
      <w:r w:rsidRPr="00433988">
        <w:rPr>
          <w:rFonts w:ascii="Times New Roman" w:hAnsi="Times New Roman" w:cs="Times New Roman"/>
          <w:lang w:val="es-ES"/>
        </w:rPr>
        <w:t>que el TJUE interpreta de una manera amplia (</w:t>
      </w:r>
      <w:proofErr w:type="spellStart"/>
      <w:r w:rsidRPr="00433988">
        <w:rPr>
          <w:rFonts w:ascii="Times New Roman" w:hAnsi="Times New Roman" w:cs="Times New Roman"/>
          <w:lang w:val="es-ES"/>
        </w:rPr>
        <w:t>Robin</w:t>
      </w:r>
      <w:proofErr w:type="spellEnd"/>
      <w:r w:rsidRPr="00433988">
        <w:rPr>
          <w:rFonts w:ascii="Times New Roman" w:hAnsi="Times New Roman" w:cs="Times New Roman"/>
          <w:lang w:val="es-ES"/>
        </w:rPr>
        <w:t xml:space="preserve"> Olivier, 2014: 26). La diferencia de matiz entre implementación y aplicación había sido explicado, con anterioridad, por </w:t>
      </w:r>
      <w:proofErr w:type="spellStart"/>
      <w:r w:rsidRPr="00433988">
        <w:rPr>
          <w:rFonts w:ascii="Times New Roman" w:hAnsi="Times New Roman" w:cs="Times New Roman"/>
          <w:lang w:val="es-ES"/>
        </w:rPr>
        <w:t>Biglino</w:t>
      </w:r>
      <w:proofErr w:type="spellEnd"/>
      <w:r w:rsidRPr="00433988">
        <w:rPr>
          <w:rFonts w:ascii="Times New Roman" w:hAnsi="Times New Roman" w:cs="Times New Roman"/>
          <w:lang w:val="es-ES"/>
        </w:rPr>
        <w:t xml:space="preserve"> Campos </w:t>
      </w:r>
      <w:r w:rsidRPr="00433988">
        <w:rPr>
          <w:rFonts w:ascii="Times New Roman" w:hAnsi="Times New Roman" w:cs="Times New Roman"/>
          <w:lang w:val="es-ES_tradnl"/>
        </w:rPr>
        <w:t>(2003: 56)</w:t>
      </w:r>
      <w:r w:rsidRPr="00433988">
        <w:rPr>
          <w:rFonts w:ascii="Times New Roman" w:hAnsi="Times New Roman" w:cs="Times New Roman"/>
          <w:lang w:val="es-ES"/>
        </w:rPr>
        <w:t xml:space="preserve">, quien argumentaba que ese término, </w:t>
      </w:r>
      <w:r w:rsidRPr="00433988">
        <w:rPr>
          <w:rFonts w:ascii="Times New Roman" w:hAnsi="Times New Roman" w:cs="Times New Roman"/>
          <w:lang w:val="es-ES_tradnl"/>
        </w:rPr>
        <w:t xml:space="preserve">implementar, no remite a una mera operación de subsunción de la norma en el supuesto de hecho, que es lo que denota el término aplicación, sino que supone una acción de creación normativa de la que surge una norma intermedia, es decir, la norma interpretada, siendo esta última la que se integra en el caso concreto en el sentido </w:t>
      </w:r>
      <w:proofErr w:type="spellStart"/>
      <w:r w:rsidRPr="00433988">
        <w:rPr>
          <w:rFonts w:ascii="Times New Roman" w:hAnsi="Times New Roman" w:cs="Times New Roman"/>
          <w:lang w:val="es-ES_tradnl"/>
        </w:rPr>
        <w:t>kelseniano</w:t>
      </w:r>
      <w:proofErr w:type="spellEnd"/>
      <w:r w:rsidRPr="00433988">
        <w:rPr>
          <w:rFonts w:ascii="Times New Roman" w:hAnsi="Times New Roman" w:cs="Times New Roman"/>
          <w:lang w:val="es-ES_tradnl"/>
        </w:rPr>
        <w:t>. Sobre la dificultad hermenéutica que plantean las distintas versiones lingüísticas, todas auténticas, del artículo 51 también se han pronunciado otros autores (Rosas, 2012: 1277); (Sarmiento, 2013; 1275), (</w:t>
      </w:r>
      <w:proofErr w:type="spellStart"/>
      <w:r w:rsidRPr="00433988">
        <w:rPr>
          <w:rFonts w:ascii="Times New Roman" w:hAnsi="Times New Roman" w:cs="Times New Roman"/>
          <w:lang w:val="es-ES_tradnl"/>
        </w:rPr>
        <w:t>Robin</w:t>
      </w:r>
      <w:proofErr w:type="spellEnd"/>
      <w:r w:rsidRPr="00433988">
        <w:rPr>
          <w:rFonts w:ascii="Times New Roman" w:hAnsi="Times New Roman" w:cs="Times New Roman"/>
          <w:lang w:val="es-ES_tradnl"/>
        </w:rPr>
        <w:t xml:space="preserve"> Olivier, 2014: 26)</w:t>
      </w:r>
      <w:r w:rsidRPr="00433988">
        <w:rPr>
          <w:rFonts w:ascii="Times New Roman" w:hAnsi="Times New Roman" w:cs="Times New Roman"/>
          <w:lang w:val="es-ES"/>
        </w:rPr>
        <w:t xml:space="preserve">.  </w:t>
      </w:r>
    </w:p>
  </w:footnote>
  <w:footnote w:id="9">
    <w:p w:rsidR="003250B2" w:rsidRPr="00433988" w:rsidRDefault="003250B2" w:rsidP="00574B92">
      <w:pPr>
        <w:pStyle w:val="Textonotapie"/>
        <w:jc w:val="both"/>
        <w:rPr>
          <w:rFonts w:ascii="Times New Roman" w:hAnsi="Times New Roman" w:cs="Times New Roman"/>
          <w:lang w:val="es-ES"/>
        </w:rPr>
      </w:pPr>
      <w:r w:rsidRPr="00433988">
        <w:rPr>
          <w:rStyle w:val="Refdenotaalpie"/>
          <w:rFonts w:ascii="Times New Roman" w:hAnsi="Times New Roman" w:cs="Times New Roman"/>
        </w:rPr>
        <w:footnoteRef/>
      </w:r>
      <w:r w:rsidRPr="00433988">
        <w:rPr>
          <w:rFonts w:ascii="Times New Roman" w:hAnsi="Times New Roman" w:cs="Times New Roman"/>
          <w:lang w:val="es-ES"/>
        </w:rPr>
        <w:t xml:space="preserve"> Obligando, por tanto, al juez nacional a plantear la cuestión prejudicial si no hay un precedente claro siguiendo la jurisprudencia </w:t>
      </w:r>
      <w:r w:rsidRPr="00433988">
        <w:rPr>
          <w:rFonts w:ascii="Times New Roman" w:hAnsi="Times New Roman" w:cs="Times New Roman"/>
          <w:i/>
          <w:lang w:val="es-ES"/>
        </w:rPr>
        <w:t>CILFIT</w:t>
      </w:r>
      <w:r w:rsidRPr="00433988">
        <w:rPr>
          <w:rFonts w:ascii="Times New Roman" w:hAnsi="Times New Roman" w:cs="Times New Roman"/>
          <w:lang w:val="es-ES"/>
        </w:rPr>
        <w:t>. No hay que olvidar que la clarificación del ámbito de aplicación no deja de ser, en particular para los titulares de los derechos, una cuestión de seguridad jurídica (Ward, 2014: 1453).</w:t>
      </w:r>
    </w:p>
  </w:footnote>
  <w:footnote w:id="10">
    <w:p w:rsidR="003250B2" w:rsidRPr="00433988" w:rsidRDefault="003250B2" w:rsidP="00227D8A">
      <w:pPr>
        <w:pStyle w:val="Textonotapie"/>
        <w:jc w:val="both"/>
        <w:rPr>
          <w:rFonts w:ascii="Times New Roman" w:hAnsi="Times New Roman" w:cs="Times New Roman"/>
        </w:rPr>
      </w:pPr>
      <w:r w:rsidRPr="00433988">
        <w:rPr>
          <w:rStyle w:val="Refdenotaalpie"/>
          <w:rFonts w:ascii="Times New Roman" w:hAnsi="Times New Roman" w:cs="Times New Roman"/>
        </w:rPr>
        <w:footnoteRef/>
      </w:r>
      <w:r w:rsidRPr="00433988">
        <w:rPr>
          <w:rFonts w:ascii="Times New Roman" w:hAnsi="Times New Roman" w:cs="Times New Roman"/>
        </w:rPr>
        <w:t xml:space="preserve"> Communication of the Commission of October 19</w:t>
      </w:r>
      <w:r w:rsidRPr="00433988">
        <w:rPr>
          <w:rFonts w:ascii="Times New Roman" w:hAnsi="Times New Roman" w:cs="Times New Roman"/>
          <w:vertAlign w:val="superscript"/>
        </w:rPr>
        <w:t>th</w:t>
      </w:r>
      <w:r w:rsidRPr="00433988">
        <w:rPr>
          <w:rFonts w:ascii="Times New Roman" w:hAnsi="Times New Roman" w:cs="Times New Roman"/>
        </w:rPr>
        <w:t xml:space="preserve"> 2010, </w:t>
      </w:r>
      <w:r w:rsidRPr="00433988">
        <w:rPr>
          <w:rFonts w:ascii="Times New Roman" w:hAnsi="Times New Roman" w:cs="Times New Roman"/>
          <w:i/>
          <w:iCs/>
        </w:rPr>
        <w:t>Strategy for the effective implementation of the Charter of Fundamental Rights by the European Union</w:t>
      </w:r>
      <w:r w:rsidRPr="00433988">
        <w:rPr>
          <w:rFonts w:ascii="Times New Roman" w:hAnsi="Times New Roman" w:cs="Times New Roman"/>
        </w:rPr>
        <w:t>, COM(2010) 573 final, p. 10.</w:t>
      </w:r>
    </w:p>
  </w:footnote>
  <w:footnote w:id="11">
    <w:p w:rsidR="003250B2" w:rsidRPr="00433988" w:rsidRDefault="003250B2" w:rsidP="00574B92">
      <w:pPr>
        <w:pStyle w:val="Textonotapie"/>
        <w:jc w:val="both"/>
        <w:rPr>
          <w:rFonts w:ascii="Times New Roman" w:hAnsi="Times New Roman" w:cs="Times New Roman"/>
          <w:lang w:val="es-ES"/>
        </w:rPr>
      </w:pPr>
      <w:r w:rsidRPr="00433988">
        <w:rPr>
          <w:rStyle w:val="Refdenotaalpie"/>
          <w:rFonts w:ascii="Times New Roman" w:hAnsi="Times New Roman" w:cs="Times New Roman"/>
        </w:rPr>
        <w:footnoteRef/>
      </w:r>
      <w:r w:rsidRPr="00433988">
        <w:rPr>
          <w:rFonts w:ascii="Times New Roman" w:hAnsi="Times New Roman" w:cs="Times New Roman"/>
          <w:lang w:val="es-ES"/>
        </w:rPr>
        <w:t xml:space="preserve"> Podría decirse que el debate doctrinal se inicia con el artículo de Von </w:t>
      </w:r>
      <w:proofErr w:type="spellStart"/>
      <w:r w:rsidRPr="00433988">
        <w:rPr>
          <w:rFonts w:ascii="Times New Roman" w:hAnsi="Times New Roman" w:cs="Times New Roman"/>
          <w:lang w:val="es-ES"/>
        </w:rPr>
        <w:t>Bogdandy</w:t>
      </w:r>
      <w:proofErr w:type="spellEnd"/>
      <w:r w:rsidRPr="00433988">
        <w:rPr>
          <w:rFonts w:ascii="Times New Roman" w:hAnsi="Times New Roman" w:cs="Times New Roman"/>
          <w:lang w:val="es-ES"/>
        </w:rPr>
        <w:t xml:space="preserve"> y otros (2012) sobre la reversión del argumento de la sentencia </w:t>
      </w:r>
      <w:r w:rsidRPr="00433988">
        <w:rPr>
          <w:rFonts w:ascii="Times New Roman" w:hAnsi="Times New Roman" w:cs="Times New Roman"/>
          <w:i/>
          <w:iCs/>
          <w:lang w:val="es-ES"/>
        </w:rPr>
        <w:t>Solange</w:t>
      </w:r>
      <w:r w:rsidRPr="00433988">
        <w:rPr>
          <w:rFonts w:ascii="Times New Roman" w:hAnsi="Times New Roman" w:cs="Times New Roman"/>
          <w:lang w:val="es-ES"/>
        </w:rPr>
        <w:t xml:space="preserve"> del Tribunal Federal alemán, estimando que los derechos fundamentales de la Carta estarían vinculados a la ciudadanía europea y, desde ahí, desplegarían eficacia directa independientemente de su relación con el Derecho derivado. Más adelante se retomará esta propuesta específica en el epígrafe tercero de este trabajo. Las reflexiones fundamentales sobre esta materia están recogidas en estas dos obras recientes sobre el control del respeto al imperio de la ley en los Estados por parte de la Unión (</w:t>
      </w:r>
      <w:proofErr w:type="spellStart"/>
      <w:r w:rsidRPr="00433988">
        <w:rPr>
          <w:rFonts w:ascii="Times New Roman" w:hAnsi="Times New Roman" w:cs="Times New Roman"/>
          <w:lang w:val="es-ES"/>
        </w:rPr>
        <w:t>Closa</w:t>
      </w:r>
      <w:proofErr w:type="spellEnd"/>
      <w:r w:rsidRPr="00433988">
        <w:rPr>
          <w:rFonts w:ascii="Times New Roman" w:hAnsi="Times New Roman" w:cs="Times New Roman"/>
          <w:lang w:val="es-ES"/>
        </w:rPr>
        <w:t xml:space="preserve"> </w:t>
      </w:r>
      <w:r w:rsidRPr="00433988">
        <w:rPr>
          <w:rFonts w:ascii="Times New Roman" w:hAnsi="Times New Roman" w:cs="Times New Roman"/>
          <w:i/>
          <w:iCs/>
          <w:lang w:val="es-ES"/>
        </w:rPr>
        <w:t>et al.</w:t>
      </w:r>
      <w:r w:rsidRPr="00433988">
        <w:rPr>
          <w:rFonts w:ascii="Times New Roman" w:hAnsi="Times New Roman" w:cs="Times New Roman"/>
          <w:lang w:val="es-ES"/>
        </w:rPr>
        <w:t>, 2016); (</w:t>
      </w:r>
      <w:proofErr w:type="spellStart"/>
      <w:r w:rsidRPr="00433988">
        <w:rPr>
          <w:rFonts w:ascii="Times New Roman" w:hAnsi="Times New Roman" w:cs="Times New Roman"/>
          <w:lang w:val="es-ES"/>
        </w:rPr>
        <w:t>Jakab</w:t>
      </w:r>
      <w:proofErr w:type="spellEnd"/>
      <w:r w:rsidRPr="00433988">
        <w:rPr>
          <w:rFonts w:ascii="Times New Roman" w:hAnsi="Times New Roman" w:cs="Times New Roman"/>
          <w:lang w:val="es-ES"/>
        </w:rPr>
        <w:t xml:space="preserve"> y </w:t>
      </w:r>
      <w:proofErr w:type="spellStart"/>
      <w:r w:rsidRPr="00433988">
        <w:rPr>
          <w:rFonts w:ascii="Times New Roman" w:hAnsi="Times New Roman" w:cs="Times New Roman"/>
          <w:lang w:val="es-ES"/>
        </w:rPr>
        <w:t>Kochenov</w:t>
      </w:r>
      <w:proofErr w:type="spellEnd"/>
      <w:r w:rsidRPr="00433988">
        <w:rPr>
          <w:rFonts w:ascii="Times New Roman" w:hAnsi="Times New Roman" w:cs="Times New Roman"/>
          <w:lang w:val="es-ES"/>
        </w:rPr>
        <w:t xml:space="preserve">, 2017).  </w:t>
      </w:r>
    </w:p>
  </w:footnote>
  <w:footnote w:id="12">
    <w:p w:rsidR="003250B2" w:rsidRPr="00433988" w:rsidRDefault="003250B2" w:rsidP="00574B92">
      <w:pPr>
        <w:pStyle w:val="Textonotapie"/>
        <w:jc w:val="both"/>
        <w:rPr>
          <w:rFonts w:ascii="Times New Roman" w:hAnsi="Times New Roman" w:cs="Times New Roman"/>
          <w:lang w:val="es-ES"/>
        </w:rPr>
      </w:pPr>
      <w:r w:rsidRPr="00433988">
        <w:rPr>
          <w:rStyle w:val="Refdenotaalpie"/>
          <w:rFonts w:ascii="Times New Roman" w:hAnsi="Times New Roman" w:cs="Times New Roman"/>
        </w:rPr>
        <w:footnoteRef/>
      </w:r>
      <w:r w:rsidRPr="00433988">
        <w:rPr>
          <w:rFonts w:ascii="Times New Roman" w:hAnsi="Times New Roman" w:cs="Times New Roman"/>
          <w:lang w:val="es-ES"/>
        </w:rPr>
        <w:t xml:space="preserve"> Se corre el riesgo, en efecto, de convertir los principios constitucionales, y muy en concreto el imperio de la ley, en dictados autorreferenciales que lleven a la desintegración, más que a su contrario (</w:t>
      </w:r>
      <w:proofErr w:type="spellStart"/>
      <w:r w:rsidRPr="00433988">
        <w:rPr>
          <w:rFonts w:ascii="Times New Roman" w:hAnsi="Times New Roman" w:cs="Times New Roman"/>
          <w:lang w:val="es-ES"/>
        </w:rPr>
        <w:t>Palombella</w:t>
      </w:r>
      <w:proofErr w:type="spellEnd"/>
      <w:r w:rsidRPr="00433988">
        <w:rPr>
          <w:rFonts w:ascii="Times New Roman" w:hAnsi="Times New Roman" w:cs="Times New Roman"/>
          <w:lang w:val="es-ES"/>
        </w:rPr>
        <w:t>, 2016: 39).</w:t>
      </w:r>
    </w:p>
  </w:footnote>
  <w:footnote w:id="13">
    <w:p w:rsidR="003250B2" w:rsidRPr="00433988" w:rsidRDefault="003250B2" w:rsidP="00597142">
      <w:pPr>
        <w:pStyle w:val="Textonotapie"/>
        <w:jc w:val="both"/>
        <w:rPr>
          <w:rFonts w:ascii="Times New Roman" w:hAnsi="Times New Roman" w:cs="Times New Roman"/>
          <w:lang w:val="es-ES"/>
        </w:rPr>
      </w:pPr>
      <w:r w:rsidRPr="00433988">
        <w:rPr>
          <w:rStyle w:val="Refdenotaalpie"/>
          <w:rFonts w:ascii="Times New Roman" w:hAnsi="Times New Roman" w:cs="Times New Roman"/>
        </w:rPr>
        <w:footnoteRef/>
      </w:r>
      <w:r w:rsidRPr="00433988">
        <w:rPr>
          <w:rFonts w:ascii="Times New Roman" w:hAnsi="Times New Roman" w:cs="Times New Roman"/>
          <w:lang w:val="es-ES"/>
        </w:rPr>
        <w:t xml:space="preserve"> Si se repasan las referencias habituales de asuntos relativos a la forja de los derechos fundamentales de la Unión, previos a la Carta, el predominio de asuntos prejudiciales es incontestable, algo que se repite para el desarrollo jurisprudencial de la Carta de Derechos desde su entrada en vigor hasta ahora. En relación con el desarrollo anterior previo a la entrada en vigor de la Carta, las referencias habituales tan solo incluyen un recurso de anulación, </w:t>
      </w:r>
      <w:proofErr w:type="spellStart"/>
      <w:r w:rsidRPr="00433988">
        <w:rPr>
          <w:rFonts w:ascii="Times New Roman" w:hAnsi="Times New Roman" w:cs="Times New Roman"/>
          <w:i/>
          <w:iCs/>
          <w:lang w:val="es-ES"/>
        </w:rPr>
        <w:t>Nold</w:t>
      </w:r>
      <w:proofErr w:type="spellEnd"/>
      <w:r w:rsidRPr="00433988">
        <w:rPr>
          <w:rFonts w:ascii="Times New Roman" w:hAnsi="Times New Roman" w:cs="Times New Roman"/>
          <w:lang w:val="es-ES"/>
        </w:rPr>
        <w:t xml:space="preserve">, entre varias sentencias prejudiciales como </w:t>
      </w:r>
      <w:proofErr w:type="spellStart"/>
      <w:r w:rsidRPr="00433988">
        <w:rPr>
          <w:rFonts w:ascii="Times New Roman" w:hAnsi="Times New Roman" w:cs="Times New Roman"/>
          <w:i/>
          <w:iCs/>
          <w:lang w:val="es-ES"/>
        </w:rPr>
        <w:t>Stauder</w:t>
      </w:r>
      <w:proofErr w:type="spellEnd"/>
      <w:r w:rsidRPr="00433988">
        <w:rPr>
          <w:rFonts w:ascii="Times New Roman" w:hAnsi="Times New Roman" w:cs="Times New Roman"/>
          <w:i/>
          <w:iCs/>
          <w:lang w:val="es-ES"/>
        </w:rPr>
        <w:t xml:space="preserve">, </w:t>
      </w:r>
      <w:proofErr w:type="spellStart"/>
      <w:r w:rsidRPr="00433988">
        <w:rPr>
          <w:rFonts w:ascii="Times New Roman" w:hAnsi="Times New Roman" w:cs="Times New Roman"/>
          <w:i/>
          <w:iCs/>
          <w:lang w:val="es-ES"/>
        </w:rPr>
        <w:t>Internationale</w:t>
      </w:r>
      <w:proofErr w:type="spellEnd"/>
      <w:r w:rsidRPr="00433988">
        <w:rPr>
          <w:rFonts w:ascii="Times New Roman" w:hAnsi="Times New Roman" w:cs="Times New Roman"/>
          <w:i/>
          <w:iCs/>
          <w:lang w:val="es-ES"/>
        </w:rPr>
        <w:t xml:space="preserve"> </w:t>
      </w:r>
      <w:proofErr w:type="spellStart"/>
      <w:r w:rsidRPr="00433988">
        <w:rPr>
          <w:rFonts w:ascii="Times New Roman" w:hAnsi="Times New Roman" w:cs="Times New Roman"/>
          <w:i/>
          <w:iCs/>
          <w:lang w:val="es-ES"/>
        </w:rPr>
        <w:t>Handelsgesellschaft</w:t>
      </w:r>
      <w:proofErr w:type="spellEnd"/>
      <w:r w:rsidRPr="00433988">
        <w:rPr>
          <w:rFonts w:ascii="Times New Roman" w:hAnsi="Times New Roman" w:cs="Times New Roman"/>
          <w:i/>
          <w:iCs/>
          <w:lang w:val="es-ES"/>
        </w:rPr>
        <w:t xml:space="preserve">, </w:t>
      </w:r>
      <w:proofErr w:type="spellStart"/>
      <w:r w:rsidRPr="00433988">
        <w:rPr>
          <w:rFonts w:ascii="Times New Roman" w:hAnsi="Times New Roman" w:cs="Times New Roman"/>
          <w:i/>
          <w:iCs/>
          <w:lang w:val="es-ES"/>
        </w:rPr>
        <w:t>Rutili</w:t>
      </w:r>
      <w:proofErr w:type="spellEnd"/>
      <w:r w:rsidRPr="00433988">
        <w:rPr>
          <w:rFonts w:ascii="Times New Roman" w:hAnsi="Times New Roman" w:cs="Times New Roman"/>
          <w:i/>
          <w:iCs/>
          <w:lang w:val="es-ES"/>
        </w:rPr>
        <w:t xml:space="preserve">, Johnston </w:t>
      </w:r>
      <w:r w:rsidRPr="00433988">
        <w:rPr>
          <w:rFonts w:ascii="Times New Roman" w:hAnsi="Times New Roman" w:cs="Times New Roman"/>
          <w:lang w:val="es-ES"/>
        </w:rPr>
        <w:t xml:space="preserve">o </w:t>
      </w:r>
      <w:proofErr w:type="spellStart"/>
      <w:r w:rsidRPr="00433988">
        <w:rPr>
          <w:rFonts w:ascii="Times New Roman" w:hAnsi="Times New Roman" w:cs="Times New Roman"/>
          <w:i/>
          <w:iCs/>
          <w:lang w:val="es-ES"/>
        </w:rPr>
        <w:t>Wachauf</w:t>
      </w:r>
      <w:proofErr w:type="spellEnd"/>
      <w:r w:rsidRPr="00433988">
        <w:rPr>
          <w:rFonts w:ascii="Times New Roman" w:hAnsi="Times New Roman" w:cs="Times New Roman"/>
          <w:i/>
          <w:iCs/>
          <w:lang w:val="es-ES"/>
        </w:rPr>
        <w:t xml:space="preserve">. </w:t>
      </w:r>
      <w:r w:rsidRPr="00433988">
        <w:rPr>
          <w:rFonts w:ascii="Times New Roman" w:hAnsi="Times New Roman" w:cs="Times New Roman"/>
          <w:lang w:val="es-ES"/>
        </w:rPr>
        <w:t xml:space="preserve">Sentencias de 17 de diciembre de 1970, </w:t>
      </w:r>
      <w:proofErr w:type="spellStart"/>
      <w:r w:rsidRPr="00433988">
        <w:rPr>
          <w:rFonts w:ascii="Times New Roman" w:hAnsi="Times New Roman" w:cs="Times New Roman"/>
          <w:iCs/>
          <w:lang w:val="es-ES"/>
        </w:rPr>
        <w:t>Internationale</w:t>
      </w:r>
      <w:proofErr w:type="spellEnd"/>
      <w:r w:rsidRPr="00433988">
        <w:rPr>
          <w:rFonts w:ascii="Times New Roman" w:hAnsi="Times New Roman" w:cs="Times New Roman"/>
          <w:i/>
          <w:iCs/>
          <w:lang w:val="es-ES"/>
        </w:rPr>
        <w:t xml:space="preserve"> </w:t>
      </w:r>
      <w:proofErr w:type="spellStart"/>
      <w:r w:rsidRPr="00433988">
        <w:rPr>
          <w:rFonts w:ascii="Times New Roman" w:hAnsi="Times New Roman" w:cs="Times New Roman"/>
          <w:iCs/>
          <w:lang w:val="es-ES"/>
        </w:rPr>
        <w:t>Handelsgesellschaft</w:t>
      </w:r>
      <w:proofErr w:type="spellEnd"/>
      <w:r w:rsidRPr="00433988">
        <w:rPr>
          <w:rFonts w:ascii="Times New Roman" w:hAnsi="Times New Roman" w:cs="Times New Roman"/>
          <w:lang w:val="es-ES"/>
        </w:rPr>
        <w:t xml:space="preserve">, C-11/70, EU:C:1970:114; de 14 de mayo de 1974, </w:t>
      </w:r>
      <w:proofErr w:type="spellStart"/>
      <w:r w:rsidRPr="00433988">
        <w:rPr>
          <w:rFonts w:ascii="Times New Roman" w:hAnsi="Times New Roman" w:cs="Times New Roman"/>
          <w:iCs/>
          <w:lang w:val="es-ES"/>
        </w:rPr>
        <w:t>Nold</w:t>
      </w:r>
      <w:proofErr w:type="spellEnd"/>
      <w:r w:rsidRPr="00433988">
        <w:rPr>
          <w:rFonts w:ascii="Times New Roman" w:hAnsi="Times New Roman" w:cs="Times New Roman"/>
          <w:lang w:val="es-ES"/>
        </w:rPr>
        <w:t xml:space="preserve">, C-4/73, EU:C:1974:51; de 28 de octubre de 1975, </w:t>
      </w:r>
      <w:proofErr w:type="spellStart"/>
      <w:r w:rsidRPr="00433988">
        <w:rPr>
          <w:rFonts w:ascii="Times New Roman" w:hAnsi="Times New Roman" w:cs="Times New Roman"/>
          <w:iCs/>
          <w:lang w:val="es-ES"/>
        </w:rPr>
        <w:t>Rutili</w:t>
      </w:r>
      <w:proofErr w:type="spellEnd"/>
      <w:r w:rsidRPr="00433988">
        <w:rPr>
          <w:rFonts w:ascii="Times New Roman" w:hAnsi="Times New Roman" w:cs="Times New Roman"/>
          <w:lang w:val="es-ES"/>
        </w:rPr>
        <w:t xml:space="preserve">, C-36/75, EU:C:1975:137; de 15 de mayo de 1986, </w:t>
      </w:r>
      <w:r w:rsidRPr="00433988">
        <w:rPr>
          <w:rFonts w:ascii="Times New Roman" w:hAnsi="Times New Roman" w:cs="Times New Roman"/>
          <w:iCs/>
          <w:lang w:val="es-ES"/>
        </w:rPr>
        <w:t>Johnston</w:t>
      </w:r>
      <w:r w:rsidRPr="00433988">
        <w:rPr>
          <w:rFonts w:ascii="Times New Roman" w:hAnsi="Times New Roman" w:cs="Times New Roman"/>
          <w:lang w:val="es-ES"/>
        </w:rPr>
        <w:t xml:space="preserve">, C-222/84, EU:C:1986:206. Para el desarrollo posterior, se puede comprobar cómo las referencias jurisprudenciales son predominantemente cuestiones prejudiciales de interpretación, con la excepción de </w:t>
      </w:r>
      <w:r w:rsidRPr="00433988">
        <w:rPr>
          <w:rFonts w:ascii="Times New Roman" w:hAnsi="Times New Roman" w:cs="Times New Roman"/>
          <w:i/>
          <w:iCs/>
          <w:lang w:val="es-ES"/>
        </w:rPr>
        <w:t xml:space="preserve">Digital </w:t>
      </w:r>
      <w:proofErr w:type="spellStart"/>
      <w:r w:rsidRPr="00433988">
        <w:rPr>
          <w:rFonts w:ascii="Times New Roman" w:hAnsi="Times New Roman" w:cs="Times New Roman"/>
          <w:i/>
          <w:iCs/>
          <w:lang w:val="es-ES"/>
        </w:rPr>
        <w:t>Rights</w:t>
      </w:r>
      <w:proofErr w:type="spellEnd"/>
      <w:r w:rsidRPr="00433988">
        <w:rPr>
          <w:rFonts w:ascii="Times New Roman" w:hAnsi="Times New Roman" w:cs="Times New Roman"/>
          <w:i/>
          <w:iCs/>
          <w:lang w:val="es-ES"/>
        </w:rPr>
        <w:t xml:space="preserve">, </w:t>
      </w:r>
      <w:r w:rsidRPr="00433988">
        <w:rPr>
          <w:rFonts w:ascii="Times New Roman" w:hAnsi="Times New Roman" w:cs="Times New Roman"/>
          <w:lang w:val="es-ES"/>
        </w:rPr>
        <w:t xml:space="preserve">que lo es de validez, y dos recursos de anulación. Véase la obra colectiva dirigida por Carmona Contreras (2018). Sentencia de 8 de abril de 2014, </w:t>
      </w:r>
      <w:r w:rsidRPr="00433988">
        <w:rPr>
          <w:rFonts w:ascii="Times New Roman" w:hAnsi="Times New Roman" w:cs="Times New Roman"/>
          <w:iCs/>
          <w:lang w:val="es-ES"/>
        </w:rPr>
        <w:t>Digital</w:t>
      </w:r>
      <w:r w:rsidRPr="00433988">
        <w:rPr>
          <w:rFonts w:ascii="Times New Roman" w:hAnsi="Times New Roman" w:cs="Times New Roman"/>
          <w:i/>
          <w:iCs/>
          <w:lang w:val="es-ES"/>
        </w:rPr>
        <w:t xml:space="preserve"> </w:t>
      </w:r>
      <w:proofErr w:type="spellStart"/>
      <w:r w:rsidRPr="00433988">
        <w:rPr>
          <w:rFonts w:ascii="Times New Roman" w:hAnsi="Times New Roman" w:cs="Times New Roman"/>
          <w:iCs/>
          <w:lang w:val="es-ES"/>
        </w:rPr>
        <w:t>Rights</w:t>
      </w:r>
      <w:proofErr w:type="spellEnd"/>
      <w:r w:rsidRPr="00433988">
        <w:rPr>
          <w:rFonts w:ascii="Times New Roman" w:hAnsi="Times New Roman" w:cs="Times New Roman"/>
          <w:lang w:val="es-ES"/>
        </w:rPr>
        <w:t>, C-293/12, EU:C:2014:238.</w:t>
      </w:r>
    </w:p>
  </w:footnote>
  <w:footnote w:id="14">
    <w:p w:rsidR="003250B2" w:rsidRPr="00433988" w:rsidRDefault="003250B2" w:rsidP="00574B92">
      <w:pPr>
        <w:pStyle w:val="Textonotapie"/>
        <w:jc w:val="both"/>
        <w:rPr>
          <w:rFonts w:ascii="Times New Roman" w:hAnsi="Times New Roman" w:cs="Times New Roman"/>
          <w:lang w:val="es-ES"/>
        </w:rPr>
      </w:pPr>
      <w:r w:rsidRPr="00433988">
        <w:rPr>
          <w:rStyle w:val="Refdenotaalpie"/>
          <w:rFonts w:ascii="Times New Roman" w:hAnsi="Times New Roman" w:cs="Times New Roman"/>
        </w:rPr>
        <w:footnoteRef/>
      </w:r>
      <w:r w:rsidRPr="00433988">
        <w:rPr>
          <w:rFonts w:ascii="Times New Roman" w:hAnsi="Times New Roman" w:cs="Times New Roman"/>
          <w:lang w:val="es-ES"/>
        </w:rPr>
        <w:t xml:space="preserve"> Algo que ya describió el autor como una suerte de mecanismo de control de constitucionalidad europeo, </w:t>
      </w:r>
      <w:r w:rsidRPr="00433988">
        <w:rPr>
          <w:rFonts w:ascii="Times New Roman" w:hAnsi="Times New Roman" w:cs="Times New Roman"/>
          <w:i/>
          <w:iCs/>
          <w:lang w:val="es-ES"/>
        </w:rPr>
        <w:t xml:space="preserve">judicial </w:t>
      </w:r>
      <w:proofErr w:type="spellStart"/>
      <w:r w:rsidRPr="00433988">
        <w:rPr>
          <w:rFonts w:ascii="Times New Roman" w:hAnsi="Times New Roman" w:cs="Times New Roman"/>
          <w:i/>
          <w:iCs/>
          <w:lang w:val="es-ES"/>
        </w:rPr>
        <w:t>review</w:t>
      </w:r>
      <w:proofErr w:type="spellEnd"/>
      <w:r w:rsidRPr="00433988">
        <w:rPr>
          <w:rFonts w:ascii="Times New Roman" w:hAnsi="Times New Roman" w:cs="Times New Roman"/>
          <w:lang w:val="es-ES"/>
        </w:rPr>
        <w:t>, en el ámbito de los Estados miembros.</w:t>
      </w:r>
    </w:p>
  </w:footnote>
  <w:footnote w:id="15">
    <w:p w:rsidR="003250B2" w:rsidRPr="00433988" w:rsidRDefault="003250B2" w:rsidP="00574B92">
      <w:pPr>
        <w:pStyle w:val="Textonotapie"/>
        <w:jc w:val="both"/>
        <w:rPr>
          <w:rFonts w:ascii="Times New Roman" w:hAnsi="Times New Roman" w:cs="Times New Roman"/>
          <w:lang w:val="es-ES"/>
        </w:rPr>
      </w:pPr>
      <w:r w:rsidRPr="00433988">
        <w:rPr>
          <w:rStyle w:val="Refdenotaalpie"/>
          <w:rFonts w:ascii="Times New Roman" w:hAnsi="Times New Roman" w:cs="Times New Roman"/>
        </w:rPr>
        <w:footnoteRef/>
      </w:r>
      <w:r w:rsidRPr="00433988">
        <w:rPr>
          <w:rFonts w:ascii="Times New Roman" w:hAnsi="Times New Roman" w:cs="Times New Roman"/>
          <w:lang w:val="es-ES"/>
        </w:rPr>
        <w:t xml:space="preserve"> Quiere ello decir que las normas interpretadas, tal y como las expone el Tribunal de Justicia en los respectivos fallos, serán luego aplicadas al caso concreto, y quizás generalizadas a otros, por los propios jueces y, en su caso, autoridades estatales. La virtualidad de la cuestión prejudicial, con esto no se descubre nada nuevo, siempre ha estado en la manera en la que el fallo de un tribunal ajeno a la jurisdicción estatal es asumido, y convertido en normatividad interna, por el ordenamiento del Estado miembro implicado.</w:t>
      </w:r>
    </w:p>
  </w:footnote>
  <w:footnote w:id="16">
    <w:p w:rsidR="003250B2" w:rsidRPr="00433988" w:rsidRDefault="003250B2" w:rsidP="00574B92">
      <w:pPr>
        <w:pStyle w:val="Textonotapie"/>
        <w:jc w:val="both"/>
        <w:rPr>
          <w:rFonts w:ascii="Times New Roman" w:hAnsi="Times New Roman" w:cs="Times New Roman"/>
          <w:lang w:val="es-ES"/>
        </w:rPr>
      </w:pPr>
      <w:r w:rsidRPr="00433988">
        <w:rPr>
          <w:rStyle w:val="Refdenotaalpie"/>
          <w:rFonts w:ascii="Times New Roman" w:hAnsi="Times New Roman" w:cs="Times New Roman"/>
        </w:rPr>
        <w:footnoteRef/>
      </w:r>
      <w:r w:rsidRPr="00433988">
        <w:rPr>
          <w:rFonts w:ascii="Times New Roman" w:hAnsi="Times New Roman" w:cs="Times New Roman"/>
          <w:lang w:val="es-ES"/>
        </w:rPr>
        <w:t xml:space="preserve"> Si bien hay procedimientos específicos consignados en el TFUE para incumplimientos, diríase, especiales, la referencia general en este trabajo será la del recurso por incumplimiento ordinario de los artículos 258 a 260 TFUE. Sobre las excepciones, véase el trabajo de </w:t>
      </w:r>
      <w:proofErr w:type="spellStart"/>
      <w:r w:rsidRPr="00433988">
        <w:rPr>
          <w:rFonts w:ascii="Times New Roman" w:hAnsi="Times New Roman" w:cs="Times New Roman"/>
          <w:lang w:val="es-ES"/>
        </w:rPr>
        <w:t>Koops</w:t>
      </w:r>
      <w:proofErr w:type="spellEnd"/>
      <w:r w:rsidRPr="00433988">
        <w:rPr>
          <w:rFonts w:ascii="Times New Roman" w:hAnsi="Times New Roman" w:cs="Times New Roman"/>
          <w:lang w:val="es-ES"/>
        </w:rPr>
        <w:t xml:space="preserve"> (2014: 133). </w:t>
      </w:r>
    </w:p>
  </w:footnote>
  <w:footnote w:id="17">
    <w:p w:rsidR="003250B2" w:rsidRPr="00433988" w:rsidRDefault="003250B2" w:rsidP="00204C85">
      <w:pPr>
        <w:pStyle w:val="Textonotapie"/>
        <w:jc w:val="both"/>
        <w:rPr>
          <w:rFonts w:ascii="Times New Roman" w:hAnsi="Times New Roman" w:cs="Times New Roman"/>
          <w:lang w:val="es-ES"/>
        </w:rPr>
      </w:pPr>
      <w:r w:rsidRPr="00433988">
        <w:rPr>
          <w:rStyle w:val="Refdenotaalpie"/>
          <w:rFonts w:ascii="Times New Roman" w:hAnsi="Times New Roman" w:cs="Times New Roman"/>
        </w:rPr>
        <w:footnoteRef/>
      </w:r>
      <w:r w:rsidRPr="00433988">
        <w:rPr>
          <w:rFonts w:ascii="Times New Roman" w:hAnsi="Times New Roman" w:cs="Times New Roman"/>
          <w:lang w:val="es-ES"/>
        </w:rPr>
        <w:t xml:space="preserve"> La dimensión federal y constitucional de la Unión </w:t>
      </w:r>
      <w:r w:rsidR="00B32752" w:rsidRPr="00433988">
        <w:rPr>
          <w:rFonts w:ascii="Times New Roman" w:hAnsi="Times New Roman" w:cs="Times New Roman"/>
          <w:lang w:val="es-ES"/>
        </w:rPr>
        <w:t>han sido expuestas</w:t>
      </w:r>
      <w:r w:rsidRPr="00433988">
        <w:rPr>
          <w:rFonts w:ascii="Times New Roman" w:hAnsi="Times New Roman" w:cs="Times New Roman"/>
          <w:lang w:val="es-ES"/>
        </w:rPr>
        <w:t xml:space="preserve"> y discutidas en una abundante literatura científica desde los años ochenta del siglo XX (</w:t>
      </w:r>
      <w:proofErr w:type="spellStart"/>
      <w:r w:rsidRPr="00433988">
        <w:rPr>
          <w:rFonts w:ascii="Times New Roman" w:hAnsi="Times New Roman" w:cs="Times New Roman"/>
          <w:lang w:val="es-ES"/>
        </w:rPr>
        <w:t>Stein</w:t>
      </w:r>
      <w:proofErr w:type="spellEnd"/>
      <w:r w:rsidRPr="00433988">
        <w:rPr>
          <w:rFonts w:ascii="Times New Roman" w:hAnsi="Times New Roman" w:cs="Times New Roman"/>
          <w:lang w:val="es-ES"/>
        </w:rPr>
        <w:t>, 1981) hasta hoy (</w:t>
      </w:r>
      <w:proofErr w:type="spellStart"/>
      <w:r w:rsidRPr="00433988">
        <w:rPr>
          <w:rFonts w:ascii="Times New Roman" w:hAnsi="Times New Roman" w:cs="Times New Roman"/>
          <w:lang w:val="es-ES"/>
        </w:rPr>
        <w:t>Weiler</w:t>
      </w:r>
      <w:proofErr w:type="spellEnd"/>
      <w:r w:rsidRPr="00433988">
        <w:rPr>
          <w:rFonts w:ascii="Times New Roman" w:hAnsi="Times New Roman" w:cs="Times New Roman"/>
          <w:lang w:val="es-ES"/>
        </w:rPr>
        <w:t>, 1991) (</w:t>
      </w:r>
      <w:proofErr w:type="spellStart"/>
      <w:r w:rsidRPr="00433988">
        <w:rPr>
          <w:rFonts w:ascii="Times New Roman" w:hAnsi="Times New Roman" w:cs="Times New Roman"/>
          <w:lang w:val="es-ES"/>
        </w:rPr>
        <w:t>Weiler</w:t>
      </w:r>
      <w:proofErr w:type="spellEnd"/>
      <w:r w:rsidRPr="00433988">
        <w:rPr>
          <w:rFonts w:ascii="Times New Roman" w:hAnsi="Times New Roman" w:cs="Times New Roman"/>
          <w:lang w:val="es-ES"/>
        </w:rPr>
        <w:t>, 2000) (</w:t>
      </w:r>
      <w:proofErr w:type="spellStart"/>
      <w:r w:rsidRPr="00433988">
        <w:rPr>
          <w:rFonts w:ascii="Times New Roman" w:hAnsi="Times New Roman" w:cs="Times New Roman"/>
          <w:lang w:val="es-ES"/>
        </w:rPr>
        <w:t>Pizzorusso</w:t>
      </w:r>
      <w:proofErr w:type="spellEnd"/>
      <w:r w:rsidRPr="00433988">
        <w:rPr>
          <w:rFonts w:ascii="Times New Roman" w:hAnsi="Times New Roman" w:cs="Times New Roman"/>
          <w:lang w:val="es-ES"/>
        </w:rPr>
        <w:t>, 2002) (Cruz Villalón, 2004) (</w:t>
      </w:r>
      <w:proofErr w:type="spellStart"/>
      <w:r w:rsidRPr="00433988">
        <w:rPr>
          <w:rFonts w:ascii="Times New Roman" w:hAnsi="Times New Roman" w:cs="Times New Roman"/>
          <w:lang w:val="es-ES"/>
        </w:rPr>
        <w:t>Schütze</w:t>
      </w:r>
      <w:proofErr w:type="spellEnd"/>
      <w:r w:rsidRPr="00433988">
        <w:rPr>
          <w:rFonts w:ascii="Times New Roman" w:hAnsi="Times New Roman" w:cs="Times New Roman"/>
          <w:lang w:val="es-ES"/>
        </w:rPr>
        <w:t xml:space="preserve">, 2009). Gordillo Pérez (2005) resume el debate clásico y el mismo autor junto a Martinico (Gordillo y Martinico, 2013) el recorrido de la jurisprudencia del TJUE en sentido federal.  </w:t>
      </w:r>
    </w:p>
  </w:footnote>
  <w:footnote w:id="18">
    <w:p w:rsidR="003250B2" w:rsidRPr="00433988" w:rsidRDefault="003250B2" w:rsidP="00574B92">
      <w:pPr>
        <w:pStyle w:val="Textonotapie"/>
        <w:jc w:val="both"/>
        <w:rPr>
          <w:rFonts w:ascii="Times New Roman" w:hAnsi="Times New Roman" w:cs="Times New Roman"/>
          <w:lang w:val="es-ES"/>
        </w:rPr>
      </w:pPr>
      <w:r w:rsidRPr="00433988">
        <w:rPr>
          <w:rStyle w:val="Refdenotaalpie"/>
          <w:rFonts w:ascii="Times New Roman" w:hAnsi="Times New Roman" w:cs="Times New Roman"/>
        </w:rPr>
        <w:footnoteRef/>
      </w:r>
      <w:r w:rsidRPr="00433988">
        <w:rPr>
          <w:rFonts w:ascii="Times New Roman" w:hAnsi="Times New Roman" w:cs="Times New Roman"/>
          <w:lang w:val="es-ES"/>
        </w:rPr>
        <w:t xml:space="preserve"> Aunque el artículo 259 TFUE también da la iniciativa a los Estados miembros, el procedimiento obliga a contar con la Comisión, hasta cierto punto y, en cualquier caso, en las fuentes consultadas no se reseñan más de cuatro procedimientos abiertos contra Estados miembros por otros Estados miembros que hayan concluido con una sentencia del TJUE (</w:t>
      </w:r>
      <w:proofErr w:type="spellStart"/>
      <w:r w:rsidRPr="00433988">
        <w:rPr>
          <w:rFonts w:ascii="Times New Roman" w:hAnsi="Times New Roman" w:cs="Times New Roman"/>
          <w:lang w:val="es-ES"/>
        </w:rPr>
        <w:t>Lindholm</w:t>
      </w:r>
      <w:proofErr w:type="spellEnd"/>
      <w:r w:rsidRPr="00433988">
        <w:rPr>
          <w:rFonts w:ascii="Times New Roman" w:hAnsi="Times New Roman" w:cs="Times New Roman"/>
          <w:lang w:val="es-ES"/>
        </w:rPr>
        <w:t>, 2007: 69) (</w:t>
      </w:r>
      <w:proofErr w:type="spellStart"/>
      <w:r w:rsidRPr="00433988">
        <w:rPr>
          <w:rFonts w:ascii="Times New Roman" w:hAnsi="Times New Roman" w:cs="Times New Roman"/>
          <w:lang w:val="es-ES"/>
        </w:rPr>
        <w:t>Koops</w:t>
      </w:r>
      <w:proofErr w:type="spellEnd"/>
      <w:r w:rsidRPr="00433988">
        <w:rPr>
          <w:rFonts w:ascii="Times New Roman" w:hAnsi="Times New Roman" w:cs="Times New Roman"/>
          <w:lang w:val="es-ES"/>
        </w:rPr>
        <w:t xml:space="preserve">, 2014: 123) y (Gormley, 2017: 65), que es el único que incluye el cuarto. Se trata de las Sentencias de 4 de octubre de 1979, </w:t>
      </w:r>
      <w:r w:rsidRPr="00433988">
        <w:rPr>
          <w:rFonts w:ascii="Times New Roman" w:hAnsi="Times New Roman" w:cs="Times New Roman"/>
          <w:iCs/>
          <w:lang w:val="es-ES"/>
        </w:rPr>
        <w:t>Francia/Reino Unido</w:t>
      </w:r>
      <w:r w:rsidRPr="00433988">
        <w:rPr>
          <w:rFonts w:ascii="Times New Roman" w:hAnsi="Times New Roman" w:cs="Times New Roman"/>
          <w:lang w:val="es-ES"/>
        </w:rPr>
        <w:t xml:space="preserve">, C-141/78, EU:C:1979:225; de 16 de mayo de 2000, </w:t>
      </w:r>
      <w:r w:rsidRPr="00433988">
        <w:rPr>
          <w:rFonts w:ascii="Times New Roman" w:hAnsi="Times New Roman" w:cs="Times New Roman"/>
          <w:iCs/>
          <w:lang w:val="es-ES"/>
        </w:rPr>
        <w:t>Bélgica/España</w:t>
      </w:r>
      <w:r w:rsidRPr="00433988">
        <w:rPr>
          <w:rFonts w:ascii="Times New Roman" w:hAnsi="Times New Roman" w:cs="Times New Roman"/>
          <w:lang w:val="es-ES"/>
        </w:rPr>
        <w:t xml:space="preserve">, C-388/95, EU:C:2000:244; de 12 de septiembre de 2006, </w:t>
      </w:r>
      <w:r w:rsidRPr="00433988">
        <w:rPr>
          <w:rFonts w:ascii="Times New Roman" w:hAnsi="Times New Roman" w:cs="Times New Roman"/>
          <w:iCs/>
          <w:lang w:val="es-ES"/>
        </w:rPr>
        <w:t>España/Reino Unido</w:t>
      </w:r>
      <w:r w:rsidRPr="00433988">
        <w:rPr>
          <w:rFonts w:ascii="Times New Roman" w:hAnsi="Times New Roman" w:cs="Times New Roman"/>
          <w:lang w:val="es-ES"/>
        </w:rPr>
        <w:t xml:space="preserve">, C-145/04, EU:C:2006:543; y de 16 de octubre de 2012, </w:t>
      </w:r>
      <w:r w:rsidRPr="00433988">
        <w:rPr>
          <w:rFonts w:ascii="Times New Roman" w:hAnsi="Times New Roman" w:cs="Times New Roman"/>
          <w:iCs/>
          <w:lang w:val="es-ES"/>
        </w:rPr>
        <w:t>Hungría/Eslovaquia</w:t>
      </w:r>
      <w:r w:rsidRPr="00433988">
        <w:rPr>
          <w:rFonts w:ascii="Times New Roman" w:hAnsi="Times New Roman" w:cs="Times New Roman"/>
          <w:lang w:val="es-ES"/>
        </w:rPr>
        <w:t xml:space="preserve">, C-364/10, EU:C:2012:630.  </w:t>
      </w:r>
    </w:p>
  </w:footnote>
  <w:footnote w:id="19">
    <w:p w:rsidR="003250B2" w:rsidRPr="00433988" w:rsidRDefault="003250B2" w:rsidP="00574B92">
      <w:pPr>
        <w:pStyle w:val="Textonotapie"/>
        <w:jc w:val="both"/>
        <w:rPr>
          <w:rFonts w:ascii="Times New Roman" w:hAnsi="Times New Roman" w:cs="Times New Roman"/>
          <w:lang w:val="es-ES"/>
        </w:rPr>
      </w:pPr>
      <w:r w:rsidRPr="00433988">
        <w:rPr>
          <w:rStyle w:val="Refdenotaalpie"/>
          <w:rFonts w:ascii="Times New Roman" w:hAnsi="Times New Roman" w:cs="Times New Roman"/>
        </w:rPr>
        <w:footnoteRef/>
      </w:r>
      <w:r w:rsidRPr="00433988">
        <w:rPr>
          <w:rFonts w:ascii="Times New Roman" w:hAnsi="Times New Roman" w:cs="Times New Roman"/>
          <w:lang w:val="es-ES"/>
        </w:rPr>
        <w:t xml:space="preserve"> Así se desprende de las Conclusiones del Abogado General </w:t>
      </w:r>
      <w:proofErr w:type="spellStart"/>
      <w:r w:rsidRPr="00433988">
        <w:rPr>
          <w:rFonts w:ascii="Times New Roman" w:hAnsi="Times New Roman" w:cs="Times New Roman"/>
          <w:lang w:val="es-ES"/>
        </w:rPr>
        <w:t>Roemer</w:t>
      </w:r>
      <w:proofErr w:type="spellEnd"/>
      <w:r w:rsidRPr="00433988">
        <w:rPr>
          <w:rFonts w:ascii="Times New Roman" w:hAnsi="Times New Roman" w:cs="Times New Roman"/>
          <w:lang w:val="es-ES"/>
        </w:rPr>
        <w:t xml:space="preserve"> de 12 de diciembre de 1962, </w:t>
      </w:r>
      <w:r w:rsidRPr="00433988">
        <w:rPr>
          <w:rFonts w:ascii="Times New Roman" w:hAnsi="Times New Roman" w:cs="Times New Roman"/>
          <w:iCs/>
          <w:lang w:val="es-ES"/>
        </w:rPr>
        <w:t xml:space="preserve">Van </w:t>
      </w:r>
      <w:proofErr w:type="spellStart"/>
      <w:r w:rsidRPr="00433988">
        <w:rPr>
          <w:rFonts w:ascii="Times New Roman" w:hAnsi="Times New Roman" w:cs="Times New Roman"/>
          <w:iCs/>
          <w:lang w:val="es-ES"/>
        </w:rPr>
        <w:t>Gend</w:t>
      </w:r>
      <w:proofErr w:type="spellEnd"/>
      <w:r w:rsidRPr="00433988">
        <w:rPr>
          <w:rFonts w:ascii="Times New Roman" w:hAnsi="Times New Roman" w:cs="Times New Roman"/>
          <w:iCs/>
          <w:lang w:val="es-ES"/>
        </w:rPr>
        <w:t xml:space="preserve"> &amp; </w:t>
      </w:r>
      <w:proofErr w:type="spellStart"/>
      <w:r w:rsidRPr="00433988">
        <w:rPr>
          <w:rFonts w:ascii="Times New Roman" w:hAnsi="Times New Roman" w:cs="Times New Roman"/>
          <w:iCs/>
          <w:lang w:val="es-ES"/>
        </w:rPr>
        <w:t>Loos</w:t>
      </w:r>
      <w:proofErr w:type="spellEnd"/>
      <w:r w:rsidRPr="00433988">
        <w:rPr>
          <w:rFonts w:ascii="Times New Roman" w:hAnsi="Times New Roman" w:cs="Times New Roman"/>
          <w:lang w:val="es-ES"/>
        </w:rPr>
        <w:t>, C-26/62, EU:C:1962:42, primera cuestión, examen de admisibilidad, punto 2.</w:t>
      </w:r>
    </w:p>
  </w:footnote>
  <w:footnote w:id="20">
    <w:p w:rsidR="003250B2" w:rsidRPr="00433988" w:rsidRDefault="003250B2" w:rsidP="00574B92">
      <w:pPr>
        <w:pStyle w:val="Textonotapie"/>
        <w:jc w:val="both"/>
        <w:rPr>
          <w:rFonts w:ascii="Times New Roman" w:hAnsi="Times New Roman" w:cs="Times New Roman"/>
          <w:lang w:val="es-ES"/>
        </w:rPr>
      </w:pPr>
      <w:r w:rsidRPr="00433988">
        <w:rPr>
          <w:rStyle w:val="Refdenotaalpie"/>
          <w:rFonts w:ascii="Times New Roman" w:hAnsi="Times New Roman" w:cs="Times New Roman"/>
        </w:rPr>
        <w:footnoteRef/>
      </w:r>
      <w:r w:rsidRPr="00433988">
        <w:rPr>
          <w:rFonts w:ascii="Times New Roman" w:hAnsi="Times New Roman" w:cs="Times New Roman"/>
          <w:lang w:val="es-ES"/>
        </w:rPr>
        <w:t xml:space="preserve"> Así ocurre a partir de las sentencias de 5 de febrero de 1963, Van </w:t>
      </w:r>
      <w:proofErr w:type="spellStart"/>
      <w:r w:rsidRPr="00433988">
        <w:rPr>
          <w:rFonts w:ascii="Times New Roman" w:hAnsi="Times New Roman" w:cs="Times New Roman"/>
          <w:lang w:val="es-ES"/>
        </w:rPr>
        <w:t>Gend</w:t>
      </w:r>
      <w:proofErr w:type="spellEnd"/>
      <w:r w:rsidRPr="00433988">
        <w:rPr>
          <w:rFonts w:ascii="Times New Roman" w:hAnsi="Times New Roman" w:cs="Times New Roman"/>
          <w:lang w:val="es-ES"/>
        </w:rPr>
        <w:t xml:space="preserve"> &amp; </w:t>
      </w:r>
      <w:proofErr w:type="spellStart"/>
      <w:r w:rsidRPr="00433988">
        <w:rPr>
          <w:rFonts w:ascii="Times New Roman" w:hAnsi="Times New Roman" w:cs="Times New Roman"/>
          <w:lang w:val="es-ES"/>
        </w:rPr>
        <w:t>Loos</w:t>
      </w:r>
      <w:proofErr w:type="spellEnd"/>
      <w:r w:rsidRPr="00433988">
        <w:rPr>
          <w:rFonts w:ascii="Times New Roman" w:hAnsi="Times New Roman" w:cs="Times New Roman"/>
          <w:lang w:val="es-ES"/>
        </w:rPr>
        <w:t xml:space="preserve">, C-26/62, EU:C:1963:1; y de 15 de julio de 1964, Costa </w:t>
      </w:r>
      <w:proofErr w:type="spellStart"/>
      <w:r w:rsidRPr="00433988">
        <w:rPr>
          <w:rFonts w:ascii="Times New Roman" w:hAnsi="Times New Roman" w:cs="Times New Roman"/>
          <w:lang w:val="es-ES"/>
        </w:rPr>
        <w:t>Enel</w:t>
      </w:r>
      <w:proofErr w:type="spellEnd"/>
      <w:r w:rsidRPr="00433988">
        <w:rPr>
          <w:rFonts w:ascii="Times New Roman" w:hAnsi="Times New Roman" w:cs="Times New Roman"/>
          <w:lang w:val="es-ES"/>
        </w:rPr>
        <w:t xml:space="preserve">, C-6/64, EU:C:1964:66. </w:t>
      </w:r>
      <w:r w:rsidR="00A70F09" w:rsidRPr="00433988">
        <w:rPr>
          <w:rFonts w:ascii="Times New Roman" w:hAnsi="Times New Roman" w:cs="Times New Roman"/>
          <w:lang w:val="es-ES"/>
        </w:rPr>
        <w:t>Y ocurre</w:t>
      </w:r>
      <w:r w:rsidRPr="00433988">
        <w:rPr>
          <w:rFonts w:ascii="Times New Roman" w:hAnsi="Times New Roman" w:cs="Times New Roman"/>
          <w:lang w:val="es-ES"/>
        </w:rPr>
        <w:t xml:space="preserve"> hasta el punto </w:t>
      </w:r>
      <w:r w:rsidR="00A70F09" w:rsidRPr="00433988">
        <w:rPr>
          <w:rFonts w:ascii="Times New Roman" w:hAnsi="Times New Roman" w:cs="Times New Roman"/>
          <w:lang w:val="es-ES"/>
        </w:rPr>
        <w:t xml:space="preserve">de </w:t>
      </w:r>
      <w:r w:rsidRPr="00433988">
        <w:rPr>
          <w:rFonts w:ascii="Times New Roman" w:hAnsi="Times New Roman" w:cs="Times New Roman"/>
          <w:lang w:val="es-ES"/>
        </w:rPr>
        <w:t xml:space="preserve">que las consultas sobre la adecuación de las disposiciones estatales se formulan de manera directa como en las sentencias de 22 de julio de 2010, </w:t>
      </w:r>
      <w:proofErr w:type="spellStart"/>
      <w:r w:rsidRPr="00433988">
        <w:rPr>
          <w:rFonts w:ascii="Times New Roman" w:hAnsi="Times New Roman" w:cs="Times New Roman"/>
          <w:lang w:val="es-ES"/>
        </w:rPr>
        <w:t>Melki</w:t>
      </w:r>
      <w:proofErr w:type="spellEnd"/>
      <w:r w:rsidRPr="00433988">
        <w:rPr>
          <w:rFonts w:ascii="Times New Roman" w:hAnsi="Times New Roman" w:cs="Times New Roman"/>
          <w:lang w:val="es-ES"/>
        </w:rPr>
        <w:t xml:space="preserve"> y </w:t>
      </w:r>
      <w:proofErr w:type="spellStart"/>
      <w:r w:rsidRPr="00433988">
        <w:rPr>
          <w:rFonts w:ascii="Times New Roman" w:hAnsi="Times New Roman" w:cs="Times New Roman"/>
          <w:lang w:val="es-ES"/>
        </w:rPr>
        <w:t>Abdeli</w:t>
      </w:r>
      <w:proofErr w:type="spellEnd"/>
      <w:r w:rsidRPr="00433988">
        <w:rPr>
          <w:rFonts w:ascii="Times New Roman" w:hAnsi="Times New Roman" w:cs="Times New Roman"/>
          <w:lang w:val="es-ES"/>
        </w:rPr>
        <w:t xml:space="preserve">, C-188 y 189/19, EU:C:2010:363; y de 14 de marzo de 2013, </w:t>
      </w:r>
      <w:proofErr w:type="spellStart"/>
      <w:r w:rsidRPr="00433988">
        <w:rPr>
          <w:rFonts w:ascii="Times New Roman" w:hAnsi="Times New Roman" w:cs="Times New Roman"/>
          <w:lang w:val="es-ES"/>
        </w:rPr>
        <w:t>Aziz</w:t>
      </w:r>
      <w:proofErr w:type="spellEnd"/>
      <w:r w:rsidRPr="00433988">
        <w:rPr>
          <w:rFonts w:ascii="Times New Roman" w:hAnsi="Times New Roman" w:cs="Times New Roman"/>
          <w:lang w:val="es-ES"/>
        </w:rPr>
        <w:t xml:space="preserve">, 415/11, EU:C:2013:164. Fallos prejudiciales han </w:t>
      </w:r>
      <w:r w:rsidR="00A70F09" w:rsidRPr="00433988">
        <w:rPr>
          <w:rFonts w:ascii="Times New Roman" w:hAnsi="Times New Roman" w:cs="Times New Roman"/>
          <w:lang w:val="es-ES"/>
        </w:rPr>
        <w:t>desencadenado</w:t>
      </w:r>
      <w:r w:rsidRPr="00433988">
        <w:rPr>
          <w:rFonts w:ascii="Times New Roman" w:hAnsi="Times New Roman" w:cs="Times New Roman"/>
          <w:lang w:val="es-ES"/>
        </w:rPr>
        <w:t xml:space="preserve"> reformas constitucionales en Estados miembros, como la sentencia de 11 de enero de 2000, </w:t>
      </w:r>
      <w:proofErr w:type="spellStart"/>
      <w:r w:rsidRPr="00433988">
        <w:rPr>
          <w:rFonts w:ascii="Times New Roman" w:hAnsi="Times New Roman" w:cs="Times New Roman"/>
          <w:lang w:val="es-ES"/>
        </w:rPr>
        <w:t>Kreil</w:t>
      </w:r>
      <w:proofErr w:type="spellEnd"/>
      <w:r w:rsidRPr="00433988">
        <w:rPr>
          <w:rFonts w:ascii="Times New Roman" w:hAnsi="Times New Roman" w:cs="Times New Roman"/>
          <w:lang w:val="es-ES"/>
        </w:rPr>
        <w:t>, C-285/98, EU:C:2000:2. Se entiende, no obstante, que el marco de la cuestión prejudicial no permite al Tribunal pronunciarse más allá de las pautas interpretativas que suministra al juez nacional para la solución del caso (</w:t>
      </w:r>
      <w:r w:rsidR="00433988" w:rsidRPr="00433988">
        <w:rPr>
          <w:rFonts w:ascii="Times New Roman" w:hAnsi="Times New Roman" w:cs="Times New Roman"/>
          <w:lang w:val="es-ES"/>
        </w:rPr>
        <w:t>Rodríguez</w:t>
      </w:r>
      <w:r w:rsidRPr="00433988">
        <w:rPr>
          <w:rFonts w:ascii="Times New Roman" w:hAnsi="Times New Roman" w:cs="Times New Roman"/>
          <w:lang w:val="es-ES"/>
        </w:rPr>
        <w:t xml:space="preserve"> y Baquero, 2006: 310). La realidad es que el Tribunal de Justicia suele aprovechar al máximo esos márgenes interpretativos para ofrecer juicios indirectos de compatibilidad del Derecho estatal con el europeo (Alonso García, 2003: 251 y ss.).   </w:t>
      </w:r>
    </w:p>
  </w:footnote>
  <w:footnote w:id="21">
    <w:p w:rsidR="008F7E7B" w:rsidRPr="00433988" w:rsidRDefault="008F7E7B">
      <w:pPr>
        <w:pStyle w:val="Textonotapie"/>
        <w:rPr>
          <w:rFonts w:ascii="Times New Roman" w:hAnsi="Times New Roman" w:cs="Times New Roman"/>
          <w:lang w:val="es-ES"/>
        </w:rPr>
      </w:pPr>
      <w:r w:rsidRPr="00433988">
        <w:rPr>
          <w:rStyle w:val="Refdenotaalpie"/>
          <w:rFonts w:ascii="Times New Roman" w:hAnsi="Times New Roman" w:cs="Times New Roman"/>
        </w:rPr>
        <w:footnoteRef/>
      </w:r>
      <w:r w:rsidRPr="00433988">
        <w:rPr>
          <w:rFonts w:ascii="Times New Roman" w:hAnsi="Times New Roman" w:cs="Times New Roman"/>
          <w:lang w:val="es-ES"/>
        </w:rPr>
        <w:t xml:space="preserve"> Un ejemplo es la sentencia de 14 de octubre de 2004, Comisión/Países Bajos, C-299/02, EU</w:t>
      </w:r>
      <w:proofErr w:type="gramStart"/>
      <w:r w:rsidRPr="00433988">
        <w:rPr>
          <w:rFonts w:ascii="Times New Roman" w:hAnsi="Times New Roman" w:cs="Times New Roman"/>
          <w:lang w:val="es-ES"/>
        </w:rPr>
        <w:t>:C:2004:620</w:t>
      </w:r>
      <w:proofErr w:type="gramEnd"/>
      <w:r w:rsidRPr="00433988">
        <w:rPr>
          <w:rFonts w:ascii="Times New Roman" w:hAnsi="Times New Roman" w:cs="Times New Roman"/>
          <w:lang w:val="es-ES"/>
        </w:rPr>
        <w:t>.</w:t>
      </w:r>
    </w:p>
  </w:footnote>
  <w:footnote w:id="22">
    <w:p w:rsidR="00A70F09" w:rsidRPr="00433988" w:rsidRDefault="00A70F09" w:rsidP="00A70F09">
      <w:pPr>
        <w:pStyle w:val="Textonotapie"/>
        <w:jc w:val="both"/>
        <w:rPr>
          <w:rFonts w:ascii="Times New Roman" w:hAnsi="Times New Roman" w:cs="Times New Roman"/>
          <w:lang w:val="es-ES"/>
        </w:rPr>
      </w:pPr>
      <w:r w:rsidRPr="00433988">
        <w:rPr>
          <w:rStyle w:val="Refdenotaalpie"/>
          <w:rFonts w:ascii="Times New Roman" w:hAnsi="Times New Roman" w:cs="Times New Roman"/>
        </w:rPr>
        <w:footnoteRef/>
      </w:r>
      <w:r w:rsidRPr="00433988">
        <w:rPr>
          <w:rFonts w:ascii="Times New Roman" w:hAnsi="Times New Roman" w:cs="Times New Roman"/>
          <w:lang w:val="es-ES"/>
        </w:rPr>
        <w:t xml:space="preserve"> La cuestión prejudicial no es vía de recurso. La colaboración de los jueces nacionales en la remisión y en la  implementación del fallo del TJUE no solo es imprescindible, sino insustituible. La implementación del fallo propicia un segundo momento de creación normativa. El contraste entre</w:t>
      </w:r>
      <w:r w:rsidR="00CB7AA6" w:rsidRPr="00433988">
        <w:rPr>
          <w:rFonts w:ascii="Times New Roman" w:hAnsi="Times New Roman" w:cs="Times New Roman"/>
          <w:lang w:val="es-ES"/>
        </w:rPr>
        <w:t xml:space="preserve"> la norma inter</w:t>
      </w:r>
      <w:r w:rsidRPr="00433988">
        <w:rPr>
          <w:rFonts w:ascii="Times New Roman" w:hAnsi="Times New Roman" w:cs="Times New Roman"/>
          <w:lang w:val="es-ES"/>
        </w:rPr>
        <w:t>pretada del derecho de la Unión y las normas en conflicto del Estado miembro está sujeto a factores tan diversos como el Estado miembro de que se trate o los pormenores del caso de origen.</w:t>
      </w:r>
    </w:p>
  </w:footnote>
  <w:footnote w:id="23">
    <w:p w:rsidR="003250B2" w:rsidRPr="00433988" w:rsidRDefault="003250B2" w:rsidP="00F31BE5">
      <w:pPr>
        <w:pStyle w:val="Textonotapie"/>
        <w:jc w:val="both"/>
        <w:rPr>
          <w:rFonts w:ascii="Times New Roman" w:hAnsi="Times New Roman" w:cs="Times New Roman"/>
          <w:lang w:val="es-ES"/>
        </w:rPr>
      </w:pPr>
      <w:r w:rsidRPr="00433988">
        <w:rPr>
          <w:rStyle w:val="Refdenotaalpie"/>
          <w:rFonts w:ascii="Times New Roman" w:hAnsi="Times New Roman" w:cs="Times New Roman"/>
        </w:rPr>
        <w:footnoteRef/>
      </w:r>
      <w:r w:rsidRPr="00433988">
        <w:rPr>
          <w:rFonts w:ascii="Times New Roman" w:hAnsi="Times New Roman" w:cs="Times New Roman"/>
          <w:lang w:val="es-ES"/>
        </w:rPr>
        <w:t xml:space="preserve"> Muy claramente expuesto en la sentencia de 16 de diciembre de 1960, </w:t>
      </w:r>
      <w:proofErr w:type="spellStart"/>
      <w:r w:rsidRPr="00433988">
        <w:rPr>
          <w:rFonts w:ascii="Times New Roman" w:hAnsi="Times New Roman" w:cs="Times New Roman"/>
          <w:iCs/>
          <w:lang w:val="es-ES"/>
        </w:rPr>
        <w:t>Humblet</w:t>
      </w:r>
      <w:proofErr w:type="spellEnd"/>
      <w:r w:rsidRPr="00433988">
        <w:rPr>
          <w:rFonts w:ascii="Times New Roman" w:hAnsi="Times New Roman" w:cs="Times New Roman"/>
          <w:lang w:val="es-ES"/>
        </w:rPr>
        <w:t xml:space="preserve">, C-6/60, EU:C:1960:48, apartado 1 de los fundamentos de derecho, sobre el alcance de la competencia del Tribunal de Justicia, </w:t>
      </w:r>
      <w:proofErr w:type="spellStart"/>
      <w:r w:rsidRPr="00433988">
        <w:rPr>
          <w:rFonts w:ascii="Times New Roman" w:hAnsi="Times New Roman" w:cs="Times New Roman"/>
          <w:lang w:val="es-ES"/>
        </w:rPr>
        <w:t>subapartado</w:t>
      </w:r>
      <w:proofErr w:type="spellEnd"/>
      <w:r w:rsidRPr="00433988">
        <w:rPr>
          <w:rFonts w:ascii="Times New Roman" w:hAnsi="Times New Roman" w:cs="Times New Roman"/>
          <w:lang w:val="es-ES"/>
        </w:rPr>
        <w:t xml:space="preserve"> 2. </w:t>
      </w:r>
      <w:r w:rsidR="001A6178" w:rsidRPr="00433988">
        <w:rPr>
          <w:rFonts w:ascii="Times New Roman" w:hAnsi="Times New Roman" w:cs="Times New Roman"/>
          <w:lang w:val="es-ES"/>
        </w:rPr>
        <w:t xml:space="preserve">En el recurso </w:t>
      </w:r>
      <w:r w:rsidRPr="00433988">
        <w:rPr>
          <w:rFonts w:ascii="Times New Roman" w:hAnsi="Times New Roman" w:cs="Times New Roman"/>
          <w:lang w:val="es-ES"/>
        </w:rPr>
        <w:t xml:space="preserve">por incumplimiento serán las autoridades correspondientes, legislativas, ejecutivas o judiciales, las que den eficacia al fallo del juez europeo.   </w:t>
      </w:r>
    </w:p>
  </w:footnote>
  <w:footnote w:id="24">
    <w:p w:rsidR="003250B2" w:rsidRPr="00433988" w:rsidRDefault="003250B2" w:rsidP="00F553A0">
      <w:pPr>
        <w:pStyle w:val="Textonotapie"/>
        <w:jc w:val="both"/>
        <w:rPr>
          <w:rFonts w:ascii="Times New Roman" w:hAnsi="Times New Roman" w:cs="Times New Roman"/>
          <w:lang w:val="es-ES"/>
        </w:rPr>
      </w:pPr>
      <w:r w:rsidRPr="00433988">
        <w:rPr>
          <w:rStyle w:val="Refdenotaalpie"/>
          <w:rFonts w:ascii="Times New Roman" w:hAnsi="Times New Roman" w:cs="Times New Roman"/>
        </w:rPr>
        <w:footnoteRef/>
      </w:r>
      <w:r w:rsidRPr="00433988">
        <w:rPr>
          <w:rFonts w:ascii="Times New Roman" w:hAnsi="Times New Roman" w:cs="Times New Roman"/>
          <w:lang w:val="es-ES"/>
        </w:rPr>
        <w:t xml:space="preserve"> Recientemente autos de 4 de diciembre de 2014, Comisión/Suecia, C-243/13, EU</w:t>
      </w:r>
      <w:proofErr w:type="gramStart"/>
      <w:r w:rsidRPr="00433988">
        <w:rPr>
          <w:rFonts w:ascii="Times New Roman" w:hAnsi="Times New Roman" w:cs="Times New Roman"/>
          <w:lang w:val="es-ES"/>
        </w:rPr>
        <w:t>:C:2014:2413</w:t>
      </w:r>
      <w:proofErr w:type="gramEnd"/>
      <w:r w:rsidRPr="00433988">
        <w:rPr>
          <w:rFonts w:ascii="Times New Roman" w:hAnsi="Times New Roman" w:cs="Times New Roman"/>
          <w:lang w:val="es-ES"/>
        </w:rPr>
        <w:t xml:space="preserve">, párrafos 26-35; de 22 de octubre de 2013, Comisión/Alemania, C-95/12, EU:C:2013:676, párrafos 33-40; de 31 de marzo de 2011, Comisión/Grecia, C-407/09, EU:C:2011:196, párrafo 34.  </w:t>
      </w:r>
    </w:p>
  </w:footnote>
  <w:footnote w:id="25">
    <w:p w:rsidR="003250B2" w:rsidRPr="00433988" w:rsidRDefault="003250B2" w:rsidP="00F31BE5">
      <w:pPr>
        <w:pStyle w:val="Textonotapie"/>
        <w:jc w:val="both"/>
        <w:rPr>
          <w:rFonts w:ascii="Times New Roman" w:hAnsi="Times New Roman" w:cs="Times New Roman"/>
          <w:lang w:val="es-ES"/>
        </w:rPr>
      </w:pPr>
      <w:r w:rsidRPr="00433988">
        <w:rPr>
          <w:rStyle w:val="Refdenotaalpie"/>
          <w:rFonts w:ascii="Times New Roman" w:hAnsi="Times New Roman" w:cs="Times New Roman"/>
        </w:rPr>
        <w:footnoteRef/>
      </w:r>
      <w:r w:rsidRPr="00433988">
        <w:rPr>
          <w:rFonts w:ascii="Times New Roman" w:hAnsi="Times New Roman" w:cs="Times New Roman"/>
          <w:lang w:val="es-ES"/>
        </w:rPr>
        <w:t xml:space="preserve"> Sentencias de 19 de noviembre de 1991, </w:t>
      </w:r>
      <w:proofErr w:type="spellStart"/>
      <w:r w:rsidRPr="00433988">
        <w:rPr>
          <w:rFonts w:ascii="Times New Roman" w:hAnsi="Times New Roman" w:cs="Times New Roman"/>
          <w:lang w:val="es-ES"/>
        </w:rPr>
        <w:t>Francovich</w:t>
      </w:r>
      <w:proofErr w:type="spellEnd"/>
      <w:r w:rsidRPr="00433988">
        <w:rPr>
          <w:rFonts w:ascii="Times New Roman" w:hAnsi="Times New Roman" w:cs="Times New Roman"/>
          <w:lang w:val="es-ES"/>
        </w:rPr>
        <w:t xml:space="preserve"> y otros, C-6/90 y C-9/90, EU:C:1991:428, apartado 35; y de 5 de marzo de 1996, </w:t>
      </w:r>
      <w:proofErr w:type="spellStart"/>
      <w:r w:rsidRPr="00433988">
        <w:rPr>
          <w:rFonts w:ascii="Times New Roman" w:hAnsi="Times New Roman" w:cs="Times New Roman"/>
          <w:lang w:val="es-ES"/>
        </w:rPr>
        <w:t>Brasserie</w:t>
      </w:r>
      <w:proofErr w:type="spellEnd"/>
      <w:r w:rsidRPr="00433988">
        <w:rPr>
          <w:rFonts w:ascii="Times New Roman" w:hAnsi="Times New Roman" w:cs="Times New Roman"/>
          <w:lang w:val="es-ES"/>
        </w:rPr>
        <w:t xml:space="preserve"> du </w:t>
      </w:r>
      <w:proofErr w:type="spellStart"/>
      <w:r w:rsidRPr="00433988">
        <w:rPr>
          <w:rFonts w:ascii="Times New Roman" w:hAnsi="Times New Roman" w:cs="Times New Roman"/>
          <w:lang w:val="es-ES"/>
        </w:rPr>
        <w:t>pêcheur</w:t>
      </w:r>
      <w:proofErr w:type="spellEnd"/>
      <w:r w:rsidRPr="00433988">
        <w:rPr>
          <w:rFonts w:ascii="Times New Roman" w:hAnsi="Times New Roman" w:cs="Times New Roman"/>
          <w:lang w:val="es-ES"/>
        </w:rPr>
        <w:t xml:space="preserve"> y </w:t>
      </w:r>
      <w:proofErr w:type="spellStart"/>
      <w:r w:rsidRPr="00433988">
        <w:rPr>
          <w:rFonts w:ascii="Times New Roman" w:hAnsi="Times New Roman" w:cs="Times New Roman"/>
          <w:lang w:val="es-ES"/>
        </w:rPr>
        <w:t>Factortame</w:t>
      </w:r>
      <w:proofErr w:type="spellEnd"/>
      <w:r w:rsidRPr="00433988">
        <w:rPr>
          <w:rFonts w:ascii="Times New Roman" w:hAnsi="Times New Roman" w:cs="Times New Roman"/>
          <w:lang w:val="es-ES"/>
        </w:rPr>
        <w:t xml:space="preserve">, C-46/93 y C-48/93, EU:C:1996:79, apartado 31. Con posterioridad, v. las sentencias de 14 de marzo de 2013, </w:t>
      </w:r>
      <w:proofErr w:type="spellStart"/>
      <w:r w:rsidRPr="00433988">
        <w:rPr>
          <w:rFonts w:ascii="Times New Roman" w:hAnsi="Times New Roman" w:cs="Times New Roman"/>
          <w:lang w:val="es-ES"/>
        </w:rPr>
        <w:t>Leth</w:t>
      </w:r>
      <w:proofErr w:type="spellEnd"/>
      <w:r w:rsidRPr="00433988">
        <w:rPr>
          <w:rFonts w:ascii="Times New Roman" w:hAnsi="Times New Roman" w:cs="Times New Roman"/>
          <w:lang w:val="es-ES"/>
        </w:rPr>
        <w:t xml:space="preserve">, C-420/11, EU:C:2013:166, apartado 40; y de 28 de julio de 2016, </w:t>
      </w:r>
      <w:proofErr w:type="spellStart"/>
      <w:r w:rsidRPr="00433988">
        <w:rPr>
          <w:rFonts w:ascii="Times New Roman" w:hAnsi="Times New Roman" w:cs="Times New Roman"/>
          <w:lang w:val="es-ES"/>
        </w:rPr>
        <w:t>Tomášová</w:t>
      </w:r>
      <w:proofErr w:type="spellEnd"/>
      <w:r w:rsidRPr="00433988">
        <w:rPr>
          <w:rFonts w:ascii="Times New Roman" w:hAnsi="Times New Roman" w:cs="Times New Roman"/>
          <w:lang w:val="es-ES"/>
        </w:rPr>
        <w:t>, C-168/15, EU:C:2016:602, apartado 18.</w:t>
      </w:r>
    </w:p>
  </w:footnote>
  <w:footnote w:id="26">
    <w:p w:rsidR="003250B2" w:rsidRPr="00433988" w:rsidRDefault="003250B2" w:rsidP="008F7676">
      <w:pPr>
        <w:pStyle w:val="Textonotapie"/>
        <w:jc w:val="both"/>
        <w:rPr>
          <w:rFonts w:ascii="Times New Roman" w:hAnsi="Times New Roman" w:cs="Times New Roman"/>
          <w:lang w:val="es-ES"/>
        </w:rPr>
      </w:pPr>
      <w:r w:rsidRPr="00433988">
        <w:rPr>
          <w:rStyle w:val="Refdenotaalpie"/>
          <w:rFonts w:ascii="Times New Roman" w:hAnsi="Times New Roman" w:cs="Times New Roman"/>
        </w:rPr>
        <w:footnoteRef/>
      </w:r>
      <w:r w:rsidRPr="00433988">
        <w:rPr>
          <w:rFonts w:ascii="Times New Roman" w:hAnsi="Times New Roman" w:cs="Times New Roman"/>
          <w:lang w:val="es-ES"/>
        </w:rPr>
        <w:t xml:space="preserve"> Quizás un margen más estrecho que el que tiene para iniciar la fase precontenciosa (Díez-</w:t>
      </w:r>
      <w:proofErr w:type="spellStart"/>
      <w:r w:rsidRPr="00433988">
        <w:rPr>
          <w:rFonts w:ascii="Times New Roman" w:hAnsi="Times New Roman" w:cs="Times New Roman"/>
          <w:lang w:val="es-ES"/>
        </w:rPr>
        <w:t>Hochleitner</w:t>
      </w:r>
      <w:proofErr w:type="spellEnd"/>
      <w:r w:rsidRPr="00433988">
        <w:rPr>
          <w:rFonts w:ascii="Times New Roman" w:hAnsi="Times New Roman" w:cs="Times New Roman"/>
          <w:lang w:val="es-ES"/>
        </w:rPr>
        <w:t xml:space="preserve">, 1993: 883 y </w:t>
      </w:r>
      <w:r w:rsidR="00CB7AA6" w:rsidRPr="00433988">
        <w:rPr>
          <w:rFonts w:ascii="Times New Roman" w:hAnsi="Times New Roman" w:cs="Times New Roman"/>
          <w:lang w:val="es-ES"/>
        </w:rPr>
        <w:t>ss.</w:t>
      </w:r>
      <w:r w:rsidRPr="00433988">
        <w:rPr>
          <w:rFonts w:ascii="Times New Roman" w:hAnsi="Times New Roman" w:cs="Times New Roman"/>
          <w:lang w:val="es-ES"/>
        </w:rPr>
        <w:t xml:space="preserve">).    </w:t>
      </w:r>
    </w:p>
  </w:footnote>
  <w:footnote w:id="27">
    <w:p w:rsidR="003250B2" w:rsidRPr="00433988" w:rsidRDefault="003250B2" w:rsidP="00574B92">
      <w:pPr>
        <w:pStyle w:val="Textonotapie"/>
        <w:jc w:val="both"/>
        <w:rPr>
          <w:rFonts w:ascii="Times New Roman" w:hAnsi="Times New Roman" w:cs="Times New Roman"/>
          <w:lang w:val="es-ES"/>
        </w:rPr>
      </w:pPr>
      <w:r w:rsidRPr="00433988">
        <w:rPr>
          <w:rStyle w:val="Refdenotaalpie"/>
          <w:rFonts w:ascii="Times New Roman" w:hAnsi="Times New Roman" w:cs="Times New Roman"/>
        </w:rPr>
        <w:footnoteRef/>
      </w:r>
      <w:r w:rsidRPr="00433988">
        <w:rPr>
          <w:rFonts w:ascii="Times New Roman" w:hAnsi="Times New Roman" w:cs="Times New Roman"/>
          <w:lang w:val="es-ES"/>
        </w:rPr>
        <w:t xml:space="preserve"> La interpretación que de la dicción del precepto hizo en un principio el TJUE fue pronto descalificada por este (Evans, 1979: 446-449). Véanse las sentencias de 10 de diciembre de 1968, Comisión/Italia, C-7/68, EU:C:1968:51, análisis sobre la admisibilidad en los fundamentos de derecho; de 21 de junio de 1988, Comisión/Irlanda, C-415/85, EU:C:1988:320, párrafo 9; de 14 de febrero de 1989, </w:t>
      </w:r>
      <w:proofErr w:type="spellStart"/>
      <w:r w:rsidRPr="00433988">
        <w:rPr>
          <w:rFonts w:ascii="Times New Roman" w:hAnsi="Times New Roman" w:cs="Times New Roman"/>
          <w:lang w:val="es-ES"/>
        </w:rPr>
        <w:t>Star</w:t>
      </w:r>
      <w:proofErr w:type="spellEnd"/>
      <w:r w:rsidRPr="00433988">
        <w:rPr>
          <w:rFonts w:ascii="Times New Roman" w:hAnsi="Times New Roman" w:cs="Times New Roman"/>
          <w:lang w:val="es-ES"/>
        </w:rPr>
        <w:t xml:space="preserve"> </w:t>
      </w:r>
      <w:proofErr w:type="spellStart"/>
      <w:r w:rsidRPr="00433988">
        <w:rPr>
          <w:rFonts w:ascii="Times New Roman" w:hAnsi="Times New Roman" w:cs="Times New Roman"/>
          <w:lang w:val="es-ES"/>
        </w:rPr>
        <w:t>Fruit</w:t>
      </w:r>
      <w:proofErr w:type="spellEnd"/>
      <w:r w:rsidRPr="00433988">
        <w:rPr>
          <w:rFonts w:ascii="Times New Roman" w:hAnsi="Times New Roman" w:cs="Times New Roman"/>
          <w:lang w:val="es-ES"/>
        </w:rPr>
        <w:t xml:space="preserve"> </w:t>
      </w:r>
      <w:proofErr w:type="spellStart"/>
      <w:r w:rsidRPr="00433988">
        <w:rPr>
          <w:rFonts w:ascii="Times New Roman" w:hAnsi="Times New Roman" w:cs="Times New Roman"/>
          <w:lang w:val="es-ES"/>
        </w:rPr>
        <w:t>Company</w:t>
      </w:r>
      <w:proofErr w:type="spellEnd"/>
      <w:r w:rsidRPr="00433988">
        <w:rPr>
          <w:rFonts w:ascii="Times New Roman" w:hAnsi="Times New Roman" w:cs="Times New Roman"/>
          <w:lang w:val="es-ES"/>
        </w:rPr>
        <w:t xml:space="preserve">/Comisión, C-247/87, EU:C:1989:58, párrafo 12; de 17 de julio de 2008, Comisión/Bélgica, C-207/07, EU:C:2008:428, párrafo 24. </w:t>
      </w:r>
    </w:p>
  </w:footnote>
  <w:footnote w:id="28">
    <w:p w:rsidR="003250B2" w:rsidRPr="00433988" w:rsidRDefault="003250B2" w:rsidP="00574B92">
      <w:pPr>
        <w:pStyle w:val="Textonotapie"/>
        <w:jc w:val="both"/>
        <w:rPr>
          <w:rFonts w:ascii="Times New Roman" w:hAnsi="Times New Roman" w:cs="Times New Roman"/>
          <w:lang w:val="es-ES"/>
        </w:rPr>
      </w:pPr>
      <w:r w:rsidRPr="00433988">
        <w:rPr>
          <w:rStyle w:val="Refdenotaalpie"/>
          <w:rFonts w:ascii="Times New Roman" w:hAnsi="Times New Roman" w:cs="Times New Roman"/>
        </w:rPr>
        <w:footnoteRef/>
      </w:r>
      <w:r w:rsidRPr="00433988">
        <w:rPr>
          <w:rFonts w:ascii="Times New Roman" w:hAnsi="Times New Roman" w:cs="Times New Roman"/>
          <w:lang w:val="es-ES"/>
        </w:rPr>
        <w:t xml:space="preserve"> El primero, </w:t>
      </w:r>
      <w:proofErr w:type="spellStart"/>
      <w:r w:rsidRPr="00433988">
        <w:rPr>
          <w:rFonts w:ascii="Times New Roman" w:hAnsi="Times New Roman" w:cs="Times New Roman"/>
          <w:i/>
          <w:iCs/>
          <w:lang w:val="es-ES"/>
        </w:rPr>
        <w:t>Internal</w:t>
      </w:r>
      <w:proofErr w:type="spellEnd"/>
      <w:r w:rsidRPr="00433988">
        <w:rPr>
          <w:rFonts w:ascii="Times New Roman" w:hAnsi="Times New Roman" w:cs="Times New Roman"/>
          <w:i/>
          <w:iCs/>
          <w:lang w:val="es-ES"/>
        </w:rPr>
        <w:t xml:space="preserve"> </w:t>
      </w:r>
      <w:proofErr w:type="spellStart"/>
      <w:r w:rsidRPr="00433988">
        <w:rPr>
          <w:rFonts w:ascii="Times New Roman" w:hAnsi="Times New Roman" w:cs="Times New Roman"/>
          <w:i/>
          <w:iCs/>
          <w:lang w:val="es-ES"/>
        </w:rPr>
        <w:t>Market</w:t>
      </w:r>
      <w:proofErr w:type="spellEnd"/>
      <w:r w:rsidRPr="00433988">
        <w:rPr>
          <w:rFonts w:ascii="Times New Roman" w:hAnsi="Times New Roman" w:cs="Times New Roman"/>
          <w:i/>
          <w:iCs/>
          <w:lang w:val="es-ES"/>
        </w:rPr>
        <w:t xml:space="preserve"> </w:t>
      </w:r>
      <w:proofErr w:type="spellStart"/>
      <w:r w:rsidRPr="00433988">
        <w:rPr>
          <w:rFonts w:ascii="Times New Roman" w:hAnsi="Times New Roman" w:cs="Times New Roman"/>
          <w:i/>
          <w:iCs/>
          <w:lang w:val="es-ES"/>
        </w:rPr>
        <w:t>Scoreboard</w:t>
      </w:r>
      <w:proofErr w:type="spellEnd"/>
      <w:r w:rsidRPr="00433988">
        <w:rPr>
          <w:rFonts w:ascii="Times New Roman" w:hAnsi="Times New Roman" w:cs="Times New Roman"/>
          <w:lang w:val="es-ES"/>
        </w:rPr>
        <w:t xml:space="preserve"> (IMS) o Marcador del Mercado Interior, fue diseñado a finales de los noventa para informar a los Estados miembros y a los ciudadanos sobre el grado de cumplimiento del derecho de la UE. SOLVIT, en 2002, se instauró para facilitar a los ciudadanos y a las empresas una plataforma que permitiera solucionar conflictos en la aplicación de ciertas reglas relativas al Mercado Interior sin </w:t>
      </w:r>
      <w:r w:rsidR="00C322EB" w:rsidRPr="00433988">
        <w:rPr>
          <w:rFonts w:ascii="Times New Roman" w:hAnsi="Times New Roman" w:cs="Times New Roman"/>
          <w:lang w:val="es-ES"/>
        </w:rPr>
        <w:t>la intervención de</w:t>
      </w:r>
      <w:r w:rsidRPr="00433988">
        <w:rPr>
          <w:rFonts w:ascii="Times New Roman" w:hAnsi="Times New Roman" w:cs="Times New Roman"/>
          <w:lang w:val="es-ES"/>
        </w:rPr>
        <w:t xml:space="preserve"> la Comisión. PILOT se pensó para </w:t>
      </w:r>
      <w:r w:rsidR="00C322EB" w:rsidRPr="00433988">
        <w:rPr>
          <w:rFonts w:ascii="Times New Roman" w:hAnsi="Times New Roman" w:cs="Times New Roman"/>
          <w:lang w:val="es-ES"/>
        </w:rPr>
        <w:t xml:space="preserve">trabajar más estrechamente con los Estados miembros en </w:t>
      </w:r>
      <w:r w:rsidRPr="00433988">
        <w:rPr>
          <w:rFonts w:ascii="Times New Roman" w:hAnsi="Times New Roman" w:cs="Times New Roman"/>
          <w:lang w:val="es-ES"/>
        </w:rPr>
        <w:t>problemas relativos a la aplicación de otras disposiciones de derecho de la Unión, distintas de las específicas del mercado interior (</w:t>
      </w:r>
      <w:proofErr w:type="spellStart"/>
      <w:r w:rsidRPr="00433988">
        <w:rPr>
          <w:rFonts w:ascii="Times New Roman" w:hAnsi="Times New Roman" w:cs="Times New Roman"/>
          <w:lang w:val="es-ES"/>
        </w:rPr>
        <w:t>Koops</w:t>
      </w:r>
      <w:proofErr w:type="spellEnd"/>
      <w:r w:rsidRPr="00433988">
        <w:rPr>
          <w:rFonts w:ascii="Times New Roman" w:hAnsi="Times New Roman" w:cs="Times New Roman"/>
          <w:lang w:val="es-ES"/>
        </w:rPr>
        <w:t>, 2014: 158-159).</w:t>
      </w:r>
    </w:p>
  </w:footnote>
  <w:footnote w:id="29">
    <w:p w:rsidR="003250B2" w:rsidRPr="00433988" w:rsidRDefault="003250B2" w:rsidP="00574B92">
      <w:pPr>
        <w:pStyle w:val="Textonotapie"/>
        <w:jc w:val="both"/>
        <w:rPr>
          <w:rFonts w:ascii="Times New Roman" w:hAnsi="Times New Roman" w:cs="Times New Roman"/>
          <w:lang w:val="es-ES"/>
        </w:rPr>
      </w:pPr>
      <w:r w:rsidRPr="00433988">
        <w:rPr>
          <w:rStyle w:val="Refdenotaalpie"/>
          <w:rFonts w:ascii="Times New Roman" w:hAnsi="Times New Roman" w:cs="Times New Roman"/>
        </w:rPr>
        <w:footnoteRef/>
      </w:r>
      <w:r w:rsidRPr="00433988">
        <w:rPr>
          <w:rFonts w:ascii="Times New Roman" w:hAnsi="Times New Roman" w:cs="Times New Roman"/>
          <w:lang w:val="es-ES"/>
        </w:rPr>
        <w:t xml:space="preserve"> La Comisión nunca ha ocultado que existen prioridades en su acción institucional</w:t>
      </w:r>
      <w:r w:rsidR="00C322EB" w:rsidRPr="00433988">
        <w:rPr>
          <w:rFonts w:ascii="Times New Roman" w:hAnsi="Times New Roman" w:cs="Times New Roman"/>
          <w:lang w:val="es-ES"/>
        </w:rPr>
        <w:t>. D</w:t>
      </w:r>
      <w:r w:rsidRPr="00433988">
        <w:rPr>
          <w:rFonts w:ascii="Times New Roman" w:hAnsi="Times New Roman" w:cs="Times New Roman"/>
          <w:lang w:val="es-ES"/>
        </w:rPr>
        <w:t>esde los años ochenta</w:t>
      </w:r>
      <w:r w:rsidR="00C322EB" w:rsidRPr="00433988">
        <w:rPr>
          <w:rFonts w:ascii="Times New Roman" w:hAnsi="Times New Roman" w:cs="Times New Roman"/>
          <w:lang w:val="es-ES"/>
        </w:rPr>
        <w:t xml:space="preserve"> las expone</w:t>
      </w:r>
      <w:r w:rsidRPr="00433988">
        <w:rPr>
          <w:rFonts w:ascii="Times New Roman" w:hAnsi="Times New Roman" w:cs="Times New Roman"/>
          <w:lang w:val="es-ES"/>
        </w:rPr>
        <w:t xml:space="preserve"> en informes anuales sobre la aplicación del derecho de la Unión. </w:t>
      </w:r>
      <w:r w:rsidR="00C322EB" w:rsidRPr="00433988">
        <w:rPr>
          <w:rFonts w:ascii="Times New Roman" w:hAnsi="Times New Roman" w:cs="Times New Roman"/>
          <w:lang w:val="es-ES"/>
        </w:rPr>
        <w:t>Disponibles en</w:t>
      </w:r>
      <w:r w:rsidRPr="00433988">
        <w:rPr>
          <w:rFonts w:ascii="Times New Roman" w:hAnsi="Times New Roman" w:cs="Times New Roman"/>
          <w:lang w:val="es-ES"/>
        </w:rPr>
        <w:t xml:space="preserve"> </w:t>
      </w:r>
      <w:hyperlink r:id="rId1" w:history="1">
        <w:r w:rsidRPr="00433988">
          <w:rPr>
            <w:rStyle w:val="Hipervnculo"/>
            <w:rFonts w:ascii="Times New Roman" w:hAnsi="Times New Roman" w:cs="Times New Roman"/>
            <w:color w:val="auto"/>
            <w:lang w:val="es-ES"/>
          </w:rPr>
          <w:t>https://ec.europa.eu/info/publications/annual-reports-monitoring-application-eu-law_es</w:t>
        </w:r>
      </w:hyperlink>
      <w:r w:rsidRPr="00433988">
        <w:rPr>
          <w:rFonts w:ascii="Times New Roman" w:hAnsi="Times New Roman" w:cs="Times New Roman"/>
          <w:lang w:val="es-ES"/>
        </w:rPr>
        <w:t>.</w:t>
      </w:r>
    </w:p>
  </w:footnote>
  <w:footnote w:id="30">
    <w:p w:rsidR="00C322EB" w:rsidRPr="00433988" w:rsidRDefault="00C322EB" w:rsidP="00C322EB">
      <w:pPr>
        <w:pStyle w:val="Textonotapie"/>
        <w:jc w:val="both"/>
        <w:rPr>
          <w:rFonts w:ascii="Times New Roman" w:hAnsi="Times New Roman" w:cs="Times New Roman"/>
          <w:lang w:val="es-ES"/>
        </w:rPr>
      </w:pPr>
      <w:r w:rsidRPr="00433988">
        <w:rPr>
          <w:rStyle w:val="Refdenotaalpie"/>
          <w:rFonts w:ascii="Times New Roman" w:hAnsi="Times New Roman" w:cs="Times New Roman"/>
        </w:rPr>
        <w:footnoteRef/>
      </w:r>
      <w:r w:rsidRPr="00433988">
        <w:rPr>
          <w:rFonts w:ascii="Times New Roman" w:hAnsi="Times New Roman" w:cs="Times New Roman"/>
          <w:lang w:val="es-ES"/>
        </w:rPr>
        <w:t xml:space="preserve"> Es el supuesto de un fallo basado en la libertad de establecimiento y en ninguna otra norma de derecho de la Unión de la sentencia de 11 de diciembre de 2014, Comisión/España, C-576/13, EU</w:t>
      </w:r>
      <w:proofErr w:type="gramStart"/>
      <w:r w:rsidRPr="00433988">
        <w:rPr>
          <w:rFonts w:ascii="Times New Roman" w:hAnsi="Times New Roman" w:cs="Times New Roman"/>
          <w:lang w:val="es-ES"/>
        </w:rPr>
        <w:t>:C:2014:2430</w:t>
      </w:r>
      <w:proofErr w:type="gramEnd"/>
      <w:r w:rsidRPr="00433988">
        <w:rPr>
          <w:rFonts w:ascii="Times New Roman" w:hAnsi="Times New Roman" w:cs="Times New Roman"/>
          <w:lang w:val="es-ES"/>
        </w:rPr>
        <w:t>.</w:t>
      </w:r>
    </w:p>
  </w:footnote>
  <w:footnote w:id="31">
    <w:p w:rsidR="003250B2" w:rsidRPr="00433988" w:rsidRDefault="003250B2" w:rsidP="00B067AA">
      <w:pPr>
        <w:pStyle w:val="Textonotapie"/>
        <w:jc w:val="both"/>
        <w:rPr>
          <w:rFonts w:ascii="Times New Roman" w:hAnsi="Times New Roman" w:cs="Times New Roman"/>
          <w:lang w:val="es-ES"/>
        </w:rPr>
      </w:pPr>
      <w:r w:rsidRPr="00433988">
        <w:rPr>
          <w:rStyle w:val="Refdenotaalpie"/>
          <w:rFonts w:ascii="Times New Roman" w:hAnsi="Times New Roman" w:cs="Times New Roman"/>
        </w:rPr>
        <w:footnoteRef/>
      </w:r>
      <w:r w:rsidRPr="00433988">
        <w:rPr>
          <w:rFonts w:ascii="Times New Roman" w:hAnsi="Times New Roman" w:cs="Times New Roman"/>
          <w:lang w:val="es-ES"/>
        </w:rPr>
        <w:t xml:space="preserve"> La </w:t>
      </w:r>
      <w:r w:rsidR="00C322EB" w:rsidRPr="00433988">
        <w:rPr>
          <w:rFonts w:ascii="Times New Roman" w:hAnsi="Times New Roman" w:cs="Times New Roman"/>
          <w:lang w:val="es-ES"/>
        </w:rPr>
        <w:t>finalidad</w:t>
      </w:r>
      <w:r w:rsidRPr="00433988">
        <w:rPr>
          <w:rFonts w:ascii="Times New Roman" w:hAnsi="Times New Roman" w:cs="Times New Roman"/>
          <w:lang w:val="es-ES"/>
        </w:rPr>
        <w:t xml:space="preserve"> </w:t>
      </w:r>
      <w:r w:rsidR="00C322EB" w:rsidRPr="00433988">
        <w:rPr>
          <w:rFonts w:ascii="Times New Roman" w:hAnsi="Times New Roman" w:cs="Times New Roman"/>
          <w:lang w:val="es-ES"/>
        </w:rPr>
        <w:t xml:space="preserve">del </w:t>
      </w:r>
      <w:r w:rsidRPr="00433988">
        <w:rPr>
          <w:rFonts w:ascii="Times New Roman" w:hAnsi="Times New Roman" w:cs="Times New Roman"/>
          <w:lang w:val="es-ES"/>
        </w:rPr>
        <w:t>mecanismo es completar la formulación de objetivos de una determinada política a través de la interpretación jurídica y convertirlos en reglas de derecho, de manera que se salvan los obstáculos institucionales que puedan oponerse en el Consejo, los gobiernos estatales o, en el parlamento, los representantes electos (</w:t>
      </w:r>
      <w:proofErr w:type="spellStart"/>
      <w:r w:rsidRPr="00433988">
        <w:rPr>
          <w:rFonts w:ascii="Times New Roman" w:hAnsi="Times New Roman" w:cs="Times New Roman"/>
          <w:lang w:val="es-ES"/>
        </w:rPr>
        <w:t>Héritier</w:t>
      </w:r>
      <w:proofErr w:type="spellEnd"/>
      <w:r w:rsidRPr="00433988">
        <w:rPr>
          <w:rFonts w:ascii="Times New Roman" w:hAnsi="Times New Roman" w:cs="Times New Roman"/>
          <w:lang w:val="es-ES"/>
        </w:rPr>
        <w:t>, 2017: 19)</w:t>
      </w:r>
    </w:p>
  </w:footnote>
  <w:footnote w:id="32">
    <w:p w:rsidR="003250B2" w:rsidRPr="00433988" w:rsidRDefault="003250B2" w:rsidP="00574B92">
      <w:pPr>
        <w:pStyle w:val="Textonotapie"/>
        <w:jc w:val="both"/>
        <w:rPr>
          <w:rFonts w:ascii="Times New Roman" w:hAnsi="Times New Roman" w:cs="Times New Roman"/>
          <w:lang w:val="es-ES"/>
        </w:rPr>
      </w:pPr>
      <w:r w:rsidRPr="00433988">
        <w:rPr>
          <w:rStyle w:val="Refdenotaalpie"/>
          <w:rFonts w:ascii="Times New Roman" w:hAnsi="Times New Roman" w:cs="Times New Roman"/>
        </w:rPr>
        <w:footnoteRef/>
      </w:r>
      <w:r w:rsidRPr="00433988">
        <w:rPr>
          <w:rFonts w:ascii="Times New Roman" w:hAnsi="Times New Roman" w:cs="Times New Roman"/>
          <w:lang w:val="es-ES"/>
        </w:rPr>
        <w:t xml:space="preserve"> </w:t>
      </w:r>
      <w:proofErr w:type="spellStart"/>
      <w:r w:rsidRPr="00433988">
        <w:rPr>
          <w:rFonts w:ascii="Times New Roman" w:hAnsi="Times New Roman" w:cs="Times New Roman"/>
          <w:lang w:val="es-ES"/>
        </w:rPr>
        <w:t>Poiares</w:t>
      </w:r>
      <w:proofErr w:type="spellEnd"/>
      <w:r w:rsidRPr="00433988">
        <w:rPr>
          <w:rFonts w:ascii="Times New Roman" w:hAnsi="Times New Roman" w:cs="Times New Roman"/>
          <w:lang w:val="es-ES"/>
        </w:rPr>
        <w:t xml:space="preserve"> Maduro (2004: 16) hablaba de</w:t>
      </w:r>
      <w:r w:rsidR="00CB0A0F" w:rsidRPr="00433988">
        <w:rPr>
          <w:rFonts w:ascii="Times New Roman" w:hAnsi="Times New Roman" w:cs="Times New Roman"/>
          <w:lang w:val="es-ES"/>
        </w:rPr>
        <w:t xml:space="preserve"> un</w:t>
      </w:r>
      <w:r w:rsidRPr="00433988">
        <w:rPr>
          <w:rFonts w:ascii="Times New Roman" w:hAnsi="Times New Roman" w:cs="Times New Roman"/>
          <w:lang w:val="es-ES"/>
        </w:rPr>
        <w:t xml:space="preserve"> </w:t>
      </w:r>
      <w:r w:rsidRPr="00433988">
        <w:rPr>
          <w:rFonts w:ascii="Times New Roman" w:hAnsi="Times New Roman" w:cs="Times New Roman"/>
          <w:i/>
          <w:lang w:val="es-ES"/>
        </w:rPr>
        <w:t>constitucionalismo incremental</w:t>
      </w:r>
      <w:r w:rsidRPr="00433988">
        <w:rPr>
          <w:rFonts w:ascii="Times New Roman" w:hAnsi="Times New Roman" w:cs="Times New Roman"/>
          <w:lang w:val="es-ES"/>
        </w:rPr>
        <w:t xml:space="preserve"> </w:t>
      </w:r>
      <w:r w:rsidR="00CB0A0F" w:rsidRPr="00433988">
        <w:rPr>
          <w:rFonts w:ascii="Times New Roman" w:hAnsi="Times New Roman" w:cs="Times New Roman"/>
          <w:lang w:val="es-ES"/>
        </w:rPr>
        <w:t>en</w:t>
      </w:r>
      <w:r w:rsidRPr="00433988">
        <w:rPr>
          <w:rFonts w:ascii="Times New Roman" w:hAnsi="Times New Roman" w:cs="Times New Roman"/>
          <w:lang w:val="es-ES"/>
        </w:rPr>
        <w:t xml:space="preserve"> la Unión Europea: “no el producto de un momento constitucional, sino de un desarrollo judicial y político paso a paso, a menudo construido por referencia a fuentes constitucionales estatales. Fue producto tanto de desarrollos intergubernamentales, en la forma de reformas de los Tratados, como de interpretación constitucional del Tribunal de Justicia Europeo, en cooperación con circunscripciones de actores jurídicos y políticos de carácter nacional y supranacional”.  </w:t>
      </w:r>
    </w:p>
  </w:footnote>
  <w:footnote w:id="33">
    <w:p w:rsidR="003250B2" w:rsidRPr="00433988" w:rsidRDefault="003250B2" w:rsidP="00317538">
      <w:pPr>
        <w:pStyle w:val="Textonotapie"/>
        <w:jc w:val="both"/>
        <w:rPr>
          <w:rFonts w:ascii="Times New Roman" w:hAnsi="Times New Roman" w:cs="Times New Roman"/>
          <w:lang w:val="es-ES"/>
        </w:rPr>
      </w:pPr>
      <w:r w:rsidRPr="00433988">
        <w:rPr>
          <w:rStyle w:val="Refdenotaalpie"/>
          <w:rFonts w:ascii="Times New Roman" w:hAnsi="Times New Roman" w:cs="Times New Roman"/>
        </w:rPr>
        <w:footnoteRef/>
      </w:r>
      <w:r w:rsidRPr="00433988">
        <w:rPr>
          <w:rFonts w:ascii="Times New Roman" w:hAnsi="Times New Roman" w:cs="Times New Roman"/>
          <w:lang w:val="es-ES"/>
        </w:rPr>
        <w:t xml:space="preserve"> De hecho, como explica Azpitarte Sánchez (2016: 944) y de manera inversa, aunque el derecho de la Unión conforme “un ordenamiento con su propia norma suprema, sistema de fuentes y garantía jurisdiccional” es precisamente esto “lo que explica en gran medida que sus instituciones no se sientan vinculadas a las constituciones nacionales” aunque “en ellas esté la causa primera de la existencia de la Unión”.    </w:t>
      </w:r>
    </w:p>
  </w:footnote>
  <w:footnote w:id="34">
    <w:p w:rsidR="003250B2" w:rsidRPr="00433988" w:rsidRDefault="003250B2" w:rsidP="00574B92">
      <w:pPr>
        <w:pStyle w:val="Textonotapie"/>
        <w:jc w:val="both"/>
        <w:rPr>
          <w:rFonts w:ascii="Times New Roman" w:hAnsi="Times New Roman" w:cs="Times New Roman"/>
          <w:lang w:val="es-ES"/>
        </w:rPr>
      </w:pPr>
      <w:r w:rsidRPr="00433988">
        <w:rPr>
          <w:rStyle w:val="Refdenotaalpie"/>
          <w:rFonts w:ascii="Times New Roman" w:hAnsi="Times New Roman" w:cs="Times New Roman"/>
        </w:rPr>
        <w:footnoteRef/>
      </w:r>
      <w:r w:rsidRPr="00433988">
        <w:rPr>
          <w:rFonts w:ascii="Times New Roman" w:hAnsi="Times New Roman" w:cs="Times New Roman"/>
          <w:lang w:val="es-ES"/>
        </w:rPr>
        <w:t xml:space="preserve"> Un ejemplo reciente es el conjunto de procedimientos abiertos por la Comisión, en mayo de 2018, contra disti</w:t>
      </w:r>
      <w:r w:rsidR="002C5B76" w:rsidRPr="00433988">
        <w:rPr>
          <w:rFonts w:ascii="Times New Roman" w:hAnsi="Times New Roman" w:cs="Times New Roman"/>
          <w:lang w:val="es-ES"/>
        </w:rPr>
        <w:t>ntos países en relación con la d</w:t>
      </w:r>
      <w:r w:rsidRPr="00433988">
        <w:rPr>
          <w:rFonts w:ascii="Times New Roman" w:hAnsi="Times New Roman" w:cs="Times New Roman"/>
          <w:lang w:val="es-ES"/>
        </w:rPr>
        <w:t xml:space="preserve">irectiva (EU) 2016/343 del Parlamento Europeo y del Consejo de 9 de marzo de 2016 sobre  el afianzamiento de ciertos aspectos relativos a la presunción de inocencia y al derecho a estar presente en el juicio en los procesos penales. Los números de procedimiento son los 20180108, 20180110, 20180112, 20180113, 20180115, 20180116, 20180117, 20180120, 20180121 y 20180122. </w:t>
      </w:r>
    </w:p>
  </w:footnote>
  <w:footnote w:id="35">
    <w:p w:rsidR="003250B2" w:rsidRPr="00433988" w:rsidRDefault="003250B2" w:rsidP="00574B92">
      <w:pPr>
        <w:pStyle w:val="Textonotapie"/>
        <w:jc w:val="both"/>
        <w:rPr>
          <w:rFonts w:ascii="Times New Roman" w:hAnsi="Times New Roman" w:cs="Times New Roman"/>
          <w:lang w:val="es-ES"/>
        </w:rPr>
      </w:pPr>
      <w:r w:rsidRPr="00433988">
        <w:rPr>
          <w:rStyle w:val="Refdenotaalpie"/>
          <w:rFonts w:ascii="Times New Roman" w:hAnsi="Times New Roman" w:cs="Times New Roman"/>
        </w:rPr>
        <w:footnoteRef/>
      </w:r>
      <w:r w:rsidRPr="00433988">
        <w:rPr>
          <w:rFonts w:ascii="Times New Roman" w:hAnsi="Times New Roman" w:cs="Times New Roman"/>
          <w:lang w:val="es-ES"/>
        </w:rPr>
        <w:t xml:space="preserve"> Sentencia de 8 de abril de 2010, Comisión/Hungría, C-288/12, EU:C:2014:237. Traía causa del procedimiento de incumplimiento número 20122011 y tenía como precedentes las sentencias de 9 de marzo de 2010, Comisión/Alemania, C-518/07, EU:C:2010:125; y de 16 de octubre de 2012, Comisión/Austria, C-614/10, EU:C:2012:631</w:t>
      </w:r>
      <w:r w:rsidR="00CB0A0F" w:rsidRPr="00433988">
        <w:rPr>
          <w:rFonts w:ascii="Times New Roman" w:hAnsi="Times New Roman" w:cs="Times New Roman"/>
          <w:lang w:val="es-ES"/>
        </w:rPr>
        <w:t>.</w:t>
      </w:r>
    </w:p>
  </w:footnote>
  <w:footnote w:id="36">
    <w:p w:rsidR="00CB0A0F" w:rsidRPr="00433988" w:rsidRDefault="00CB0A0F" w:rsidP="00CB0A0F">
      <w:pPr>
        <w:pStyle w:val="Textonotapie"/>
        <w:jc w:val="both"/>
        <w:rPr>
          <w:rFonts w:ascii="Times New Roman" w:hAnsi="Times New Roman" w:cs="Times New Roman"/>
          <w:lang w:val="es-ES"/>
        </w:rPr>
      </w:pPr>
      <w:r w:rsidRPr="00433988">
        <w:rPr>
          <w:rStyle w:val="Refdenotaalpie"/>
          <w:rFonts w:ascii="Times New Roman" w:hAnsi="Times New Roman" w:cs="Times New Roman"/>
        </w:rPr>
        <w:footnoteRef/>
      </w:r>
      <w:r w:rsidRPr="00433988">
        <w:rPr>
          <w:rFonts w:ascii="Times New Roman" w:hAnsi="Times New Roman" w:cs="Times New Roman"/>
          <w:lang w:val="es-ES"/>
        </w:rPr>
        <w:t xml:space="preserve"> Ejemplos son las sentencias de 18 de mayo de 1989, Comisión/Alemania, C-249/86, EU</w:t>
      </w:r>
      <w:proofErr w:type="gramStart"/>
      <w:r w:rsidRPr="00433988">
        <w:rPr>
          <w:rFonts w:ascii="Times New Roman" w:hAnsi="Times New Roman" w:cs="Times New Roman"/>
          <w:lang w:val="es-ES"/>
        </w:rPr>
        <w:t>:C:1989:204</w:t>
      </w:r>
      <w:proofErr w:type="gramEnd"/>
      <w:r w:rsidRPr="00433988">
        <w:rPr>
          <w:rFonts w:ascii="Times New Roman" w:hAnsi="Times New Roman" w:cs="Times New Roman"/>
          <w:lang w:val="es-ES"/>
        </w:rPr>
        <w:t xml:space="preserve">; y de 27 de noviembre de 2001, Comisión/Austria, C-424/99, EU:C:2001:642. </w:t>
      </w:r>
    </w:p>
  </w:footnote>
  <w:footnote w:id="37">
    <w:p w:rsidR="003250B2" w:rsidRPr="00433988" w:rsidRDefault="003250B2" w:rsidP="00574B92">
      <w:pPr>
        <w:pStyle w:val="Textonotapie"/>
        <w:jc w:val="both"/>
        <w:rPr>
          <w:rFonts w:ascii="Times New Roman" w:hAnsi="Times New Roman" w:cs="Times New Roman"/>
          <w:lang w:val="es-ES"/>
        </w:rPr>
      </w:pPr>
      <w:r w:rsidRPr="00433988">
        <w:rPr>
          <w:rStyle w:val="Refdenotaalpie"/>
          <w:rFonts w:ascii="Times New Roman" w:hAnsi="Times New Roman" w:cs="Times New Roman"/>
        </w:rPr>
        <w:footnoteRef/>
      </w:r>
      <w:r w:rsidR="00EA6435" w:rsidRPr="00433988">
        <w:rPr>
          <w:rFonts w:ascii="Times New Roman" w:hAnsi="Times New Roman" w:cs="Times New Roman"/>
          <w:lang w:val="es-ES"/>
        </w:rPr>
        <w:t xml:space="preserve"> N</w:t>
      </w:r>
      <w:r w:rsidRPr="00433988">
        <w:rPr>
          <w:rFonts w:ascii="Times New Roman" w:hAnsi="Times New Roman" w:cs="Times New Roman"/>
          <w:lang w:val="es-ES"/>
        </w:rPr>
        <w:t>o ha habido, hasta la fecha, un incumplimiento denunciado por la Comisión o resuelto por el Tribunal que solo haya tenido apoyo en un principio abstracto como el de cooperación leal del 4.3 TUE (Gormley, 2017: 76)</w:t>
      </w:r>
      <w:r w:rsidR="00CB0A0F" w:rsidRPr="00433988">
        <w:rPr>
          <w:rFonts w:ascii="Times New Roman" w:hAnsi="Times New Roman" w:cs="Times New Roman"/>
          <w:lang w:val="es-ES"/>
        </w:rPr>
        <w:t>.</w:t>
      </w:r>
      <w:r w:rsidR="00EA6435" w:rsidRPr="00433988">
        <w:rPr>
          <w:rFonts w:ascii="Times New Roman" w:hAnsi="Times New Roman" w:cs="Times New Roman"/>
          <w:lang w:val="es-ES"/>
        </w:rPr>
        <w:t xml:space="preserve"> La sentencia de 19 de febrero de 1991, Comisión/Bélgica, C-374/89, EU:C:1991:60, párrafos 12-17, basa el fallo en el principio de cooperación leal, pero el principio va precedido por una obligación de comunicación establecida en una directiva (</w:t>
      </w:r>
      <w:proofErr w:type="spellStart"/>
      <w:r w:rsidR="00EA6435" w:rsidRPr="00433988">
        <w:rPr>
          <w:rFonts w:ascii="Times New Roman" w:hAnsi="Times New Roman" w:cs="Times New Roman"/>
          <w:lang w:val="es-ES"/>
        </w:rPr>
        <w:t>Prete</w:t>
      </w:r>
      <w:proofErr w:type="spellEnd"/>
      <w:r w:rsidR="00EA6435" w:rsidRPr="00433988">
        <w:rPr>
          <w:rFonts w:ascii="Times New Roman" w:hAnsi="Times New Roman" w:cs="Times New Roman"/>
          <w:lang w:val="es-ES"/>
        </w:rPr>
        <w:t>, 2017: 77).</w:t>
      </w:r>
    </w:p>
  </w:footnote>
  <w:footnote w:id="38">
    <w:p w:rsidR="003250B2" w:rsidRPr="00433988" w:rsidRDefault="003250B2" w:rsidP="00574B92">
      <w:pPr>
        <w:pStyle w:val="Textonotapie"/>
        <w:jc w:val="both"/>
        <w:rPr>
          <w:rFonts w:ascii="Times New Roman" w:hAnsi="Times New Roman" w:cs="Times New Roman"/>
          <w:lang w:val="es-ES"/>
        </w:rPr>
      </w:pPr>
      <w:r w:rsidRPr="00433988">
        <w:rPr>
          <w:rStyle w:val="Refdenotaalpie"/>
          <w:rFonts w:ascii="Times New Roman" w:hAnsi="Times New Roman" w:cs="Times New Roman"/>
        </w:rPr>
        <w:footnoteRef/>
      </w:r>
      <w:r w:rsidRPr="00433988">
        <w:rPr>
          <w:rFonts w:ascii="Times New Roman" w:hAnsi="Times New Roman" w:cs="Times New Roman"/>
          <w:lang w:val="es-ES"/>
        </w:rPr>
        <w:t xml:space="preserve"> Se ha excepcionado la aplicación de la </w:t>
      </w:r>
      <w:r w:rsidR="00EA6435" w:rsidRPr="00433988">
        <w:rPr>
          <w:rFonts w:ascii="Times New Roman" w:hAnsi="Times New Roman" w:cs="Times New Roman"/>
          <w:lang w:val="es-ES"/>
        </w:rPr>
        <w:t>C</w:t>
      </w:r>
      <w:r w:rsidRPr="00433988">
        <w:rPr>
          <w:rFonts w:ascii="Times New Roman" w:hAnsi="Times New Roman" w:cs="Times New Roman"/>
          <w:lang w:val="es-ES"/>
        </w:rPr>
        <w:t xml:space="preserve">arta en casos como los siguientes: </w:t>
      </w:r>
      <w:r w:rsidRPr="00433988">
        <w:rPr>
          <w:rFonts w:ascii="Times New Roman" w:hAnsi="Times New Roman" w:cs="Times New Roman"/>
          <w:lang w:val="es-ES_tradnl"/>
        </w:rPr>
        <w:t xml:space="preserve">Sentencias de 15 de noviembre de 2011, </w:t>
      </w:r>
      <w:proofErr w:type="spellStart"/>
      <w:r w:rsidRPr="00433988">
        <w:rPr>
          <w:rFonts w:ascii="Times New Roman" w:hAnsi="Times New Roman" w:cs="Times New Roman"/>
          <w:lang w:val="es-ES_tradnl"/>
        </w:rPr>
        <w:t>Dereci</w:t>
      </w:r>
      <w:proofErr w:type="spellEnd"/>
      <w:r w:rsidRPr="00433988">
        <w:rPr>
          <w:rFonts w:ascii="Times New Roman" w:hAnsi="Times New Roman" w:cs="Times New Roman"/>
          <w:lang w:val="es-ES_tradnl"/>
        </w:rPr>
        <w:t xml:space="preserve">, C-256/11, </w:t>
      </w:r>
      <w:r w:rsidRPr="00433988">
        <w:rPr>
          <w:rStyle w:val="outputecliaff"/>
          <w:rFonts w:ascii="Times New Roman" w:hAnsi="Times New Roman" w:cs="Times New Roman"/>
          <w:lang w:val="es-ES_tradnl"/>
        </w:rPr>
        <w:t>EU:C:2011:734;</w:t>
      </w:r>
      <w:r w:rsidRPr="00433988">
        <w:rPr>
          <w:rFonts w:ascii="Times New Roman" w:hAnsi="Times New Roman" w:cs="Times New Roman"/>
          <w:lang w:val="es-ES_tradnl"/>
        </w:rPr>
        <w:t xml:space="preserve"> de 8 de noviembre de 2012, </w:t>
      </w:r>
      <w:proofErr w:type="spellStart"/>
      <w:r w:rsidRPr="00433988">
        <w:rPr>
          <w:rFonts w:ascii="Times New Roman" w:hAnsi="Times New Roman" w:cs="Times New Roman"/>
          <w:lang w:val="es-ES_tradnl"/>
        </w:rPr>
        <w:t>Iida</w:t>
      </w:r>
      <w:proofErr w:type="spellEnd"/>
      <w:r w:rsidRPr="00433988">
        <w:rPr>
          <w:rFonts w:ascii="Times New Roman" w:hAnsi="Times New Roman" w:cs="Times New Roman"/>
          <w:iCs/>
          <w:lang w:val="es-ES_tradnl"/>
        </w:rPr>
        <w:t>, C-</w:t>
      </w:r>
      <w:r w:rsidRPr="00433988">
        <w:rPr>
          <w:rFonts w:ascii="Times New Roman" w:hAnsi="Times New Roman" w:cs="Times New Roman"/>
          <w:lang w:val="es-ES_tradnl"/>
        </w:rPr>
        <w:t xml:space="preserve">40/11, </w:t>
      </w:r>
      <w:r w:rsidRPr="00433988">
        <w:rPr>
          <w:rStyle w:val="outputecliaff"/>
          <w:rFonts w:ascii="Times New Roman" w:hAnsi="Times New Roman" w:cs="Times New Roman"/>
          <w:lang w:val="es-ES_tradnl"/>
        </w:rPr>
        <w:t xml:space="preserve">EU:C:2012:691; </w:t>
      </w:r>
      <w:r w:rsidRPr="00433988">
        <w:rPr>
          <w:rFonts w:ascii="Times New Roman" w:hAnsi="Times New Roman" w:cs="Times New Roman"/>
          <w:lang w:val="es-ES_tradnl"/>
        </w:rPr>
        <w:t xml:space="preserve">y de 6 de marzo de 2014, </w:t>
      </w:r>
      <w:proofErr w:type="spellStart"/>
      <w:r w:rsidRPr="00433988">
        <w:rPr>
          <w:rFonts w:ascii="Times New Roman" w:hAnsi="Times New Roman" w:cs="Times New Roman"/>
          <w:lang w:val="es-ES_tradnl"/>
        </w:rPr>
        <w:t>Siragusa</w:t>
      </w:r>
      <w:proofErr w:type="spellEnd"/>
      <w:r w:rsidRPr="00433988">
        <w:rPr>
          <w:rFonts w:ascii="Times New Roman" w:hAnsi="Times New Roman" w:cs="Times New Roman"/>
          <w:lang w:val="es-ES_tradnl"/>
        </w:rPr>
        <w:t>, C-206/13,</w:t>
      </w:r>
      <w:r w:rsidRPr="00433988">
        <w:rPr>
          <w:rStyle w:val="outputecliaff"/>
          <w:rFonts w:ascii="Times New Roman" w:hAnsi="Times New Roman" w:cs="Times New Roman"/>
          <w:lang w:val="es-ES"/>
        </w:rPr>
        <w:t xml:space="preserve"> EU:C:2014:126; de 27 de marzo de 2014, </w:t>
      </w:r>
      <w:proofErr w:type="spellStart"/>
      <w:r w:rsidRPr="00433988">
        <w:rPr>
          <w:rStyle w:val="outputecliaff"/>
          <w:rFonts w:ascii="Times New Roman" w:hAnsi="Times New Roman" w:cs="Times New Roman"/>
          <w:lang w:val="es-ES"/>
        </w:rPr>
        <w:t>Torralbo</w:t>
      </w:r>
      <w:proofErr w:type="spellEnd"/>
      <w:r w:rsidRPr="00433988">
        <w:rPr>
          <w:rStyle w:val="outputecliaff"/>
          <w:rFonts w:ascii="Times New Roman" w:hAnsi="Times New Roman" w:cs="Times New Roman"/>
          <w:lang w:val="es-ES"/>
        </w:rPr>
        <w:t xml:space="preserve"> Marcos, C-265/13, EU:C:2014:187; de 10 de julio de 2014, Julián Hernández y otros, C-198/13, EU:C:2014:2055; de 1 de diciembre de 2016, </w:t>
      </w:r>
      <w:proofErr w:type="spellStart"/>
      <w:r w:rsidRPr="00433988">
        <w:rPr>
          <w:rStyle w:val="outputecliaff"/>
          <w:rFonts w:ascii="Times New Roman" w:hAnsi="Times New Roman" w:cs="Times New Roman"/>
          <w:lang w:val="es-ES"/>
        </w:rPr>
        <w:t>Daoudi</w:t>
      </w:r>
      <w:proofErr w:type="spellEnd"/>
      <w:r w:rsidRPr="00433988">
        <w:rPr>
          <w:rStyle w:val="outputecliaff"/>
          <w:rFonts w:ascii="Times New Roman" w:hAnsi="Times New Roman" w:cs="Times New Roman"/>
          <w:lang w:val="es-ES"/>
        </w:rPr>
        <w:t xml:space="preserve">, C-395/15, EU:C:2016:917.    </w:t>
      </w:r>
      <w:r w:rsidRPr="00433988">
        <w:rPr>
          <w:rStyle w:val="outputecliaff"/>
          <w:rFonts w:ascii="Times New Roman" w:hAnsi="Times New Roman" w:cs="Times New Roman"/>
          <w:lang w:val="es-ES_tradnl"/>
        </w:rPr>
        <w:t xml:space="preserve">   </w:t>
      </w:r>
      <w:r w:rsidRPr="00433988">
        <w:rPr>
          <w:rFonts w:ascii="Times New Roman" w:hAnsi="Times New Roman" w:cs="Times New Roman"/>
          <w:lang w:val="es-ES_tradnl"/>
        </w:rPr>
        <w:t xml:space="preserve">  </w:t>
      </w:r>
    </w:p>
  </w:footnote>
  <w:footnote w:id="39">
    <w:p w:rsidR="003250B2" w:rsidRPr="00433988" w:rsidRDefault="003250B2" w:rsidP="00574B92">
      <w:pPr>
        <w:pStyle w:val="Textonotapie"/>
        <w:jc w:val="both"/>
        <w:rPr>
          <w:rFonts w:ascii="Times New Roman" w:hAnsi="Times New Roman" w:cs="Times New Roman"/>
          <w:lang w:val="es-ES"/>
        </w:rPr>
      </w:pPr>
      <w:r w:rsidRPr="00433988">
        <w:rPr>
          <w:rStyle w:val="Refdenotaalpie"/>
          <w:rFonts w:ascii="Times New Roman" w:hAnsi="Times New Roman" w:cs="Times New Roman"/>
        </w:rPr>
        <w:footnoteRef/>
      </w:r>
      <w:r w:rsidRPr="00433988">
        <w:rPr>
          <w:rFonts w:ascii="Times New Roman" w:hAnsi="Times New Roman" w:cs="Times New Roman"/>
          <w:lang w:val="es-ES"/>
        </w:rPr>
        <w:t xml:space="preserve"> Sobre el hermanamiento entre el efecto directo y la invocación por particulares véase el trabajo de Winter (1972: 438). Sobre la relación entre primacía, efecto directo y eficacia indirecta o efectividad los de </w:t>
      </w:r>
      <w:proofErr w:type="spellStart"/>
      <w:r w:rsidRPr="00433988">
        <w:rPr>
          <w:rFonts w:ascii="Times New Roman" w:hAnsi="Times New Roman" w:cs="Times New Roman"/>
          <w:lang w:val="es-ES"/>
        </w:rPr>
        <w:t>Dougan</w:t>
      </w:r>
      <w:proofErr w:type="spellEnd"/>
      <w:r w:rsidRPr="00433988">
        <w:rPr>
          <w:rFonts w:ascii="Times New Roman" w:hAnsi="Times New Roman" w:cs="Times New Roman"/>
          <w:lang w:val="es-ES"/>
        </w:rPr>
        <w:t xml:space="preserve"> (2007) y </w:t>
      </w:r>
      <w:proofErr w:type="spellStart"/>
      <w:r w:rsidRPr="00433988">
        <w:rPr>
          <w:rFonts w:ascii="Times New Roman" w:hAnsi="Times New Roman" w:cs="Times New Roman"/>
          <w:lang w:val="es-ES"/>
        </w:rPr>
        <w:t>Claes</w:t>
      </w:r>
      <w:proofErr w:type="spellEnd"/>
      <w:r w:rsidRPr="00433988">
        <w:rPr>
          <w:rFonts w:ascii="Times New Roman" w:hAnsi="Times New Roman" w:cs="Times New Roman"/>
          <w:lang w:val="es-ES"/>
        </w:rPr>
        <w:t xml:space="preserve"> (2006: 100). </w:t>
      </w:r>
    </w:p>
  </w:footnote>
  <w:footnote w:id="40">
    <w:p w:rsidR="003250B2" w:rsidRPr="00433988" w:rsidRDefault="003250B2" w:rsidP="00574B92">
      <w:pPr>
        <w:pStyle w:val="Textonotapie"/>
        <w:jc w:val="both"/>
        <w:rPr>
          <w:rFonts w:ascii="Times New Roman" w:hAnsi="Times New Roman" w:cs="Times New Roman"/>
          <w:lang w:val="es-ES"/>
        </w:rPr>
      </w:pPr>
      <w:r w:rsidRPr="00433988">
        <w:rPr>
          <w:rStyle w:val="Refdenotaalpie"/>
          <w:rFonts w:ascii="Times New Roman" w:hAnsi="Times New Roman" w:cs="Times New Roman"/>
        </w:rPr>
        <w:footnoteRef/>
      </w:r>
      <w:r w:rsidRPr="00433988">
        <w:rPr>
          <w:rFonts w:ascii="Times New Roman" w:hAnsi="Times New Roman" w:cs="Times New Roman"/>
          <w:lang w:val="es-ES"/>
        </w:rPr>
        <w:t xml:space="preserve"> Sin perjuicio de que las desviaciones sistemáticas de los principios democráticos en un Estado miembro puedan llevar a activar, como en el caso de Polonia, el mecanismo político del artículo 7 del TUE.</w:t>
      </w:r>
    </w:p>
  </w:footnote>
  <w:footnote w:id="41">
    <w:p w:rsidR="003250B2" w:rsidRPr="00433988" w:rsidRDefault="003250B2" w:rsidP="00574B92">
      <w:pPr>
        <w:pStyle w:val="Textonotapie"/>
        <w:jc w:val="both"/>
        <w:rPr>
          <w:rFonts w:ascii="Times New Roman" w:hAnsi="Times New Roman" w:cs="Times New Roman"/>
          <w:lang w:val="es-ES"/>
        </w:rPr>
      </w:pPr>
      <w:r w:rsidRPr="00433988">
        <w:rPr>
          <w:rStyle w:val="Refdenotaalpie"/>
          <w:rFonts w:ascii="Times New Roman" w:hAnsi="Times New Roman" w:cs="Times New Roman"/>
        </w:rPr>
        <w:footnoteRef/>
      </w:r>
      <w:r w:rsidRPr="00433988">
        <w:rPr>
          <w:rFonts w:ascii="Times New Roman" w:hAnsi="Times New Roman" w:cs="Times New Roman"/>
          <w:lang w:val="es-ES"/>
        </w:rPr>
        <w:t xml:space="preserve"> Sobre el principio general de eficacia como base para la afirmación jurisprudencial del efecto directo, véase el trabajo de </w:t>
      </w:r>
      <w:proofErr w:type="spellStart"/>
      <w:r w:rsidRPr="00433988">
        <w:rPr>
          <w:rFonts w:ascii="Times New Roman" w:hAnsi="Times New Roman" w:cs="Times New Roman"/>
          <w:lang w:val="es-ES"/>
        </w:rPr>
        <w:t>Pescatore</w:t>
      </w:r>
      <w:proofErr w:type="spellEnd"/>
      <w:r w:rsidRPr="00433988">
        <w:rPr>
          <w:rFonts w:ascii="Times New Roman" w:hAnsi="Times New Roman" w:cs="Times New Roman"/>
          <w:lang w:val="es-ES"/>
        </w:rPr>
        <w:t xml:space="preserve"> (2015).  </w:t>
      </w:r>
    </w:p>
  </w:footnote>
  <w:footnote w:id="42">
    <w:p w:rsidR="003250B2" w:rsidRPr="00433988" w:rsidRDefault="003250B2" w:rsidP="00574B92">
      <w:pPr>
        <w:pStyle w:val="Textonotapie"/>
        <w:jc w:val="both"/>
        <w:rPr>
          <w:rFonts w:ascii="Times New Roman" w:hAnsi="Times New Roman" w:cs="Times New Roman"/>
          <w:lang w:val="es-ES"/>
        </w:rPr>
      </w:pPr>
      <w:r w:rsidRPr="00433988">
        <w:rPr>
          <w:rStyle w:val="Refdenotaalpie"/>
          <w:rFonts w:ascii="Times New Roman" w:hAnsi="Times New Roman" w:cs="Times New Roman"/>
        </w:rPr>
        <w:footnoteRef/>
      </w:r>
      <w:r w:rsidRPr="00433988">
        <w:rPr>
          <w:rFonts w:ascii="Times New Roman" w:hAnsi="Times New Roman" w:cs="Times New Roman"/>
          <w:lang w:val="es-ES"/>
        </w:rPr>
        <w:t xml:space="preserve"> Un juez ha de solventar un asunto en el que la interpretación o la validez del derecho de la Unión son clave. Un particular reclama al juez la protección de su derecho o interés.  </w:t>
      </w:r>
    </w:p>
  </w:footnote>
  <w:footnote w:id="43">
    <w:p w:rsidR="003250B2" w:rsidRPr="00433988" w:rsidRDefault="003250B2" w:rsidP="00574B92">
      <w:pPr>
        <w:pStyle w:val="Textonotapie"/>
        <w:jc w:val="both"/>
        <w:rPr>
          <w:rFonts w:ascii="Times New Roman" w:hAnsi="Times New Roman" w:cs="Times New Roman"/>
          <w:lang w:val="es-ES"/>
        </w:rPr>
      </w:pPr>
      <w:r w:rsidRPr="00433988">
        <w:rPr>
          <w:rStyle w:val="Refdenotaalpie"/>
          <w:rFonts w:ascii="Times New Roman" w:hAnsi="Times New Roman" w:cs="Times New Roman"/>
        </w:rPr>
        <w:footnoteRef/>
      </w:r>
      <w:r w:rsidRPr="00433988">
        <w:rPr>
          <w:rFonts w:ascii="Times New Roman" w:hAnsi="Times New Roman" w:cs="Times New Roman"/>
          <w:lang w:val="es-ES"/>
        </w:rPr>
        <w:t xml:space="preserve"> Véase la reflexión sobre la nula capacidad de acción que tienen los titulares de los derechos en este ámbito y las sugerencias que presenta (De </w:t>
      </w:r>
      <w:proofErr w:type="spellStart"/>
      <w:r w:rsidRPr="00433988">
        <w:rPr>
          <w:rFonts w:ascii="Times New Roman" w:hAnsi="Times New Roman" w:cs="Times New Roman"/>
          <w:lang w:val="es-ES"/>
        </w:rPr>
        <w:t>Schuter</w:t>
      </w:r>
      <w:proofErr w:type="spellEnd"/>
      <w:r w:rsidR="002C5B76" w:rsidRPr="00433988">
        <w:rPr>
          <w:rFonts w:ascii="Times New Roman" w:hAnsi="Times New Roman" w:cs="Times New Roman"/>
          <w:lang w:val="es-ES"/>
        </w:rPr>
        <w:t>, 2017</w:t>
      </w:r>
      <w:r w:rsidRPr="00433988">
        <w:rPr>
          <w:rFonts w:ascii="Times New Roman" w:hAnsi="Times New Roman" w:cs="Times New Roman"/>
          <w:lang w:val="es-ES"/>
        </w:rPr>
        <w:t>:</w:t>
      </w:r>
      <w:r w:rsidR="002C5B76" w:rsidRPr="00433988">
        <w:rPr>
          <w:rFonts w:ascii="Times New Roman" w:hAnsi="Times New Roman" w:cs="Times New Roman"/>
          <w:lang w:val="es-ES"/>
        </w:rPr>
        <w:t xml:space="preserve"> </w:t>
      </w:r>
      <w:r w:rsidRPr="00433988">
        <w:rPr>
          <w:rFonts w:ascii="Times New Roman" w:hAnsi="Times New Roman" w:cs="Times New Roman"/>
          <w:lang w:val="es-ES"/>
        </w:rPr>
        <w:t>46)</w:t>
      </w:r>
      <w:r w:rsidR="002C5B76" w:rsidRPr="00433988">
        <w:rPr>
          <w:rFonts w:ascii="Times New Roman" w:hAnsi="Times New Roman" w:cs="Times New Roman"/>
          <w:lang w:val="es-ES"/>
        </w:rPr>
        <w:t>.</w:t>
      </w:r>
    </w:p>
  </w:footnote>
  <w:footnote w:id="44">
    <w:p w:rsidR="003250B2" w:rsidRPr="00433988" w:rsidRDefault="003250B2" w:rsidP="00574B92">
      <w:pPr>
        <w:pStyle w:val="Textonotapie"/>
        <w:jc w:val="both"/>
        <w:rPr>
          <w:rFonts w:ascii="Times New Roman" w:hAnsi="Times New Roman" w:cs="Times New Roman"/>
          <w:lang w:val="es-ES"/>
        </w:rPr>
      </w:pPr>
      <w:r w:rsidRPr="00433988">
        <w:rPr>
          <w:rStyle w:val="Refdenotaalpie"/>
          <w:rFonts w:ascii="Times New Roman" w:hAnsi="Times New Roman" w:cs="Times New Roman"/>
        </w:rPr>
        <w:footnoteRef/>
      </w:r>
      <w:r w:rsidRPr="00433988">
        <w:rPr>
          <w:rFonts w:ascii="Times New Roman" w:hAnsi="Times New Roman" w:cs="Times New Roman"/>
          <w:lang w:val="es-ES"/>
        </w:rPr>
        <w:t xml:space="preserve"> Sobre la función de </w:t>
      </w:r>
      <w:r w:rsidRPr="00433988">
        <w:rPr>
          <w:rFonts w:ascii="Times New Roman" w:hAnsi="Times New Roman" w:cs="Times New Roman"/>
          <w:i/>
          <w:lang w:val="es-ES"/>
        </w:rPr>
        <w:t>europeización</w:t>
      </w:r>
      <w:r w:rsidRPr="00433988">
        <w:rPr>
          <w:rFonts w:ascii="Times New Roman" w:hAnsi="Times New Roman" w:cs="Times New Roman"/>
          <w:lang w:val="es-ES"/>
        </w:rPr>
        <w:t xml:space="preserve"> del </w:t>
      </w:r>
      <w:proofErr w:type="spellStart"/>
      <w:r w:rsidRPr="00433988">
        <w:rPr>
          <w:rFonts w:ascii="Times New Roman" w:hAnsi="Times New Roman" w:cs="Times New Roman"/>
          <w:i/>
          <w:lang w:val="es-ES"/>
        </w:rPr>
        <w:t>soft</w:t>
      </w:r>
      <w:proofErr w:type="spellEnd"/>
      <w:r w:rsidRPr="00433988">
        <w:rPr>
          <w:rFonts w:ascii="Times New Roman" w:hAnsi="Times New Roman" w:cs="Times New Roman"/>
          <w:lang w:val="es-ES"/>
        </w:rPr>
        <w:t xml:space="preserve"> </w:t>
      </w:r>
      <w:proofErr w:type="spellStart"/>
      <w:r w:rsidRPr="00433988">
        <w:rPr>
          <w:rFonts w:ascii="Times New Roman" w:hAnsi="Times New Roman" w:cs="Times New Roman"/>
          <w:i/>
          <w:lang w:val="es-ES"/>
        </w:rPr>
        <w:t>law</w:t>
      </w:r>
      <w:proofErr w:type="spellEnd"/>
      <w:r w:rsidRPr="00433988">
        <w:rPr>
          <w:rFonts w:ascii="Times New Roman" w:hAnsi="Times New Roman" w:cs="Times New Roman"/>
          <w:lang w:val="es-ES"/>
        </w:rPr>
        <w:t xml:space="preserve"> y sus límites: (</w:t>
      </w:r>
      <w:proofErr w:type="spellStart"/>
      <w:r w:rsidRPr="00433988">
        <w:rPr>
          <w:rFonts w:ascii="Times New Roman" w:hAnsi="Times New Roman" w:cs="Times New Roman"/>
          <w:lang w:val="es-ES"/>
        </w:rPr>
        <w:t>Peters</w:t>
      </w:r>
      <w:proofErr w:type="spellEnd"/>
      <w:r w:rsidRPr="00433988">
        <w:rPr>
          <w:rFonts w:ascii="Times New Roman" w:hAnsi="Times New Roman" w:cs="Times New Roman"/>
          <w:lang w:val="es-ES"/>
        </w:rPr>
        <w:t>, 2011: 34).</w:t>
      </w:r>
    </w:p>
  </w:footnote>
  <w:footnote w:id="45">
    <w:p w:rsidR="003250B2" w:rsidRPr="00433988" w:rsidRDefault="003250B2" w:rsidP="00CC265F">
      <w:pPr>
        <w:pStyle w:val="Textonotapie"/>
        <w:jc w:val="both"/>
        <w:rPr>
          <w:rFonts w:ascii="Times New Roman" w:hAnsi="Times New Roman" w:cs="Times New Roman"/>
          <w:lang w:val="es-ES"/>
        </w:rPr>
      </w:pPr>
      <w:r w:rsidRPr="00433988">
        <w:rPr>
          <w:rStyle w:val="Refdenotaalpie"/>
          <w:rFonts w:ascii="Times New Roman" w:hAnsi="Times New Roman" w:cs="Times New Roman"/>
        </w:rPr>
        <w:footnoteRef/>
      </w:r>
      <w:r w:rsidRPr="00433988">
        <w:rPr>
          <w:rFonts w:ascii="Times New Roman" w:hAnsi="Times New Roman" w:cs="Times New Roman"/>
          <w:lang w:val="es-ES"/>
        </w:rPr>
        <w:t xml:space="preserve"> Informe del Parlamento Europeo, Comité de Libertades Civiles, Justicia e Interior, 2017/2131(INL), “Sobre una propuesta instando al Consejo para determinar, de acuerdo con el artículo 7(1) del TUE, la existencia de un riesgo claro de una seria ruptura de los valores en</w:t>
      </w:r>
      <w:r w:rsidR="00061499" w:rsidRPr="00433988">
        <w:rPr>
          <w:rFonts w:ascii="Times New Roman" w:hAnsi="Times New Roman" w:cs="Times New Roman"/>
          <w:lang w:val="es-ES"/>
        </w:rPr>
        <w:t xml:space="preserve"> los que se funda la Unión”. 11-</w:t>
      </w:r>
      <w:r w:rsidRPr="00433988">
        <w:rPr>
          <w:rFonts w:ascii="Times New Roman" w:hAnsi="Times New Roman" w:cs="Times New Roman"/>
          <w:lang w:val="es-ES"/>
        </w:rPr>
        <w:t>04</w:t>
      </w:r>
      <w:r w:rsidR="00061499" w:rsidRPr="00433988">
        <w:rPr>
          <w:rFonts w:ascii="Times New Roman" w:hAnsi="Times New Roman" w:cs="Times New Roman"/>
          <w:lang w:val="es-ES"/>
        </w:rPr>
        <w:t>-</w:t>
      </w:r>
      <w:r w:rsidRPr="00433988">
        <w:rPr>
          <w:rFonts w:ascii="Times New Roman" w:hAnsi="Times New Roman" w:cs="Times New Roman"/>
          <w:lang w:val="es-ES"/>
        </w:rPr>
        <w:t xml:space="preserve">2018. El texto final aprobado en el Parlamento europeo no había sido publicado aún en la fecha de la última redacción de este artículo. La nota de prensa oficial está disponible en </w:t>
      </w:r>
      <w:hyperlink r:id="rId2" w:history="1">
        <w:r w:rsidRPr="00433988">
          <w:rPr>
            <w:rStyle w:val="Hipervnculo"/>
            <w:rFonts w:ascii="Times New Roman" w:hAnsi="Times New Roman" w:cs="Times New Roman"/>
            <w:lang w:val="es-ES"/>
          </w:rPr>
          <w:t>http://www.europarl.europa.eu/news/es/press-room/20180906IPR12104/estado-de-derecho-en-hungria-el-parlamento-pide-a-la-ue-que-actue</w:t>
        </w:r>
      </w:hyperlink>
      <w:r w:rsidRPr="00433988">
        <w:rPr>
          <w:rFonts w:ascii="Times New Roman" w:hAnsi="Times New Roman" w:cs="Times New Roman"/>
          <w:lang w:val="es-ES"/>
        </w:rPr>
        <w:t>.</w:t>
      </w:r>
    </w:p>
  </w:footnote>
  <w:footnote w:id="46">
    <w:p w:rsidR="003250B2" w:rsidRPr="00433988" w:rsidRDefault="003250B2" w:rsidP="00574B92">
      <w:pPr>
        <w:pStyle w:val="Textonotapie"/>
        <w:jc w:val="both"/>
        <w:rPr>
          <w:rFonts w:ascii="Times New Roman" w:hAnsi="Times New Roman" w:cs="Times New Roman"/>
          <w:lang w:val="es-ES"/>
        </w:rPr>
      </w:pPr>
      <w:r w:rsidRPr="00433988">
        <w:rPr>
          <w:rStyle w:val="Refdenotaalpie"/>
          <w:rFonts w:ascii="Times New Roman" w:hAnsi="Times New Roman" w:cs="Times New Roman"/>
        </w:rPr>
        <w:footnoteRef/>
      </w:r>
      <w:r w:rsidRPr="00433988">
        <w:rPr>
          <w:rFonts w:ascii="Times New Roman" w:hAnsi="Times New Roman" w:cs="Times New Roman"/>
          <w:lang w:val="es-ES"/>
        </w:rPr>
        <w:t xml:space="preserve"> Procedimiento de incumplimiento número 20172110, asunto pendiente Comisión/Hungría, C-78/18; y procedimiento de incumplimiento número 20172076, asunto pendiente Comisión/Hungría C-66/18. </w:t>
      </w:r>
    </w:p>
  </w:footnote>
  <w:footnote w:id="47">
    <w:p w:rsidR="003250B2" w:rsidRPr="00433988" w:rsidRDefault="003250B2" w:rsidP="007451FE">
      <w:pPr>
        <w:pStyle w:val="Textonotapie"/>
        <w:jc w:val="both"/>
        <w:rPr>
          <w:rFonts w:ascii="Times New Roman" w:hAnsi="Times New Roman" w:cs="Times New Roman"/>
          <w:lang w:val="es-ES"/>
        </w:rPr>
      </w:pPr>
      <w:r w:rsidRPr="00433988">
        <w:rPr>
          <w:rStyle w:val="Refdenotaalpie"/>
          <w:rFonts w:ascii="Times New Roman" w:hAnsi="Times New Roman" w:cs="Times New Roman"/>
        </w:rPr>
        <w:footnoteRef/>
      </w:r>
      <w:r w:rsidRPr="00433988">
        <w:rPr>
          <w:rFonts w:ascii="Times New Roman" w:hAnsi="Times New Roman" w:cs="Times New Roman"/>
          <w:lang w:val="es-ES"/>
        </w:rPr>
        <w:t xml:space="preserve"> Recomendaciones (UE) 2016/1347, 2017/146 y 2017/5320 de la Comisión po</w:t>
      </w:r>
      <w:r w:rsidR="002C5B76" w:rsidRPr="00433988">
        <w:rPr>
          <w:rFonts w:ascii="Times New Roman" w:hAnsi="Times New Roman" w:cs="Times New Roman"/>
          <w:lang w:val="es-ES"/>
        </w:rPr>
        <w:t>r lo que respecta al Estado de d</w:t>
      </w:r>
      <w:r w:rsidRPr="00433988">
        <w:rPr>
          <w:rFonts w:ascii="Times New Roman" w:hAnsi="Times New Roman" w:cs="Times New Roman"/>
          <w:lang w:val="es-ES"/>
        </w:rPr>
        <w:t xml:space="preserve">erecho en Polonia.  </w:t>
      </w:r>
    </w:p>
  </w:footnote>
  <w:footnote w:id="48">
    <w:p w:rsidR="003250B2" w:rsidRPr="00433988" w:rsidRDefault="003250B2" w:rsidP="000B1B7D">
      <w:pPr>
        <w:pStyle w:val="Textonotapie"/>
        <w:jc w:val="both"/>
        <w:rPr>
          <w:rFonts w:ascii="Times New Roman" w:hAnsi="Times New Roman" w:cs="Times New Roman"/>
          <w:lang w:val="es-ES"/>
        </w:rPr>
      </w:pPr>
      <w:r w:rsidRPr="00433988">
        <w:rPr>
          <w:rStyle w:val="Refdenotaalpie"/>
          <w:rFonts w:ascii="Times New Roman" w:hAnsi="Times New Roman" w:cs="Times New Roman"/>
        </w:rPr>
        <w:footnoteRef/>
      </w:r>
      <w:r w:rsidRPr="00433988">
        <w:rPr>
          <w:rFonts w:ascii="Times New Roman" w:hAnsi="Times New Roman" w:cs="Times New Roman"/>
          <w:lang w:val="es-ES"/>
        </w:rPr>
        <w:t xml:space="preserve"> </w:t>
      </w:r>
      <w:proofErr w:type="spellStart"/>
      <w:r w:rsidRPr="00433988">
        <w:rPr>
          <w:rFonts w:ascii="Times New Roman" w:hAnsi="Times New Roman" w:cs="Times New Roman"/>
          <w:lang w:val="es-ES"/>
        </w:rPr>
        <w:t>Taborowski</w:t>
      </w:r>
      <w:proofErr w:type="spellEnd"/>
      <w:r w:rsidRPr="00433988">
        <w:rPr>
          <w:rFonts w:ascii="Times New Roman" w:hAnsi="Times New Roman" w:cs="Times New Roman"/>
          <w:lang w:val="es-ES"/>
        </w:rPr>
        <w:t xml:space="preserve"> (2018) consideró en un primer momento que el </w:t>
      </w:r>
      <w:r w:rsidR="00CB7AA6" w:rsidRPr="00433988">
        <w:rPr>
          <w:rFonts w:ascii="Times New Roman" w:hAnsi="Times New Roman" w:cs="Times New Roman"/>
          <w:lang w:val="es-ES"/>
        </w:rPr>
        <w:t>procedimiento</w:t>
      </w:r>
      <w:r w:rsidRPr="00433988">
        <w:rPr>
          <w:rFonts w:ascii="Times New Roman" w:hAnsi="Times New Roman" w:cs="Times New Roman"/>
          <w:lang w:val="es-ES"/>
        </w:rPr>
        <w:t xml:space="preserve"> por incumplimiento era un paso atrás de la Comisión respecto al lanzamiento del artículo 7 TUE. No obstante el desarrollo hasta ahora de los procedimientos parece desmentir esa impresión, que abriría una vía paralela a la del artículo 7. </w:t>
      </w:r>
    </w:p>
  </w:footnote>
  <w:footnote w:id="49">
    <w:p w:rsidR="003250B2" w:rsidRPr="00433988" w:rsidRDefault="003250B2" w:rsidP="00574B92">
      <w:pPr>
        <w:pStyle w:val="Textonotapie"/>
        <w:jc w:val="both"/>
        <w:rPr>
          <w:rFonts w:ascii="Times New Roman" w:hAnsi="Times New Roman" w:cs="Times New Roman"/>
          <w:lang w:val="es-ES"/>
        </w:rPr>
      </w:pPr>
      <w:r w:rsidRPr="00433988">
        <w:rPr>
          <w:rStyle w:val="Refdenotaalpie"/>
          <w:rFonts w:ascii="Times New Roman" w:hAnsi="Times New Roman" w:cs="Times New Roman"/>
        </w:rPr>
        <w:footnoteRef/>
      </w:r>
      <w:r w:rsidRPr="00433988">
        <w:rPr>
          <w:rFonts w:ascii="Times New Roman" w:hAnsi="Times New Roman" w:cs="Times New Roman"/>
          <w:lang w:val="es-ES"/>
        </w:rPr>
        <w:t xml:space="preserve"> Procedimientos por incumplimiento números 20172119 y 20172121. El primero es ya el asunto pendiente Comisión/Polonia, C-192/18. </w:t>
      </w:r>
    </w:p>
  </w:footnote>
  <w:footnote w:id="50">
    <w:p w:rsidR="003250B2" w:rsidRPr="00433988" w:rsidRDefault="003250B2" w:rsidP="00F85E52">
      <w:pPr>
        <w:pStyle w:val="Textonotapie"/>
        <w:jc w:val="both"/>
        <w:rPr>
          <w:rFonts w:ascii="Times New Roman" w:hAnsi="Times New Roman" w:cs="Times New Roman"/>
          <w:lang w:val="es-ES"/>
        </w:rPr>
      </w:pPr>
      <w:r w:rsidRPr="00433988">
        <w:rPr>
          <w:rStyle w:val="Refdenotaalpie"/>
          <w:rFonts w:ascii="Times New Roman" w:hAnsi="Times New Roman" w:cs="Times New Roman"/>
        </w:rPr>
        <w:footnoteRef/>
      </w:r>
      <w:r w:rsidRPr="00433988">
        <w:rPr>
          <w:rFonts w:ascii="Times New Roman" w:hAnsi="Times New Roman" w:cs="Times New Roman"/>
          <w:lang w:val="es-ES"/>
        </w:rPr>
        <w:t xml:space="preserve"> El TJUE ha adoptado medidas cautelares contundentes contra Polonia en procesos anteriores</w:t>
      </w:r>
      <w:r w:rsidR="00177584" w:rsidRPr="00433988">
        <w:rPr>
          <w:rFonts w:ascii="Times New Roman" w:hAnsi="Times New Roman" w:cs="Times New Roman"/>
          <w:lang w:val="es-ES"/>
        </w:rPr>
        <w:t xml:space="preserve">: </w:t>
      </w:r>
      <w:r w:rsidRPr="00433988">
        <w:rPr>
          <w:rFonts w:ascii="Times New Roman" w:hAnsi="Times New Roman" w:cs="Times New Roman"/>
          <w:lang w:val="es-ES"/>
        </w:rPr>
        <w:t>en el auto de 20 de noviembre de 2017, Comisión/Polonia, C-441/17 R, EU</w:t>
      </w:r>
      <w:proofErr w:type="gramStart"/>
      <w:r w:rsidRPr="00433988">
        <w:rPr>
          <w:rFonts w:ascii="Times New Roman" w:hAnsi="Times New Roman" w:cs="Times New Roman"/>
          <w:lang w:val="es-ES"/>
        </w:rPr>
        <w:t>:C:2017:877</w:t>
      </w:r>
      <w:proofErr w:type="gramEnd"/>
      <w:r w:rsidRPr="00433988">
        <w:rPr>
          <w:rFonts w:ascii="Times New Roman" w:hAnsi="Times New Roman" w:cs="Times New Roman"/>
          <w:lang w:val="es-ES"/>
        </w:rPr>
        <w:t xml:space="preserve">, ordenó </w:t>
      </w:r>
      <w:r w:rsidR="00177584" w:rsidRPr="00433988">
        <w:rPr>
          <w:rFonts w:ascii="Times New Roman" w:hAnsi="Times New Roman" w:cs="Times New Roman"/>
          <w:lang w:val="es-ES"/>
        </w:rPr>
        <w:t>parar la</w:t>
      </w:r>
      <w:r w:rsidRPr="00433988">
        <w:rPr>
          <w:rFonts w:ascii="Times New Roman" w:hAnsi="Times New Roman" w:cs="Times New Roman"/>
          <w:lang w:val="es-ES"/>
        </w:rPr>
        <w:t xml:space="preserve"> gestión forestal de un bosque protegido</w:t>
      </w:r>
      <w:r w:rsidR="00177584" w:rsidRPr="00433988">
        <w:rPr>
          <w:rFonts w:ascii="Times New Roman" w:hAnsi="Times New Roman" w:cs="Times New Roman"/>
          <w:lang w:val="es-ES"/>
        </w:rPr>
        <w:t xml:space="preserve">, pendiente </w:t>
      </w:r>
      <w:r w:rsidRPr="00433988">
        <w:rPr>
          <w:rFonts w:ascii="Times New Roman" w:hAnsi="Times New Roman" w:cs="Times New Roman"/>
          <w:lang w:val="es-ES"/>
        </w:rPr>
        <w:t>el recurso de incumplimiento</w:t>
      </w:r>
      <w:r w:rsidR="00177584" w:rsidRPr="00433988">
        <w:rPr>
          <w:rFonts w:ascii="Times New Roman" w:hAnsi="Times New Roman" w:cs="Times New Roman"/>
          <w:lang w:val="es-ES"/>
        </w:rPr>
        <w:t>, e i</w:t>
      </w:r>
      <w:r w:rsidRPr="00433988">
        <w:rPr>
          <w:rFonts w:ascii="Times New Roman" w:hAnsi="Times New Roman" w:cs="Times New Roman"/>
          <w:lang w:val="es-ES"/>
        </w:rPr>
        <w:t>ncluyó la posibilidad de sancionar a Polonia pecuniariamente, algo no previsto como medida cautelar y reservado al ámbito del 260 TFUE (Sarmiento, 2017).</w:t>
      </w:r>
    </w:p>
  </w:footnote>
  <w:footnote w:id="51">
    <w:p w:rsidR="003250B2" w:rsidRPr="00433988" w:rsidRDefault="003250B2" w:rsidP="00574B92">
      <w:pPr>
        <w:pStyle w:val="Textonotapie"/>
        <w:jc w:val="both"/>
        <w:rPr>
          <w:rFonts w:ascii="Times New Roman" w:hAnsi="Times New Roman" w:cs="Times New Roman"/>
          <w:lang w:val="es-ES"/>
        </w:rPr>
      </w:pPr>
      <w:r w:rsidRPr="00433988">
        <w:rPr>
          <w:rStyle w:val="Refdenotaalpie"/>
          <w:rFonts w:ascii="Times New Roman" w:hAnsi="Times New Roman" w:cs="Times New Roman"/>
        </w:rPr>
        <w:footnoteRef/>
      </w:r>
      <w:r w:rsidRPr="00433988">
        <w:rPr>
          <w:rFonts w:ascii="Times New Roman" w:hAnsi="Times New Roman" w:cs="Times New Roman"/>
          <w:lang w:val="es-ES"/>
        </w:rPr>
        <w:t xml:space="preserve"> Sentencia de 6 de noviembre de 2012, Comisión/Hungría, C-286/12, EU:C:2012:687. </w:t>
      </w:r>
    </w:p>
  </w:footnote>
  <w:footnote w:id="52">
    <w:p w:rsidR="003250B2" w:rsidRPr="00433988" w:rsidRDefault="003250B2" w:rsidP="00EF3F83">
      <w:pPr>
        <w:pStyle w:val="Textonotapie"/>
        <w:rPr>
          <w:rFonts w:ascii="Times New Roman" w:hAnsi="Times New Roman" w:cs="Times New Roman"/>
          <w:lang w:val="es-ES"/>
        </w:rPr>
      </w:pPr>
      <w:r w:rsidRPr="00433988">
        <w:rPr>
          <w:rStyle w:val="Refdenotaalpie"/>
          <w:rFonts w:ascii="Times New Roman" w:hAnsi="Times New Roman" w:cs="Times New Roman"/>
        </w:rPr>
        <w:footnoteRef/>
      </w:r>
      <w:r w:rsidRPr="00433988">
        <w:rPr>
          <w:rFonts w:ascii="Times New Roman" w:hAnsi="Times New Roman" w:cs="Times New Roman"/>
          <w:lang w:val="es-ES"/>
        </w:rPr>
        <w:t xml:space="preserve"> Sentencia de 27 de febrero de 2018, </w:t>
      </w:r>
      <w:proofErr w:type="spellStart"/>
      <w:r w:rsidRPr="00433988">
        <w:rPr>
          <w:rFonts w:ascii="Times New Roman" w:hAnsi="Times New Roman" w:cs="Times New Roman"/>
          <w:lang w:val="es-ES"/>
        </w:rPr>
        <w:t>Associação</w:t>
      </w:r>
      <w:proofErr w:type="spellEnd"/>
      <w:r w:rsidRPr="00433988">
        <w:rPr>
          <w:rFonts w:ascii="Times New Roman" w:hAnsi="Times New Roman" w:cs="Times New Roman"/>
          <w:lang w:val="es-ES"/>
        </w:rPr>
        <w:t xml:space="preserve"> Sindical dos </w:t>
      </w:r>
      <w:proofErr w:type="spellStart"/>
      <w:r w:rsidRPr="00433988">
        <w:rPr>
          <w:rFonts w:ascii="Times New Roman" w:hAnsi="Times New Roman" w:cs="Times New Roman"/>
          <w:lang w:val="es-ES"/>
        </w:rPr>
        <w:t>Juízes</w:t>
      </w:r>
      <w:proofErr w:type="spellEnd"/>
      <w:r w:rsidRPr="00433988">
        <w:rPr>
          <w:rFonts w:ascii="Times New Roman" w:hAnsi="Times New Roman" w:cs="Times New Roman"/>
          <w:lang w:val="es-ES"/>
        </w:rPr>
        <w:t xml:space="preserve"> Portugueses, C-64/16, EU</w:t>
      </w:r>
      <w:proofErr w:type="gramStart"/>
      <w:r w:rsidRPr="00433988">
        <w:rPr>
          <w:rFonts w:ascii="Times New Roman" w:hAnsi="Times New Roman" w:cs="Times New Roman"/>
          <w:lang w:val="es-ES"/>
        </w:rPr>
        <w:t>:C:2018:117</w:t>
      </w:r>
      <w:proofErr w:type="gramEnd"/>
      <w:r w:rsidRPr="00433988">
        <w:rPr>
          <w:rFonts w:ascii="Times New Roman" w:hAnsi="Times New Roman" w:cs="Times New Roman"/>
          <w:lang w:val="es-ES"/>
        </w:rPr>
        <w:t>.</w:t>
      </w:r>
    </w:p>
  </w:footnote>
  <w:footnote w:id="53">
    <w:p w:rsidR="003250B2" w:rsidRPr="00433988" w:rsidRDefault="003250B2" w:rsidP="002E4F2E">
      <w:pPr>
        <w:pStyle w:val="Textonotapie"/>
        <w:jc w:val="both"/>
        <w:rPr>
          <w:rFonts w:ascii="Times New Roman" w:hAnsi="Times New Roman" w:cs="Times New Roman"/>
          <w:lang w:val="es-ES"/>
        </w:rPr>
      </w:pPr>
      <w:r w:rsidRPr="00433988">
        <w:rPr>
          <w:rStyle w:val="Refdenotaalpie"/>
          <w:rFonts w:ascii="Times New Roman" w:hAnsi="Times New Roman" w:cs="Times New Roman"/>
        </w:rPr>
        <w:footnoteRef/>
      </w:r>
      <w:r w:rsidRPr="00433988">
        <w:rPr>
          <w:rFonts w:ascii="Times New Roman" w:hAnsi="Times New Roman" w:cs="Times New Roman"/>
          <w:lang w:val="es-ES"/>
        </w:rPr>
        <w:t xml:space="preserve"> En la que el TJUE considera conforme a la decisión marco de la orden de detención europea rechazar la orden de detención si el juez de ejecución constata que en el Estado de remisión el sujeto se hallaría en riesgo de ver vulnerado su derecho a la tutela judicial efectiva. Sentencia de 5 de abril de 2016, </w:t>
      </w:r>
      <w:proofErr w:type="spellStart"/>
      <w:r w:rsidRPr="00433988">
        <w:rPr>
          <w:rFonts w:ascii="Times New Roman" w:hAnsi="Times New Roman" w:cs="Times New Roman"/>
          <w:lang w:val="es-ES"/>
        </w:rPr>
        <w:t>Aranyosi</w:t>
      </w:r>
      <w:proofErr w:type="spellEnd"/>
      <w:r w:rsidRPr="00433988">
        <w:rPr>
          <w:rFonts w:ascii="Times New Roman" w:hAnsi="Times New Roman" w:cs="Times New Roman"/>
          <w:lang w:val="es-ES"/>
        </w:rPr>
        <w:t xml:space="preserve"> y </w:t>
      </w:r>
      <w:proofErr w:type="spellStart"/>
      <w:r w:rsidRPr="00433988">
        <w:rPr>
          <w:rFonts w:ascii="Times New Roman" w:hAnsi="Times New Roman" w:cs="Times New Roman"/>
          <w:lang w:val="es-ES"/>
        </w:rPr>
        <w:t>Căldăraru</w:t>
      </w:r>
      <w:proofErr w:type="spellEnd"/>
      <w:r w:rsidRPr="00433988">
        <w:rPr>
          <w:rFonts w:ascii="Times New Roman" w:hAnsi="Times New Roman" w:cs="Times New Roman"/>
          <w:lang w:val="es-ES"/>
        </w:rPr>
        <w:t>, C-404/15 y 659/15, EU</w:t>
      </w:r>
      <w:proofErr w:type="gramStart"/>
      <w:r w:rsidRPr="00433988">
        <w:rPr>
          <w:rFonts w:ascii="Times New Roman" w:hAnsi="Times New Roman" w:cs="Times New Roman"/>
          <w:lang w:val="es-ES"/>
        </w:rPr>
        <w:t>:C:2016:198</w:t>
      </w:r>
      <w:proofErr w:type="gramEnd"/>
      <w:r w:rsidRPr="00433988">
        <w:rPr>
          <w:rFonts w:ascii="Times New Roman" w:hAnsi="Times New Roman" w:cs="Times New Roman"/>
          <w:lang w:val="es-ES"/>
        </w:rPr>
        <w:t>.</w:t>
      </w:r>
    </w:p>
  </w:footnote>
  <w:footnote w:id="54">
    <w:p w:rsidR="003250B2" w:rsidRPr="00433988" w:rsidRDefault="003250B2">
      <w:pPr>
        <w:pStyle w:val="Textonotapie"/>
        <w:rPr>
          <w:rFonts w:ascii="Times New Roman" w:hAnsi="Times New Roman" w:cs="Times New Roman"/>
          <w:lang w:val="es-ES"/>
        </w:rPr>
      </w:pPr>
      <w:r w:rsidRPr="00433988">
        <w:rPr>
          <w:rStyle w:val="Refdenotaalpie"/>
          <w:rFonts w:ascii="Times New Roman" w:hAnsi="Times New Roman" w:cs="Times New Roman"/>
        </w:rPr>
        <w:footnoteRef/>
      </w:r>
      <w:r w:rsidRPr="00433988">
        <w:rPr>
          <w:rFonts w:ascii="Times New Roman" w:hAnsi="Times New Roman" w:cs="Times New Roman"/>
          <w:lang w:val="es-ES"/>
        </w:rPr>
        <w:t xml:space="preserve"> Sentencia de 25 de julio de 2018, LM, C</w:t>
      </w:r>
      <w:r w:rsidRPr="00433988">
        <w:rPr>
          <w:rFonts w:ascii="MS Mincho" w:eastAsia="MS Mincho" w:hAnsi="MS Mincho" w:cs="MS Mincho" w:hint="eastAsia"/>
          <w:lang w:val="es-ES"/>
        </w:rPr>
        <w:t>‑</w:t>
      </w:r>
      <w:r w:rsidRPr="00433988">
        <w:rPr>
          <w:rFonts w:ascii="Times New Roman" w:hAnsi="Times New Roman" w:cs="Times New Roman"/>
          <w:lang w:val="es-ES"/>
        </w:rPr>
        <w:t>216/18 PPU, EU</w:t>
      </w:r>
      <w:proofErr w:type="gramStart"/>
      <w:r w:rsidRPr="00433988">
        <w:rPr>
          <w:rFonts w:ascii="Times New Roman" w:hAnsi="Times New Roman" w:cs="Times New Roman"/>
          <w:lang w:val="es-ES"/>
        </w:rPr>
        <w:t>:C:2018:586</w:t>
      </w:r>
      <w:proofErr w:type="gramEnd"/>
      <w:r w:rsidRPr="00433988">
        <w:rPr>
          <w:rFonts w:ascii="Times New Roman" w:hAnsi="Times New Roman" w:cs="Times New Roman"/>
          <w:lang w:val="es-ES"/>
        </w:rPr>
        <w:t>, 50-59, párrafos 50-59.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35D21"/>
    <w:multiLevelType w:val="hybridMultilevel"/>
    <w:tmpl w:val="0568A8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BC9450C"/>
    <w:multiLevelType w:val="hybridMultilevel"/>
    <w:tmpl w:val="0FD8126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3F7E00E9"/>
    <w:multiLevelType w:val="hybridMultilevel"/>
    <w:tmpl w:val="313AD372"/>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nsid w:val="4B606B9C"/>
    <w:multiLevelType w:val="hybridMultilevel"/>
    <w:tmpl w:val="D3C24B7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nsid w:val="72882120"/>
    <w:multiLevelType w:val="hybridMultilevel"/>
    <w:tmpl w:val="DBFE3150"/>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nsid w:val="7BBC1F66"/>
    <w:multiLevelType w:val="hybridMultilevel"/>
    <w:tmpl w:val="33F0CD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removePersonalInformation/>
  <w:removeDateAndTime/>
  <w:proofState w:spelling="clean" w:grammar="clean"/>
  <w:defaultTabStop w:val="720"/>
  <w:hyphenationZone w:val="425"/>
  <w:characterSpacingControl w:val="doNotCompress"/>
  <w:hdrShapeDefaults>
    <o:shapedefaults v:ext="edit" spidmax="2049"/>
  </w:hdrShapeDefaults>
  <w:footnotePr>
    <w:numFmt w:val="chicago"/>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6572"/>
    <w:rsid w:val="000009C5"/>
    <w:rsid w:val="00002B9A"/>
    <w:rsid w:val="00002DDC"/>
    <w:rsid w:val="00007D20"/>
    <w:rsid w:val="00010D20"/>
    <w:rsid w:val="00011E37"/>
    <w:rsid w:val="0001300F"/>
    <w:rsid w:val="00017EBE"/>
    <w:rsid w:val="000208B9"/>
    <w:rsid w:val="0002657F"/>
    <w:rsid w:val="000308D1"/>
    <w:rsid w:val="00031AA0"/>
    <w:rsid w:val="00041205"/>
    <w:rsid w:val="00041C9D"/>
    <w:rsid w:val="0004349E"/>
    <w:rsid w:val="0004426F"/>
    <w:rsid w:val="00047606"/>
    <w:rsid w:val="00047642"/>
    <w:rsid w:val="000478B3"/>
    <w:rsid w:val="0005159C"/>
    <w:rsid w:val="000515A8"/>
    <w:rsid w:val="00052C06"/>
    <w:rsid w:val="00054860"/>
    <w:rsid w:val="00055E24"/>
    <w:rsid w:val="00057121"/>
    <w:rsid w:val="00057881"/>
    <w:rsid w:val="00061499"/>
    <w:rsid w:val="00061A0A"/>
    <w:rsid w:val="00063164"/>
    <w:rsid w:val="00063476"/>
    <w:rsid w:val="00063BC0"/>
    <w:rsid w:val="00063F48"/>
    <w:rsid w:val="000641C8"/>
    <w:rsid w:val="00064EEA"/>
    <w:rsid w:val="00065B96"/>
    <w:rsid w:val="00073912"/>
    <w:rsid w:val="00074022"/>
    <w:rsid w:val="00074779"/>
    <w:rsid w:val="00074F2A"/>
    <w:rsid w:val="000752FE"/>
    <w:rsid w:val="0007683A"/>
    <w:rsid w:val="000771EE"/>
    <w:rsid w:val="000818EF"/>
    <w:rsid w:val="00084CC7"/>
    <w:rsid w:val="00086FB3"/>
    <w:rsid w:val="00091B01"/>
    <w:rsid w:val="00094D7F"/>
    <w:rsid w:val="0009659B"/>
    <w:rsid w:val="0009682C"/>
    <w:rsid w:val="00097100"/>
    <w:rsid w:val="00097F06"/>
    <w:rsid w:val="000A02C2"/>
    <w:rsid w:val="000A03C7"/>
    <w:rsid w:val="000A1803"/>
    <w:rsid w:val="000A3203"/>
    <w:rsid w:val="000A3AA6"/>
    <w:rsid w:val="000A588E"/>
    <w:rsid w:val="000B1B7D"/>
    <w:rsid w:val="000B24ED"/>
    <w:rsid w:val="000B3344"/>
    <w:rsid w:val="000B447A"/>
    <w:rsid w:val="000B778C"/>
    <w:rsid w:val="000B7F09"/>
    <w:rsid w:val="000C0332"/>
    <w:rsid w:val="000C0842"/>
    <w:rsid w:val="000C2E58"/>
    <w:rsid w:val="000C4A6F"/>
    <w:rsid w:val="000C5647"/>
    <w:rsid w:val="000C7D04"/>
    <w:rsid w:val="000D2061"/>
    <w:rsid w:val="000E060C"/>
    <w:rsid w:val="000E0992"/>
    <w:rsid w:val="000E2FC3"/>
    <w:rsid w:val="000E4066"/>
    <w:rsid w:val="000E429D"/>
    <w:rsid w:val="000E69E5"/>
    <w:rsid w:val="000E6A30"/>
    <w:rsid w:val="000E72DA"/>
    <w:rsid w:val="000F0D8F"/>
    <w:rsid w:val="000F2C6D"/>
    <w:rsid w:val="000F30DE"/>
    <w:rsid w:val="000F31BB"/>
    <w:rsid w:val="000F6FC6"/>
    <w:rsid w:val="000F7F90"/>
    <w:rsid w:val="00101FD2"/>
    <w:rsid w:val="00104C63"/>
    <w:rsid w:val="00104F47"/>
    <w:rsid w:val="0010577F"/>
    <w:rsid w:val="00105E60"/>
    <w:rsid w:val="00110B14"/>
    <w:rsid w:val="00113E4F"/>
    <w:rsid w:val="00114D98"/>
    <w:rsid w:val="00114D9B"/>
    <w:rsid w:val="00120F35"/>
    <w:rsid w:val="00122A17"/>
    <w:rsid w:val="00122F65"/>
    <w:rsid w:val="00124381"/>
    <w:rsid w:val="001243FF"/>
    <w:rsid w:val="001253BF"/>
    <w:rsid w:val="00127FA1"/>
    <w:rsid w:val="0013034E"/>
    <w:rsid w:val="001320C8"/>
    <w:rsid w:val="001330F8"/>
    <w:rsid w:val="00133D10"/>
    <w:rsid w:val="00135A00"/>
    <w:rsid w:val="0014403D"/>
    <w:rsid w:val="00144095"/>
    <w:rsid w:val="0014553E"/>
    <w:rsid w:val="0015105C"/>
    <w:rsid w:val="00153DB7"/>
    <w:rsid w:val="001542C9"/>
    <w:rsid w:val="00156171"/>
    <w:rsid w:val="00157C17"/>
    <w:rsid w:val="0016453A"/>
    <w:rsid w:val="0016454F"/>
    <w:rsid w:val="00165BEB"/>
    <w:rsid w:val="00166AA5"/>
    <w:rsid w:val="00172760"/>
    <w:rsid w:val="001759F9"/>
    <w:rsid w:val="00177584"/>
    <w:rsid w:val="0017780E"/>
    <w:rsid w:val="00177A5F"/>
    <w:rsid w:val="00181B6E"/>
    <w:rsid w:val="00181FF4"/>
    <w:rsid w:val="00182C9C"/>
    <w:rsid w:val="00185C5D"/>
    <w:rsid w:val="00186386"/>
    <w:rsid w:val="001871A9"/>
    <w:rsid w:val="00187A31"/>
    <w:rsid w:val="00190A73"/>
    <w:rsid w:val="001925AA"/>
    <w:rsid w:val="00192826"/>
    <w:rsid w:val="00194963"/>
    <w:rsid w:val="00195824"/>
    <w:rsid w:val="001A0309"/>
    <w:rsid w:val="001A1288"/>
    <w:rsid w:val="001A408D"/>
    <w:rsid w:val="001A4F50"/>
    <w:rsid w:val="001A6178"/>
    <w:rsid w:val="001B1810"/>
    <w:rsid w:val="001B2C7F"/>
    <w:rsid w:val="001B2C88"/>
    <w:rsid w:val="001B2DBE"/>
    <w:rsid w:val="001B4680"/>
    <w:rsid w:val="001B706C"/>
    <w:rsid w:val="001C0E9A"/>
    <w:rsid w:val="001C17D8"/>
    <w:rsid w:val="001C27B9"/>
    <w:rsid w:val="001C518A"/>
    <w:rsid w:val="001C6D3C"/>
    <w:rsid w:val="001D020A"/>
    <w:rsid w:val="001D052A"/>
    <w:rsid w:val="001D21AC"/>
    <w:rsid w:val="001D298E"/>
    <w:rsid w:val="001E0E50"/>
    <w:rsid w:val="001E0F25"/>
    <w:rsid w:val="001E35AB"/>
    <w:rsid w:val="001E3FD0"/>
    <w:rsid w:val="001E48D7"/>
    <w:rsid w:val="001E4C2B"/>
    <w:rsid w:val="001E4F6C"/>
    <w:rsid w:val="001F0971"/>
    <w:rsid w:val="001F118A"/>
    <w:rsid w:val="001F1EA1"/>
    <w:rsid w:val="001F40D3"/>
    <w:rsid w:val="001F425A"/>
    <w:rsid w:val="001F53FB"/>
    <w:rsid w:val="0020219B"/>
    <w:rsid w:val="002028CA"/>
    <w:rsid w:val="00204C85"/>
    <w:rsid w:val="0021263B"/>
    <w:rsid w:val="002148C7"/>
    <w:rsid w:val="00215DE7"/>
    <w:rsid w:val="00216DA8"/>
    <w:rsid w:val="00217613"/>
    <w:rsid w:val="002215C8"/>
    <w:rsid w:val="00221FEA"/>
    <w:rsid w:val="00222238"/>
    <w:rsid w:val="00224EA9"/>
    <w:rsid w:val="00225D74"/>
    <w:rsid w:val="002263C9"/>
    <w:rsid w:val="002266E0"/>
    <w:rsid w:val="00227D8A"/>
    <w:rsid w:val="00231E2F"/>
    <w:rsid w:val="00234AE8"/>
    <w:rsid w:val="00235855"/>
    <w:rsid w:val="002377A5"/>
    <w:rsid w:val="00241EC4"/>
    <w:rsid w:val="002436BA"/>
    <w:rsid w:val="002473DA"/>
    <w:rsid w:val="00250E38"/>
    <w:rsid w:val="00254342"/>
    <w:rsid w:val="00255E47"/>
    <w:rsid w:val="00255F59"/>
    <w:rsid w:val="00260672"/>
    <w:rsid w:val="00260F50"/>
    <w:rsid w:val="00262B09"/>
    <w:rsid w:val="002642F0"/>
    <w:rsid w:val="00264AEC"/>
    <w:rsid w:val="00264CD3"/>
    <w:rsid w:val="0026545C"/>
    <w:rsid w:val="002666D4"/>
    <w:rsid w:val="00270D0E"/>
    <w:rsid w:val="002726A7"/>
    <w:rsid w:val="002804A5"/>
    <w:rsid w:val="0028113C"/>
    <w:rsid w:val="002910AD"/>
    <w:rsid w:val="00294027"/>
    <w:rsid w:val="00296E8E"/>
    <w:rsid w:val="002A25A8"/>
    <w:rsid w:val="002A2CFC"/>
    <w:rsid w:val="002A3147"/>
    <w:rsid w:val="002A5279"/>
    <w:rsid w:val="002A543D"/>
    <w:rsid w:val="002A5770"/>
    <w:rsid w:val="002A680D"/>
    <w:rsid w:val="002A6E25"/>
    <w:rsid w:val="002A7FFB"/>
    <w:rsid w:val="002B4195"/>
    <w:rsid w:val="002B6B3C"/>
    <w:rsid w:val="002B7114"/>
    <w:rsid w:val="002C1C8B"/>
    <w:rsid w:val="002C3B05"/>
    <w:rsid w:val="002C5B76"/>
    <w:rsid w:val="002C639B"/>
    <w:rsid w:val="002C77C8"/>
    <w:rsid w:val="002C7F93"/>
    <w:rsid w:val="002D14BC"/>
    <w:rsid w:val="002D1851"/>
    <w:rsid w:val="002D278C"/>
    <w:rsid w:val="002D3D16"/>
    <w:rsid w:val="002D7D69"/>
    <w:rsid w:val="002E2742"/>
    <w:rsid w:val="002E3476"/>
    <w:rsid w:val="002E3B5E"/>
    <w:rsid w:val="002E4C79"/>
    <w:rsid w:val="002E4F2E"/>
    <w:rsid w:val="002F2862"/>
    <w:rsid w:val="002F3CE1"/>
    <w:rsid w:val="002F4B52"/>
    <w:rsid w:val="002F599A"/>
    <w:rsid w:val="003007AA"/>
    <w:rsid w:val="00301818"/>
    <w:rsid w:val="00304472"/>
    <w:rsid w:val="00305E97"/>
    <w:rsid w:val="00306EFF"/>
    <w:rsid w:val="00312319"/>
    <w:rsid w:val="00315353"/>
    <w:rsid w:val="00317538"/>
    <w:rsid w:val="003178F0"/>
    <w:rsid w:val="00317AB3"/>
    <w:rsid w:val="00317BBA"/>
    <w:rsid w:val="003202E3"/>
    <w:rsid w:val="00320FD8"/>
    <w:rsid w:val="00323995"/>
    <w:rsid w:val="003250B2"/>
    <w:rsid w:val="00325DD3"/>
    <w:rsid w:val="00327155"/>
    <w:rsid w:val="00327B76"/>
    <w:rsid w:val="00333A27"/>
    <w:rsid w:val="0033597A"/>
    <w:rsid w:val="00336B2D"/>
    <w:rsid w:val="00337B57"/>
    <w:rsid w:val="00340213"/>
    <w:rsid w:val="00340BBC"/>
    <w:rsid w:val="0034175A"/>
    <w:rsid w:val="003418D1"/>
    <w:rsid w:val="00341C7F"/>
    <w:rsid w:val="00342846"/>
    <w:rsid w:val="00343009"/>
    <w:rsid w:val="00343156"/>
    <w:rsid w:val="0034367F"/>
    <w:rsid w:val="003459F9"/>
    <w:rsid w:val="00345E21"/>
    <w:rsid w:val="00346837"/>
    <w:rsid w:val="00347149"/>
    <w:rsid w:val="00351417"/>
    <w:rsid w:val="003539E7"/>
    <w:rsid w:val="00353A5F"/>
    <w:rsid w:val="00354EFB"/>
    <w:rsid w:val="0036205F"/>
    <w:rsid w:val="0036245D"/>
    <w:rsid w:val="00364AE4"/>
    <w:rsid w:val="00371F74"/>
    <w:rsid w:val="00372273"/>
    <w:rsid w:val="003730D3"/>
    <w:rsid w:val="00374BBC"/>
    <w:rsid w:val="003776D6"/>
    <w:rsid w:val="0038125A"/>
    <w:rsid w:val="00382361"/>
    <w:rsid w:val="00382881"/>
    <w:rsid w:val="00382CD1"/>
    <w:rsid w:val="00385837"/>
    <w:rsid w:val="00393BE5"/>
    <w:rsid w:val="00394DC0"/>
    <w:rsid w:val="00395132"/>
    <w:rsid w:val="003957CB"/>
    <w:rsid w:val="00396067"/>
    <w:rsid w:val="00396412"/>
    <w:rsid w:val="00396718"/>
    <w:rsid w:val="003A535F"/>
    <w:rsid w:val="003A7E6A"/>
    <w:rsid w:val="003B21B9"/>
    <w:rsid w:val="003B2A90"/>
    <w:rsid w:val="003B698E"/>
    <w:rsid w:val="003B6E8D"/>
    <w:rsid w:val="003C27BF"/>
    <w:rsid w:val="003C6BF6"/>
    <w:rsid w:val="003C7AE7"/>
    <w:rsid w:val="003D083B"/>
    <w:rsid w:val="003D1E4A"/>
    <w:rsid w:val="003D2C53"/>
    <w:rsid w:val="003D37D8"/>
    <w:rsid w:val="003D57DC"/>
    <w:rsid w:val="003E2527"/>
    <w:rsid w:val="003E7690"/>
    <w:rsid w:val="003F0132"/>
    <w:rsid w:val="003F0174"/>
    <w:rsid w:val="003F0CE1"/>
    <w:rsid w:val="003F0F22"/>
    <w:rsid w:val="003F16B0"/>
    <w:rsid w:val="003F272E"/>
    <w:rsid w:val="003F2FA4"/>
    <w:rsid w:val="003F447B"/>
    <w:rsid w:val="003F7751"/>
    <w:rsid w:val="00400C8E"/>
    <w:rsid w:val="004040F6"/>
    <w:rsid w:val="00405469"/>
    <w:rsid w:val="00407629"/>
    <w:rsid w:val="00411725"/>
    <w:rsid w:val="00413904"/>
    <w:rsid w:val="00413C78"/>
    <w:rsid w:val="00414622"/>
    <w:rsid w:val="00415D30"/>
    <w:rsid w:val="00415D89"/>
    <w:rsid w:val="00426B4C"/>
    <w:rsid w:val="00427A50"/>
    <w:rsid w:val="00427C17"/>
    <w:rsid w:val="004313B7"/>
    <w:rsid w:val="00433988"/>
    <w:rsid w:val="00433C54"/>
    <w:rsid w:val="00434747"/>
    <w:rsid w:val="00436AFF"/>
    <w:rsid w:val="0044111A"/>
    <w:rsid w:val="004417E5"/>
    <w:rsid w:val="00442CD6"/>
    <w:rsid w:val="00443E28"/>
    <w:rsid w:val="00443F1E"/>
    <w:rsid w:val="004474D6"/>
    <w:rsid w:val="00451523"/>
    <w:rsid w:val="00455ED8"/>
    <w:rsid w:val="0045743F"/>
    <w:rsid w:val="00460EEA"/>
    <w:rsid w:val="00462FD4"/>
    <w:rsid w:val="004669CD"/>
    <w:rsid w:val="00470157"/>
    <w:rsid w:val="00470365"/>
    <w:rsid w:val="00470963"/>
    <w:rsid w:val="00471760"/>
    <w:rsid w:val="00474D8C"/>
    <w:rsid w:val="00476F53"/>
    <w:rsid w:val="00477911"/>
    <w:rsid w:val="00477F83"/>
    <w:rsid w:val="00480FE3"/>
    <w:rsid w:val="00484798"/>
    <w:rsid w:val="0048661D"/>
    <w:rsid w:val="004866E5"/>
    <w:rsid w:val="00491F26"/>
    <w:rsid w:val="004933A8"/>
    <w:rsid w:val="00494E90"/>
    <w:rsid w:val="00495C85"/>
    <w:rsid w:val="004A12E1"/>
    <w:rsid w:val="004A31B4"/>
    <w:rsid w:val="004A453D"/>
    <w:rsid w:val="004B562E"/>
    <w:rsid w:val="004C1C91"/>
    <w:rsid w:val="004D070D"/>
    <w:rsid w:val="004D1ECB"/>
    <w:rsid w:val="004D265A"/>
    <w:rsid w:val="004D27A9"/>
    <w:rsid w:val="004E0E28"/>
    <w:rsid w:val="004E1BED"/>
    <w:rsid w:val="004E22BC"/>
    <w:rsid w:val="004E2325"/>
    <w:rsid w:val="004E3BD7"/>
    <w:rsid w:val="004E3D35"/>
    <w:rsid w:val="004E6F87"/>
    <w:rsid w:val="004F0A2A"/>
    <w:rsid w:val="004F2275"/>
    <w:rsid w:val="004F4D32"/>
    <w:rsid w:val="004F62FF"/>
    <w:rsid w:val="004F6322"/>
    <w:rsid w:val="00500961"/>
    <w:rsid w:val="00500DE5"/>
    <w:rsid w:val="00502ADB"/>
    <w:rsid w:val="00502BA9"/>
    <w:rsid w:val="005040CB"/>
    <w:rsid w:val="00505E8B"/>
    <w:rsid w:val="00506398"/>
    <w:rsid w:val="0051202E"/>
    <w:rsid w:val="00513995"/>
    <w:rsid w:val="00515CE5"/>
    <w:rsid w:val="005167B5"/>
    <w:rsid w:val="00525566"/>
    <w:rsid w:val="0052563E"/>
    <w:rsid w:val="0052757B"/>
    <w:rsid w:val="00527EAB"/>
    <w:rsid w:val="00531E0D"/>
    <w:rsid w:val="00532F42"/>
    <w:rsid w:val="00535755"/>
    <w:rsid w:val="00540267"/>
    <w:rsid w:val="0054296F"/>
    <w:rsid w:val="0054380A"/>
    <w:rsid w:val="005452DB"/>
    <w:rsid w:val="00550D74"/>
    <w:rsid w:val="0055226F"/>
    <w:rsid w:val="005531E1"/>
    <w:rsid w:val="005537F5"/>
    <w:rsid w:val="00553FB7"/>
    <w:rsid w:val="005567F6"/>
    <w:rsid w:val="00561526"/>
    <w:rsid w:val="005619D3"/>
    <w:rsid w:val="0056453E"/>
    <w:rsid w:val="0056476B"/>
    <w:rsid w:val="00564A1E"/>
    <w:rsid w:val="00565857"/>
    <w:rsid w:val="00565A5E"/>
    <w:rsid w:val="00574B92"/>
    <w:rsid w:val="005765A3"/>
    <w:rsid w:val="00580DC2"/>
    <w:rsid w:val="00581803"/>
    <w:rsid w:val="00581843"/>
    <w:rsid w:val="00582A1A"/>
    <w:rsid w:val="005842AE"/>
    <w:rsid w:val="00584CFE"/>
    <w:rsid w:val="00586222"/>
    <w:rsid w:val="005903CC"/>
    <w:rsid w:val="0059064F"/>
    <w:rsid w:val="00592B22"/>
    <w:rsid w:val="00592B7D"/>
    <w:rsid w:val="00592F9C"/>
    <w:rsid w:val="00594D38"/>
    <w:rsid w:val="00597142"/>
    <w:rsid w:val="00597B85"/>
    <w:rsid w:val="005A1C80"/>
    <w:rsid w:val="005A4926"/>
    <w:rsid w:val="005A56C4"/>
    <w:rsid w:val="005A66A1"/>
    <w:rsid w:val="005A7605"/>
    <w:rsid w:val="005B0627"/>
    <w:rsid w:val="005B352B"/>
    <w:rsid w:val="005B4105"/>
    <w:rsid w:val="005B632B"/>
    <w:rsid w:val="005C11F5"/>
    <w:rsid w:val="005C12D6"/>
    <w:rsid w:val="005C363C"/>
    <w:rsid w:val="005C645D"/>
    <w:rsid w:val="005D0865"/>
    <w:rsid w:val="005D2D09"/>
    <w:rsid w:val="005D3632"/>
    <w:rsid w:val="005D43E2"/>
    <w:rsid w:val="005D479C"/>
    <w:rsid w:val="005D56CD"/>
    <w:rsid w:val="005D5D72"/>
    <w:rsid w:val="005D6F2D"/>
    <w:rsid w:val="005D734B"/>
    <w:rsid w:val="005E0FAE"/>
    <w:rsid w:val="005E1044"/>
    <w:rsid w:val="005E291D"/>
    <w:rsid w:val="005E76FF"/>
    <w:rsid w:val="005F19EA"/>
    <w:rsid w:val="005F1B16"/>
    <w:rsid w:val="005F36A4"/>
    <w:rsid w:val="005F442B"/>
    <w:rsid w:val="005F4D98"/>
    <w:rsid w:val="005F5F59"/>
    <w:rsid w:val="00600AAF"/>
    <w:rsid w:val="00605FEE"/>
    <w:rsid w:val="0060711B"/>
    <w:rsid w:val="00607C3E"/>
    <w:rsid w:val="006113D1"/>
    <w:rsid w:val="00611AB7"/>
    <w:rsid w:val="0061267F"/>
    <w:rsid w:val="0061556A"/>
    <w:rsid w:val="00615B03"/>
    <w:rsid w:val="006171EF"/>
    <w:rsid w:val="00617B41"/>
    <w:rsid w:val="00622089"/>
    <w:rsid w:val="00623C9C"/>
    <w:rsid w:val="00625A2F"/>
    <w:rsid w:val="00626A4E"/>
    <w:rsid w:val="00630C72"/>
    <w:rsid w:val="00635E42"/>
    <w:rsid w:val="00636A8B"/>
    <w:rsid w:val="00636B0B"/>
    <w:rsid w:val="00641673"/>
    <w:rsid w:val="00642015"/>
    <w:rsid w:val="00642841"/>
    <w:rsid w:val="00643C4C"/>
    <w:rsid w:val="00644F99"/>
    <w:rsid w:val="006553BC"/>
    <w:rsid w:val="00661B8C"/>
    <w:rsid w:val="00661D6F"/>
    <w:rsid w:val="0066278A"/>
    <w:rsid w:val="006632CD"/>
    <w:rsid w:val="00665BBD"/>
    <w:rsid w:val="00674907"/>
    <w:rsid w:val="00675254"/>
    <w:rsid w:val="00676B9D"/>
    <w:rsid w:val="00681CC2"/>
    <w:rsid w:val="00682BAD"/>
    <w:rsid w:val="0068377A"/>
    <w:rsid w:val="00683C2C"/>
    <w:rsid w:val="006842E4"/>
    <w:rsid w:val="006861DD"/>
    <w:rsid w:val="006908FF"/>
    <w:rsid w:val="00692829"/>
    <w:rsid w:val="00692ABE"/>
    <w:rsid w:val="00695858"/>
    <w:rsid w:val="006967E1"/>
    <w:rsid w:val="00696C93"/>
    <w:rsid w:val="006A0CAF"/>
    <w:rsid w:val="006A1C27"/>
    <w:rsid w:val="006A1FBE"/>
    <w:rsid w:val="006A2ACD"/>
    <w:rsid w:val="006A3992"/>
    <w:rsid w:val="006A3F4D"/>
    <w:rsid w:val="006A459E"/>
    <w:rsid w:val="006B0096"/>
    <w:rsid w:val="006B186D"/>
    <w:rsid w:val="006B2401"/>
    <w:rsid w:val="006B4029"/>
    <w:rsid w:val="006B4F7F"/>
    <w:rsid w:val="006B7CDB"/>
    <w:rsid w:val="006C0C35"/>
    <w:rsid w:val="006C3029"/>
    <w:rsid w:val="006C4698"/>
    <w:rsid w:val="006C66C4"/>
    <w:rsid w:val="006C6ECA"/>
    <w:rsid w:val="006D35D5"/>
    <w:rsid w:val="006D57A0"/>
    <w:rsid w:val="006D5D49"/>
    <w:rsid w:val="006D6FBF"/>
    <w:rsid w:val="006E09DD"/>
    <w:rsid w:val="006E0D4D"/>
    <w:rsid w:val="006E19E9"/>
    <w:rsid w:val="006E3842"/>
    <w:rsid w:val="006E6CBC"/>
    <w:rsid w:val="006E6E7D"/>
    <w:rsid w:val="006E70CB"/>
    <w:rsid w:val="006E7C1E"/>
    <w:rsid w:val="006F18E8"/>
    <w:rsid w:val="006F4CE1"/>
    <w:rsid w:val="006F51AF"/>
    <w:rsid w:val="006F5F0B"/>
    <w:rsid w:val="006F7CAD"/>
    <w:rsid w:val="0070075D"/>
    <w:rsid w:val="00701524"/>
    <w:rsid w:val="00705DA9"/>
    <w:rsid w:val="0070634D"/>
    <w:rsid w:val="00707C59"/>
    <w:rsid w:val="00710C3B"/>
    <w:rsid w:val="00711EB3"/>
    <w:rsid w:val="00713A75"/>
    <w:rsid w:val="00714B02"/>
    <w:rsid w:val="00715CDA"/>
    <w:rsid w:val="00716A09"/>
    <w:rsid w:val="00716B94"/>
    <w:rsid w:val="00716E84"/>
    <w:rsid w:val="007176C0"/>
    <w:rsid w:val="0072493A"/>
    <w:rsid w:val="00726226"/>
    <w:rsid w:val="00730B99"/>
    <w:rsid w:val="00731DFC"/>
    <w:rsid w:val="007402D2"/>
    <w:rsid w:val="00742192"/>
    <w:rsid w:val="00743A3B"/>
    <w:rsid w:val="00743B86"/>
    <w:rsid w:val="007451FE"/>
    <w:rsid w:val="0074606E"/>
    <w:rsid w:val="007525B4"/>
    <w:rsid w:val="00752696"/>
    <w:rsid w:val="00752A9D"/>
    <w:rsid w:val="007561F9"/>
    <w:rsid w:val="007569D1"/>
    <w:rsid w:val="007605DE"/>
    <w:rsid w:val="00760CEF"/>
    <w:rsid w:val="00760E95"/>
    <w:rsid w:val="00761360"/>
    <w:rsid w:val="007615DC"/>
    <w:rsid w:val="00762A21"/>
    <w:rsid w:val="00763005"/>
    <w:rsid w:val="00763D3F"/>
    <w:rsid w:val="00763E6F"/>
    <w:rsid w:val="0077074B"/>
    <w:rsid w:val="007740CA"/>
    <w:rsid w:val="0077505B"/>
    <w:rsid w:val="0077600B"/>
    <w:rsid w:val="00785ABA"/>
    <w:rsid w:val="00787FAF"/>
    <w:rsid w:val="007927EE"/>
    <w:rsid w:val="007935F1"/>
    <w:rsid w:val="0079510C"/>
    <w:rsid w:val="00795F5C"/>
    <w:rsid w:val="007B0FCF"/>
    <w:rsid w:val="007B18B5"/>
    <w:rsid w:val="007B1E7E"/>
    <w:rsid w:val="007B3F95"/>
    <w:rsid w:val="007B7367"/>
    <w:rsid w:val="007C0D8E"/>
    <w:rsid w:val="007C2AEF"/>
    <w:rsid w:val="007C31B4"/>
    <w:rsid w:val="007C5904"/>
    <w:rsid w:val="007C6680"/>
    <w:rsid w:val="007C7B32"/>
    <w:rsid w:val="007D4E87"/>
    <w:rsid w:val="007D648B"/>
    <w:rsid w:val="007E4730"/>
    <w:rsid w:val="007E678F"/>
    <w:rsid w:val="007E695E"/>
    <w:rsid w:val="007E764D"/>
    <w:rsid w:val="007E7CA0"/>
    <w:rsid w:val="007F11DF"/>
    <w:rsid w:val="007F138A"/>
    <w:rsid w:val="007F1DF6"/>
    <w:rsid w:val="007F4710"/>
    <w:rsid w:val="007F608A"/>
    <w:rsid w:val="007F7178"/>
    <w:rsid w:val="00810DAE"/>
    <w:rsid w:val="00815E68"/>
    <w:rsid w:val="00816958"/>
    <w:rsid w:val="00820CE8"/>
    <w:rsid w:val="0082526B"/>
    <w:rsid w:val="00827B4D"/>
    <w:rsid w:val="008306BB"/>
    <w:rsid w:val="00832623"/>
    <w:rsid w:val="00834103"/>
    <w:rsid w:val="0083414D"/>
    <w:rsid w:val="00834517"/>
    <w:rsid w:val="008346FA"/>
    <w:rsid w:val="008355C1"/>
    <w:rsid w:val="00837EC7"/>
    <w:rsid w:val="008402EB"/>
    <w:rsid w:val="0084036E"/>
    <w:rsid w:val="008409C6"/>
    <w:rsid w:val="0084489E"/>
    <w:rsid w:val="00844AF5"/>
    <w:rsid w:val="00844EB4"/>
    <w:rsid w:val="008505C4"/>
    <w:rsid w:val="0085179F"/>
    <w:rsid w:val="00852F41"/>
    <w:rsid w:val="00853840"/>
    <w:rsid w:val="00854E37"/>
    <w:rsid w:val="008603A6"/>
    <w:rsid w:val="00861F23"/>
    <w:rsid w:val="00864E8C"/>
    <w:rsid w:val="008661B7"/>
    <w:rsid w:val="008711B5"/>
    <w:rsid w:val="00883889"/>
    <w:rsid w:val="00890106"/>
    <w:rsid w:val="00890BC0"/>
    <w:rsid w:val="0089246E"/>
    <w:rsid w:val="008A1469"/>
    <w:rsid w:val="008A2DC0"/>
    <w:rsid w:val="008A3C64"/>
    <w:rsid w:val="008A6E3B"/>
    <w:rsid w:val="008B05A6"/>
    <w:rsid w:val="008B0ABC"/>
    <w:rsid w:val="008B1F58"/>
    <w:rsid w:val="008B3471"/>
    <w:rsid w:val="008C07EB"/>
    <w:rsid w:val="008C694C"/>
    <w:rsid w:val="008D2782"/>
    <w:rsid w:val="008D3239"/>
    <w:rsid w:val="008D433E"/>
    <w:rsid w:val="008D48F6"/>
    <w:rsid w:val="008D492A"/>
    <w:rsid w:val="008D6D96"/>
    <w:rsid w:val="008D7B6F"/>
    <w:rsid w:val="008D7F40"/>
    <w:rsid w:val="008D7F78"/>
    <w:rsid w:val="008E07EF"/>
    <w:rsid w:val="008E1910"/>
    <w:rsid w:val="008E1913"/>
    <w:rsid w:val="008E4815"/>
    <w:rsid w:val="008E6827"/>
    <w:rsid w:val="008E7226"/>
    <w:rsid w:val="008F087C"/>
    <w:rsid w:val="008F1673"/>
    <w:rsid w:val="008F2524"/>
    <w:rsid w:val="008F3548"/>
    <w:rsid w:val="008F3EF6"/>
    <w:rsid w:val="008F510F"/>
    <w:rsid w:val="008F750D"/>
    <w:rsid w:val="008F7676"/>
    <w:rsid w:val="008F7E7B"/>
    <w:rsid w:val="00901D12"/>
    <w:rsid w:val="00902CCA"/>
    <w:rsid w:val="00905A79"/>
    <w:rsid w:val="009070A2"/>
    <w:rsid w:val="00910F25"/>
    <w:rsid w:val="00911610"/>
    <w:rsid w:val="00912413"/>
    <w:rsid w:val="00912FE6"/>
    <w:rsid w:val="00913C0D"/>
    <w:rsid w:val="00914813"/>
    <w:rsid w:val="00915A0F"/>
    <w:rsid w:val="009161AB"/>
    <w:rsid w:val="00916707"/>
    <w:rsid w:val="009175D9"/>
    <w:rsid w:val="00922B0E"/>
    <w:rsid w:val="009232FF"/>
    <w:rsid w:val="00923DF9"/>
    <w:rsid w:val="00925516"/>
    <w:rsid w:val="00936805"/>
    <w:rsid w:val="00936DB9"/>
    <w:rsid w:val="00936DCE"/>
    <w:rsid w:val="0093723B"/>
    <w:rsid w:val="009407DC"/>
    <w:rsid w:val="009426BB"/>
    <w:rsid w:val="00942EA9"/>
    <w:rsid w:val="00944FE6"/>
    <w:rsid w:val="00952762"/>
    <w:rsid w:val="0095396D"/>
    <w:rsid w:val="0096046E"/>
    <w:rsid w:val="009610B8"/>
    <w:rsid w:val="00964CFE"/>
    <w:rsid w:val="00964DCA"/>
    <w:rsid w:val="0097171A"/>
    <w:rsid w:val="00972F84"/>
    <w:rsid w:val="009730DA"/>
    <w:rsid w:val="00977020"/>
    <w:rsid w:val="009773D1"/>
    <w:rsid w:val="00977C95"/>
    <w:rsid w:val="00981358"/>
    <w:rsid w:val="00981DE1"/>
    <w:rsid w:val="00986C71"/>
    <w:rsid w:val="0099256C"/>
    <w:rsid w:val="00992D05"/>
    <w:rsid w:val="00993532"/>
    <w:rsid w:val="00994661"/>
    <w:rsid w:val="009A0A86"/>
    <w:rsid w:val="009A171C"/>
    <w:rsid w:val="009A23B9"/>
    <w:rsid w:val="009A2592"/>
    <w:rsid w:val="009A6D51"/>
    <w:rsid w:val="009B1ED9"/>
    <w:rsid w:val="009B4350"/>
    <w:rsid w:val="009B5330"/>
    <w:rsid w:val="009C0217"/>
    <w:rsid w:val="009C0659"/>
    <w:rsid w:val="009C1029"/>
    <w:rsid w:val="009C46DD"/>
    <w:rsid w:val="009D15FD"/>
    <w:rsid w:val="009D1A18"/>
    <w:rsid w:val="009D2E42"/>
    <w:rsid w:val="009D3B82"/>
    <w:rsid w:val="009D53B1"/>
    <w:rsid w:val="009E0B20"/>
    <w:rsid w:val="009E5459"/>
    <w:rsid w:val="009E5DF7"/>
    <w:rsid w:val="009E6246"/>
    <w:rsid w:val="009E6A1E"/>
    <w:rsid w:val="009F0DF3"/>
    <w:rsid w:val="009F2AD3"/>
    <w:rsid w:val="009F4361"/>
    <w:rsid w:val="00A00BB3"/>
    <w:rsid w:val="00A01A2F"/>
    <w:rsid w:val="00A03771"/>
    <w:rsid w:val="00A04A81"/>
    <w:rsid w:val="00A05251"/>
    <w:rsid w:val="00A05484"/>
    <w:rsid w:val="00A11399"/>
    <w:rsid w:val="00A12452"/>
    <w:rsid w:val="00A12CB3"/>
    <w:rsid w:val="00A164B2"/>
    <w:rsid w:val="00A165C7"/>
    <w:rsid w:val="00A16713"/>
    <w:rsid w:val="00A16F4B"/>
    <w:rsid w:val="00A21302"/>
    <w:rsid w:val="00A25CA2"/>
    <w:rsid w:val="00A26AA9"/>
    <w:rsid w:val="00A31181"/>
    <w:rsid w:val="00A346CF"/>
    <w:rsid w:val="00A34BAB"/>
    <w:rsid w:val="00A35F0F"/>
    <w:rsid w:val="00A36D2E"/>
    <w:rsid w:val="00A46945"/>
    <w:rsid w:val="00A47CDB"/>
    <w:rsid w:val="00A47E60"/>
    <w:rsid w:val="00A51BDD"/>
    <w:rsid w:val="00A52B98"/>
    <w:rsid w:val="00A57707"/>
    <w:rsid w:val="00A62C18"/>
    <w:rsid w:val="00A633E6"/>
    <w:rsid w:val="00A638EA"/>
    <w:rsid w:val="00A63DAA"/>
    <w:rsid w:val="00A65F07"/>
    <w:rsid w:val="00A66CA1"/>
    <w:rsid w:val="00A70F09"/>
    <w:rsid w:val="00A748F8"/>
    <w:rsid w:val="00A7590D"/>
    <w:rsid w:val="00A7607D"/>
    <w:rsid w:val="00A816CA"/>
    <w:rsid w:val="00A82427"/>
    <w:rsid w:val="00A844D0"/>
    <w:rsid w:val="00A84AD5"/>
    <w:rsid w:val="00A864CE"/>
    <w:rsid w:val="00A87D4F"/>
    <w:rsid w:val="00A92771"/>
    <w:rsid w:val="00A9418C"/>
    <w:rsid w:val="00A97436"/>
    <w:rsid w:val="00AA13E3"/>
    <w:rsid w:val="00AA175E"/>
    <w:rsid w:val="00AA2C71"/>
    <w:rsid w:val="00AA3364"/>
    <w:rsid w:val="00AA351F"/>
    <w:rsid w:val="00AA4F41"/>
    <w:rsid w:val="00AB1640"/>
    <w:rsid w:val="00AB1903"/>
    <w:rsid w:val="00AC1792"/>
    <w:rsid w:val="00AC1C1E"/>
    <w:rsid w:val="00AC6314"/>
    <w:rsid w:val="00AC6531"/>
    <w:rsid w:val="00AC6605"/>
    <w:rsid w:val="00AC68CC"/>
    <w:rsid w:val="00AC7F56"/>
    <w:rsid w:val="00AD0521"/>
    <w:rsid w:val="00AD1A28"/>
    <w:rsid w:val="00AD260E"/>
    <w:rsid w:val="00AD2713"/>
    <w:rsid w:val="00AD2A59"/>
    <w:rsid w:val="00AD44E6"/>
    <w:rsid w:val="00AD6B73"/>
    <w:rsid w:val="00AE0525"/>
    <w:rsid w:val="00AE1E24"/>
    <w:rsid w:val="00AE2F3A"/>
    <w:rsid w:val="00AE2FBE"/>
    <w:rsid w:val="00AE3497"/>
    <w:rsid w:val="00AE4ADB"/>
    <w:rsid w:val="00AE6AF2"/>
    <w:rsid w:val="00AE7291"/>
    <w:rsid w:val="00AE76BB"/>
    <w:rsid w:val="00AF66AC"/>
    <w:rsid w:val="00AF73B6"/>
    <w:rsid w:val="00AF78BE"/>
    <w:rsid w:val="00B0041D"/>
    <w:rsid w:val="00B04D25"/>
    <w:rsid w:val="00B05B8B"/>
    <w:rsid w:val="00B05FA2"/>
    <w:rsid w:val="00B06382"/>
    <w:rsid w:val="00B0645B"/>
    <w:rsid w:val="00B06572"/>
    <w:rsid w:val="00B067AA"/>
    <w:rsid w:val="00B1272B"/>
    <w:rsid w:val="00B174B6"/>
    <w:rsid w:val="00B2163F"/>
    <w:rsid w:val="00B22908"/>
    <w:rsid w:val="00B22CA9"/>
    <w:rsid w:val="00B22F88"/>
    <w:rsid w:val="00B23C01"/>
    <w:rsid w:val="00B24CF2"/>
    <w:rsid w:val="00B2619D"/>
    <w:rsid w:val="00B26729"/>
    <w:rsid w:val="00B267E6"/>
    <w:rsid w:val="00B31A70"/>
    <w:rsid w:val="00B32752"/>
    <w:rsid w:val="00B3331B"/>
    <w:rsid w:val="00B347A4"/>
    <w:rsid w:val="00B34F40"/>
    <w:rsid w:val="00B41B81"/>
    <w:rsid w:val="00B44B02"/>
    <w:rsid w:val="00B5290E"/>
    <w:rsid w:val="00B5561F"/>
    <w:rsid w:val="00B55AEE"/>
    <w:rsid w:val="00B56ADE"/>
    <w:rsid w:val="00B7159E"/>
    <w:rsid w:val="00B72C31"/>
    <w:rsid w:val="00B8230A"/>
    <w:rsid w:val="00B90759"/>
    <w:rsid w:val="00B9321F"/>
    <w:rsid w:val="00B93C27"/>
    <w:rsid w:val="00B93FE8"/>
    <w:rsid w:val="00B962D6"/>
    <w:rsid w:val="00B97107"/>
    <w:rsid w:val="00BA34B8"/>
    <w:rsid w:val="00BA3BA1"/>
    <w:rsid w:val="00BB172E"/>
    <w:rsid w:val="00BB235F"/>
    <w:rsid w:val="00BB2D04"/>
    <w:rsid w:val="00BB3C4A"/>
    <w:rsid w:val="00BB4199"/>
    <w:rsid w:val="00BB5FD5"/>
    <w:rsid w:val="00BC592A"/>
    <w:rsid w:val="00BC7949"/>
    <w:rsid w:val="00BD08BA"/>
    <w:rsid w:val="00BD20BC"/>
    <w:rsid w:val="00BD224E"/>
    <w:rsid w:val="00BD560F"/>
    <w:rsid w:val="00BD5A20"/>
    <w:rsid w:val="00BE5570"/>
    <w:rsid w:val="00BE6B25"/>
    <w:rsid w:val="00BE7358"/>
    <w:rsid w:val="00BE75F6"/>
    <w:rsid w:val="00BE762D"/>
    <w:rsid w:val="00BF0F37"/>
    <w:rsid w:val="00BF369F"/>
    <w:rsid w:val="00BF437F"/>
    <w:rsid w:val="00BF5B99"/>
    <w:rsid w:val="00C0077F"/>
    <w:rsid w:val="00C01286"/>
    <w:rsid w:val="00C028DF"/>
    <w:rsid w:val="00C05D12"/>
    <w:rsid w:val="00C066DD"/>
    <w:rsid w:val="00C108BE"/>
    <w:rsid w:val="00C13132"/>
    <w:rsid w:val="00C1550F"/>
    <w:rsid w:val="00C173FE"/>
    <w:rsid w:val="00C206FF"/>
    <w:rsid w:val="00C20746"/>
    <w:rsid w:val="00C20B21"/>
    <w:rsid w:val="00C23804"/>
    <w:rsid w:val="00C25229"/>
    <w:rsid w:val="00C25EAE"/>
    <w:rsid w:val="00C25F20"/>
    <w:rsid w:val="00C26CBB"/>
    <w:rsid w:val="00C31BEE"/>
    <w:rsid w:val="00C31BEF"/>
    <w:rsid w:val="00C322EB"/>
    <w:rsid w:val="00C337FE"/>
    <w:rsid w:val="00C341B8"/>
    <w:rsid w:val="00C34C65"/>
    <w:rsid w:val="00C4008A"/>
    <w:rsid w:val="00C4055E"/>
    <w:rsid w:val="00C40C6B"/>
    <w:rsid w:val="00C42591"/>
    <w:rsid w:val="00C464B3"/>
    <w:rsid w:val="00C473EB"/>
    <w:rsid w:val="00C505F6"/>
    <w:rsid w:val="00C53BE2"/>
    <w:rsid w:val="00C53C4D"/>
    <w:rsid w:val="00C54751"/>
    <w:rsid w:val="00C57656"/>
    <w:rsid w:val="00C60F92"/>
    <w:rsid w:val="00C6217D"/>
    <w:rsid w:val="00C71048"/>
    <w:rsid w:val="00C72642"/>
    <w:rsid w:val="00C744AC"/>
    <w:rsid w:val="00C75B2E"/>
    <w:rsid w:val="00C7666F"/>
    <w:rsid w:val="00C81F37"/>
    <w:rsid w:val="00C82E69"/>
    <w:rsid w:val="00C83D1C"/>
    <w:rsid w:val="00C873BC"/>
    <w:rsid w:val="00C905E3"/>
    <w:rsid w:val="00C91DC0"/>
    <w:rsid w:val="00C95B5D"/>
    <w:rsid w:val="00CA1324"/>
    <w:rsid w:val="00CA4FC8"/>
    <w:rsid w:val="00CA7E1B"/>
    <w:rsid w:val="00CB0A0F"/>
    <w:rsid w:val="00CB0DC3"/>
    <w:rsid w:val="00CB192A"/>
    <w:rsid w:val="00CB3B48"/>
    <w:rsid w:val="00CB570F"/>
    <w:rsid w:val="00CB7AA6"/>
    <w:rsid w:val="00CC265F"/>
    <w:rsid w:val="00CC7763"/>
    <w:rsid w:val="00CD4967"/>
    <w:rsid w:val="00CD4B29"/>
    <w:rsid w:val="00CD5CCA"/>
    <w:rsid w:val="00CD712D"/>
    <w:rsid w:val="00CE56F2"/>
    <w:rsid w:val="00CE6FB6"/>
    <w:rsid w:val="00CE755E"/>
    <w:rsid w:val="00CF0808"/>
    <w:rsid w:val="00CF0EDA"/>
    <w:rsid w:val="00CF4048"/>
    <w:rsid w:val="00CF4F02"/>
    <w:rsid w:val="00D00BB3"/>
    <w:rsid w:val="00D023A0"/>
    <w:rsid w:val="00D03A46"/>
    <w:rsid w:val="00D1006A"/>
    <w:rsid w:val="00D10461"/>
    <w:rsid w:val="00D12391"/>
    <w:rsid w:val="00D1279C"/>
    <w:rsid w:val="00D16FEB"/>
    <w:rsid w:val="00D232F4"/>
    <w:rsid w:val="00D31926"/>
    <w:rsid w:val="00D3259D"/>
    <w:rsid w:val="00D34C5F"/>
    <w:rsid w:val="00D35D7D"/>
    <w:rsid w:val="00D434AC"/>
    <w:rsid w:val="00D46CC7"/>
    <w:rsid w:val="00D50BCA"/>
    <w:rsid w:val="00D51A09"/>
    <w:rsid w:val="00D5287C"/>
    <w:rsid w:val="00D57112"/>
    <w:rsid w:val="00D57816"/>
    <w:rsid w:val="00D6331C"/>
    <w:rsid w:val="00D6404B"/>
    <w:rsid w:val="00D66FDA"/>
    <w:rsid w:val="00D70B39"/>
    <w:rsid w:val="00D7255A"/>
    <w:rsid w:val="00D75725"/>
    <w:rsid w:val="00D76E96"/>
    <w:rsid w:val="00D8257F"/>
    <w:rsid w:val="00D83C81"/>
    <w:rsid w:val="00D86C1B"/>
    <w:rsid w:val="00D90553"/>
    <w:rsid w:val="00D92AEF"/>
    <w:rsid w:val="00D93935"/>
    <w:rsid w:val="00D95069"/>
    <w:rsid w:val="00D96494"/>
    <w:rsid w:val="00DA009C"/>
    <w:rsid w:val="00DA42EC"/>
    <w:rsid w:val="00DA507D"/>
    <w:rsid w:val="00DA50F3"/>
    <w:rsid w:val="00DB22D7"/>
    <w:rsid w:val="00DB6EDC"/>
    <w:rsid w:val="00DC139A"/>
    <w:rsid w:val="00DC4E47"/>
    <w:rsid w:val="00DC53F0"/>
    <w:rsid w:val="00DD038D"/>
    <w:rsid w:val="00DD06C4"/>
    <w:rsid w:val="00DD4989"/>
    <w:rsid w:val="00DD5960"/>
    <w:rsid w:val="00DD609C"/>
    <w:rsid w:val="00DD60D3"/>
    <w:rsid w:val="00DE18EB"/>
    <w:rsid w:val="00DE264C"/>
    <w:rsid w:val="00DE40F6"/>
    <w:rsid w:val="00DE66F4"/>
    <w:rsid w:val="00DE78CE"/>
    <w:rsid w:val="00DF10F9"/>
    <w:rsid w:val="00DF1886"/>
    <w:rsid w:val="00DF573D"/>
    <w:rsid w:val="00DF7C38"/>
    <w:rsid w:val="00E02172"/>
    <w:rsid w:val="00E061F3"/>
    <w:rsid w:val="00E06442"/>
    <w:rsid w:val="00E0769A"/>
    <w:rsid w:val="00E076FE"/>
    <w:rsid w:val="00E10619"/>
    <w:rsid w:val="00E107A5"/>
    <w:rsid w:val="00E13BDF"/>
    <w:rsid w:val="00E13C16"/>
    <w:rsid w:val="00E17826"/>
    <w:rsid w:val="00E21187"/>
    <w:rsid w:val="00E21ADA"/>
    <w:rsid w:val="00E221AB"/>
    <w:rsid w:val="00E22216"/>
    <w:rsid w:val="00E243E4"/>
    <w:rsid w:val="00E2654F"/>
    <w:rsid w:val="00E26743"/>
    <w:rsid w:val="00E32202"/>
    <w:rsid w:val="00E32F23"/>
    <w:rsid w:val="00E36361"/>
    <w:rsid w:val="00E363CC"/>
    <w:rsid w:val="00E36D6F"/>
    <w:rsid w:val="00E37CD5"/>
    <w:rsid w:val="00E40560"/>
    <w:rsid w:val="00E41146"/>
    <w:rsid w:val="00E4220D"/>
    <w:rsid w:val="00E444BF"/>
    <w:rsid w:val="00E44566"/>
    <w:rsid w:val="00E47DF9"/>
    <w:rsid w:val="00E51F2A"/>
    <w:rsid w:val="00E52740"/>
    <w:rsid w:val="00E53583"/>
    <w:rsid w:val="00E535BE"/>
    <w:rsid w:val="00E5400A"/>
    <w:rsid w:val="00E56692"/>
    <w:rsid w:val="00E568F7"/>
    <w:rsid w:val="00E60061"/>
    <w:rsid w:val="00E64E2C"/>
    <w:rsid w:val="00E679CF"/>
    <w:rsid w:val="00E75241"/>
    <w:rsid w:val="00E906C5"/>
    <w:rsid w:val="00E913E0"/>
    <w:rsid w:val="00E91F30"/>
    <w:rsid w:val="00E92CFA"/>
    <w:rsid w:val="00E95DFA"/>
    <w:rsid w:val="00E95E32"/>
    <w:rsid w:val="00E96469"/>
    <w:rsid w:val="00EA1164"/>
    <w:rsid w:val="00EA291C"/>
    <w:rsid w:val="00EA6435"/>
    <w:rsid w:val="00EA71A1"/>
    <w:rsid w:val="00EB2866"/>
    <w:rsid w:val="00EB2A23"/>
    <w:rsid w:val="00EB379A"/>
    <w:rsid w:val="00EB40A0"/>
    <w:rsid w:val="00EB71A7"/>
    <w:rsid w:val="00EC1083"/>
    <w:rsid w:val="00EC2860"/>
    <w:rsid w:val="00EC2BF3"/>
    <w:rsid w:val="00EC49A8"/>
    <w:rsid w:val="00EC5AFE"/>
    <w:rsid w:val="00EC5BC0"/>
    <w:rsid w:val="00ED197E"/>
    <w:rsid w:val="00ED2FF3"/>
    <w:rsid w:val="00ED52A2"/>
    <w:rsid w:val="00ED63BC"/>
    <w:rsid w:val="00EE2001"/>
    <w:rsid w:val="00EE239C"/>
    <w:rsid w:val="00EF0808"/>
    <w:rsid w:val="00EF3F83"/>
    <w:rsid w:val="00EF6F61"/>
    <w:rsid w:val="00F01666"/>
    <w:rsid w:val="00F01EAC"/>
    <w:rsid w:val="00F048C1"/>
    <w:rsid w:val="00F07049"/>
    <w:rsid w:val="00F10D5C"/>
    <w:rsid w:val="00F12A74"/>
    <w:rsid w:val="00F12C12"/>
    <w:rsid w:val="00F1323D"/>
    <w:rsid w:val="00F245F7"/>
    <w:rsid w:val="00F25409"/>
    <w:rsid w:val="00F25C94"/>
    <w:rsid w:val="00F26D88"/>
    <w:rsid w:val="00F278AF"/>
    <w:rsid w:val="00F31BE5"/>
    <w:rsid w:val="00F362B0"/>
    <w:rsid w:val="00F40359"/>
    <w:rsid w:val="00F41E18"/>
    <w:rsid w:val="00F42D23"/>
    <w:rsid w:val="00F44434"/>
    <w:rsid w:val="00F454AA"/>
    <w:rsid w:val="00F47B67"/>
    <w:rsid w:val="00F553A0"/>
    <w:rsid w:val="00F61406"/>
    <w:rsid w:val="00F63142"/>
    <w:rsid w:val="00F637DF"/>
    <w:rsid w:val="00F63B1E"/>
    <w:rsid w:val="00F63FFC"/>
    <w:rsid w:val="00F6651F"/>
    <w:rsid w:val="00F66651"/>
    <w:rsid w:val="00F70D8E"/>
    <w:rsid w:val="00F71839"/>
    <w:rsid w:val="00F71E75"/>
    <w:rsid w:val="00F73AE1"/>
    <w:rsid w:val="00F74300"/>
    <w:rsid w:val="00F76DD3"/>
    <w:rsid w:val="00F84255"/>
    <w:rsid w:val="00F8563C"/>
    <w:rsid w:val="00F85E52"/>
    <w:rsid w:val="00F91A30"/>
    <w:rsid w:val="00F92136"/>
    <w:rsid w:val="00F92622"/>
    <w:rsid w:val="00F927FE"/>
    <w:rsid w:val="00F93BC3"/>
    <w:rsid w:val="00F95024"/>
    <w:rsid w:val="00F95DD2"/>
    <w:rsid w:val="00FA0A3B"/>
    <w:rsid w:val="00FA43D8"/>
    <w:rsid w:val="00FB166F"/>
    <w:rsid w:val="00FB3029"/>
    <w:rsid w:val="00FB5D05"/>
    <w:rsid w:val="00FB5DD1"/>
    <w:rsid w:val="00FB6D86"/>
    <w:rsid w:val="00FB79D8"/>
    <w:rsid w:val="00FC29A6"/>
    <w:rsid w:val="00FC321C"/>
    <w:rsid w:val="00FC3B0C"/>
    <w:rsid w:val="00FC4393"/>
    <w:rsid w:val="00FC5D0A"/>
    <w:rsid w:val="00FC6B50"/>
    <w:rsid w:val="00FD4B9B"/>
    <w:rsid w:val="00FD5443"/>
    <w:rsid w:val="00FD5650"/>
    <w:rsid w:val="00FD5B17"/>
    <w:rsid w:val="00FD7E4B"/>
    <w:rsid w:val="00FD7ED7"/>
    <w:rsid w:val="00FE2A33"/>
    <w:rsid w:val="00FE34B7"/>
    <w:rsid w:val="00FE72D0"/>
    <w:rsid w:val="00FF004D"/>
    <w:rsid w:val="00FF215C"/>
    <w:rsid w:val="00FF56FE"/>
    <w:rsid w:val="00FF64F0"/>
    <w:rsid w:val="00FF7405"/>
    <w:rsid w:val="00FF793A"/>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657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B0657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06572"/>
    <w:rPr>
      <w:sz w:val="20"/>
      <w:szCs w:val="20"/>
    </w:rPr>
  </w:style>
  <w:style w:type="character" w:styleId="Refdenotaalpie">
    <w:name w:val="footnote reference"/>
    <w:basedOn w:val="Fuentedeprrafopredeter"/>
    <w:uiPriority w:val="99"/>
    <w:semiHidden/>
    <w:unhideWhenUsed/>
    <w:rsid w:val="00B06572"/>
    <w:rPr>
      <w:vertAlign w:val="superscript"/>
    </w:rPr>
  </w:style>
  <w:style w:type="paragraph" w:styleId="Prrafodelista">
    <w:name w:val="List Paragraph"/>
    <w:basedOn w:val="Normal"/>
    <w:uiPriority w:val="34"/>
    <w:qFormat/>
    <w:rsid w:val="00C873BC"/>
    <w:pPr>
      <w:ind w:left="720"/>
      <w:contextualSpacing/>
    </w:pPr>
  </w:style>
  <w:style w:type="character" w:styleId="Hipervnculo">
    <w:name w:val="Hyperlink"/>
    <w:basedOn w:val="Fuentedeprrafopredeter"/>
    <w:uiPriority w:val="99"/>
    <w:unhideWhenUsed/>
    <w:rsid w:val="00E679CF"/>
    <w:rPr>
      <w:color w:val="0000FF" w:themeColor="hyperlink"/>
      <w:u w:val="single"/>
    </w:rPr>
  </w:style>
  <w:style w:type="character" w:styleId="Textoennegrita">
    <w:name w:val="Strong"/>
    <w:basedOn w:val="Fuentedeprrafopredeter"/>
    <w:uiPriority w:val="22"/>
    <w:qFormat/>
    <w:rsid w:val="00192826"/>
    <w:rPr>
      <w:b/>
      <w:bCs/>
    </w:rPr>
  </w:style>
  <w:style w:type="character" w:customStyle="1" w:styleId="hide">
    <w:name w:val="hide"/>
    <w:basedOn w:val="Fuentedeprrafopredeter"/>
    <w:rsid w:val="00192826"/>
  </w:style>
  <w:style w:type="character" w:customStyle="1" w:styleId="titulo">
    <w:name w:val="titulo"/>
    <w:basedOn w:val="Fuentedeprrafopredeter"/>
    <w:rsid w:val="00F63B1E"/>
  </w:style>
  <w:style w:type="character" w:customStyle="1" w:styleId="separador">
    <w:name w:val="separador"/>
    <w:basedOn w:val="Fuentedeprrafopredeter"/>
    <w:rsid w:val="00F63B1E"/>
  </w:style>
  <w:style w:type="character" w:customStyle="1" w:styleId="subtitulo">
    <w:name w:val="subtitulo"/>
    <w:basedOn w:val="Fuentedeprrafopredeter"/>
    <w:rsid w:val="00F63B1E"/>
  </w:style>
  <w:style w:type="character" w:styleId="AcrnimoHTML">
    <w:name w:val="HTML Acronym"/>
    <w:basedOn w:val="Fuentedeprrafopredeter"/>
    <w:uiPriority w:val="99"/>
    <w:semiHidden/>
    <w:unhideWhenUsed/>
    <w:rsid w:val="000C5647"/>
  </w:style>
  <w:style w:type="character" w:customStyle="1" w:styleId="outputecliaff">
    <w:name w:val="outputecliaff"/>
    <w:rsid w:val="00A04A81"/>
  </w:style>
  <w:style w:type="paragraph" w:styleId="Encabezado">
    <w:name w:val="header"/>
    <w:basedOn w:val="Normal"/>
    <w:link w:val="EncabezadoCar"/>
    <w:uiPriority w:val="99"/>
    <w:unhideWhenUsed/>
    <w:rsid w:val="00D10461"/>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D10461"/>
  </w:style>
  <w:style w:type="paragraph" w:styleId="Piedepgina">
    <w:name w:val="footer"/>
    <w:basedOn w:val="Normal"/>
    <w:link w:val="PiedepginaCar"/>
    <w:uiPriority w:val="99"/>
    <w:unhideWhenUsed/>
    <w:rsid w:val="00D10461"/>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D10461"/>
  </w:style>
  <w:style w:type="paragraph" w:styleId="Textodeglobo">
    <w:name w:val="Balloon Text"/>
    <w:basedOn w:val="Normal"/>
    <w:link w:val="TextodegloboCar"/>
    <w:uiPriority w:val="99"/>
    <w:semiHidden/>
    <w:unhideWhenUsed/>
    <w:rsid w:val="002C1C8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C1C8B"/>
    <w:rPr>
      <w:rFonts w:ascii="Tahoma" w:hAnsi="Tahoma" w:cs="Tahoma"/>
      <w:sz w:val="16"/>
      <w:szCs w:val="16"/>
    </w:rPr>
  </w:style>
  <w:style w:type="character" w:styleId="Refdecomentario">
    <w:name w:val="annotation reference"/>
    <w:basedOn w:val="Fuentedeprrafopredeter"/>
    <w:uiPriority w:val="99"/>
    <w:semiHidden/>
    <w:unhideWhenUsed/>
    <w:rsid w:val="00426B4C"/>
    <w:rPr>
      <w:sz w:val="16"/>
      <w:szCs w:val="16"/>
    </w:rPr>
  </w:style>
  <w:style w:type="paragraph" w:styleId="Textocomentario">
    <w:name w:val="annotation text"/>
    <w:basedOn w:val="Normal"/>
    <w:link w:val="TextocomentarioCar"/>
    <w:uiPriority w:val="99"/>
    <w:semiHidden/>
    <w:unhideWhenUsed/>
    <w:rsid w:val="00426B4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26B4C"/>
    <w:rPr>
      <w:sz w:val="20"/>
      <w:szCs w:val="20"/>
    </w:rPr>
  </w:style>
  <w:style w:type="paragraph" w:styleId="Asuntodelcomentario">
    <w:name w:val="annotation subject"/>
    <w:basedOn w:val="Textocomentario"/>
    <w:next w:val="Textocomentario"/>
    <w:link w:val="AsuntodelcomentarioCar"/>
    <w:uiPriority w:val="99"/>
    <w:semiHidden/>
    <w:unhideWhenUsed/>
    <w:rsid w:val="00426B4C"/>
    <w:rPr>
      <w:b/>
      <w:bCs/>
    </w:rPr>
  </w:style>
  <w:style w:type="character" w:customStyle="1" w:styleId="AsuntodelcomentarioCar">
    <w:name w:val="Asunto del comentario Car"/>
    <w:basedOn w:val="TextocomentarioCar"/>
    <w:link w:val="Asuntodelcomentario"/>
    <w:uiPriority w:val="99"/>
    <w:semiHidden/>
    <w:rsid w:val="00426B4C"/>
    <w:rPr>
      <w:b/>
      <w:bCs/>
      <w:sz w:val="20"/>
      <w:szCs w:val="20"/>
    </w:rPr>
  </w:style>
  <w:style w:type="character" w:styleId="Hipervnculovisitado">
    <w:name w:val="FollowedHyperlink"/>
    <w:basedOn w:val="Fuentedeprrafopredeter"/>
    <w:uiPriority w:val="99"/>
    <w:semiHidden/>
    <w:unhideWhenUsed/>
    <w:rsid w:val="00204C8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657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B0657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06572"/>
    <w:rPr>
      <w:sz w:val="20"/>
      <w:szCs w:val="20"/>
    </w:rPr>
  </w:style>
  <w:style w:type="character" w:styleId="Refdenotaalpie">
    <w:name w:val="footnote reference"/>
    <w:basedOn w:val="Fuentedeprrafopredeter"/>
    <w:uiPriority w:val="99"/>
    <w:semiHidden/>
    <w:unhideWhenUsed/>
    <w:rsid w:val="00B06572"/>
    <w:rPr>
      <w:vertAlign w:val="superscript"/>
    </w:rPr>
  </w:style>
  <w:style w:type="paragraph" w:styleId="Prrafodelista">
    <w:name w:val="List Paragraph"/>
    <w:basedOn w:val="Normal"/>
    <w:uiPriority w:val="34"/>
    <w:qFormat/>
    <w:rsid w:val="00C873BC"/>
    <w:pPr>
      <w:ind w:left="720"/>
      <w:contextualSpacing/>
    </w:pPr>
  </w:style>
  <w:style w:type="character" w:styleId="Hipervnculo">
    <w:name w:val="Hyperlink"/>
    <w:basedOn w:val="Fuentedeprrafopredeter"/>
    <w:uiPriority w:val="99"/>
    <w:unhideWhenUsed/>
    <w:rsid w:val="00E679CF"/>
    <w:rPr>
      <w:color w:val="0000FF" w:themeColor="hyperlink"/>
      <w:u w:val="single"/>
    </w:rPr>
  </w:style>
  <w:style w:type="character" w:styleId="Textoennegrita">
    <w:name w:val="Strong"/>
    <w:basedOn w:val="Fuentedeprrafopredeter"/>
    <w:uiPriority w:val="22"/>
    <w:qFormat/>
    <w:rsid w:val="00192826"/>
    <w:rPr>
      <w:b/>
      <w:bCs/>
    </w:rPr>
  </w:style>
  <w:style w:type="character" w:customStyle="1" w:styleId="hide">
    <w:name w:val="hide"/>
    <w:basedOn w:val="Fuentedeprrafopredeter"/>
    <w:rsid w:val="00192826"/>
  </w:style>
  <w:style w:type="character" w:customStyle="1" w:styleId="titulo">
    <w:name w:val="titulo"/>
    <w:basedOn w:val="Fuentedeprrafopredeter"/>
    <w:rsid w:val="00F63B1E"/>
  </w:style>
  <w:style w:type="character" w:customStyle="1" w:styleId="separador">
    <w:name w:val="separador"/>
    <w:basedOn w:val="Fuentedeprrafopredeter"/>
    <w:rsid w:val="00F63B1E"/>
  </w:style>
  <w:style w:type="character" w:customStyle="1" w:styleId="subtitulo">
    <w:name w:val="subtitulo"/>
    <w:basedOn w:val="Fuentedeprrafopredeter"/>
    <w:rsid w:val="00F63B1E"/>
  </w:style>
  <w:style w:type="character" w:styleId="AcrnimoHTML">
    <w:name w:val="HTML Acronym"/>
    <w:basedOn w:val="Fuentedeprrafopredeter"/>
    <w:uiPriority w:val="99"/>
    <w:semiHidden/>
    <w:unhideWhenUsed/>
    <w:rsid w:val="000C5647"/>
  </w:style>
  <w:style w:type="character" w:customStyle="1" w:styleId="outputecliaff">
    <w:name w:val="outputecliaff"/>
    <w:rsid w:val="00A04A81"/>
  </w:style>
  <w:style w:type="paragraph" w:styleId="Encabezado">
    <w:name w:val="header"/>
    <w:basedOn w:val="Normal"/>
    <w:link w:val="EncabezadoCar"/>
    <w:uiPriority w:val="99"/>
    <w:unhideWhenUsed/>
    <w:rsid w:val="00D10461"/>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D10461"/>
  </w:style>
  <w:style w:type="paragraph" w:styleId="Piedepgina">
    <w:name w:val="footer"/>
    <w:basedOn w:val="Normal"/>
    <w:link w:val="PiedepginaCar"/>
    <w:uiPriority w:val="99"/>
    <w:unhideWhenUsed/>
    <w:rsid w:val="00D10461"/>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D10461"/>
  </w:style>
  <w:style w:type="paragraph" w:styleId="Textodeglobo">
    <w:name w:val="Balloon Text"/>
    <w:basedOn w:val="Normal"/>
    <w:link w:val="TextodegloboCar"/>
    <w:uiPriority w:val="99"/>
    <w:semiHidden/>
    <w:unhideWhenUsed/>
    <w:rsid w:val="002C1C8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C1C8B"/>
    <w:rPr>
      <w:rFonts w:ascii="Tahoma" w:hAnsi="Tahoma" w:cs="Tahoma"/>
      <w:sz w:val="16"/>
      <w:szCs w:val="16"/>
    </w:rPr>
  </w:style>
  <w:style w:type="character" w:styleId="Refdecomentario">
    <w:name w:val="annotation reference"/>
    <w:basedOn w:val="Fuentedeprrafopredeter"/>
    <w:uiPriority w:val="99"/>
    <w:semiHidden/>
    <w:unhideWhenUsed/>
    <w:rsid w:val="00426B4C"/>
    <w:rPr>
      <w:sz w:val="16"/>
      <w:szCs w:val="16"/>
    </w:rPr>
  </w:style>
  <w:style w:type="paragraph" w:styleId="Textocomentario">
    <w:name w:val="annotation text"/>
    <w:basedOn w:val="Normal"/>
    <w:link w:val="TextocomentarioCar"/>
    <w:uiPriority w:val="99"/>
    <w:semiHidden/>
    <w:unhideWhenUsed/>
    <w:rsid w:val="00426B4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26B4C"/>
    <w:rPr>
      <w:sz w:val="20"/>
      <w:szCs w:val="20"/>
    </w:rPr>
  </w:style>
  <w:style w:type="paragraph" w:styleId="Asuntodelcomentario">
    <w:name w:val="annotation subject"/>
    <w:basedOn w:val="Textocomentario"/>
    <w:next w:val="Textocomentario"/>
    <w:link w:val="AsuntodelcomentarioCar"/>
    <w:uiPriority w:val="99"/>
    <w:semiHidden/>
    <w:unhideWhenUsed/>
    <w:rsid w:val="00426B4C"/>
    <w:rPr>
      <w:b/>
      <w:bCs/>
    </w:rPr>
  </w:style>
  <w:style w:type="character" w:customStyle="1" w:styleId="AsuntodelcomentarioCar">
    <w:name w:val="Asunto del comentario Car"/>
    <w:basedOn w:val="TextocomentarioCar"/>
    <w:link w:val="Asuntodelcomentario"/>
    <w:uiPriority w:val="99"/>
    <w:semiHidden/>
    <w:rsid w:val="00426B4C"/>
    <w:rPr>
      <w:b/>
      <w:bCs/>
      <w:sz w:val="20"/>
      <w:szCs w:val="20"/>
    </w:rPr>
  </w:style>
  <w:style w:type="character" w:styleId="Hipervnculovisitado">
    <w:name w:val="FollowedHyperlink"/>
    <w:basedOn w:val="Fuentedeprrafopredeter"/>
    <w:uiPriority w:val="99"/>
    <w:semiHidden/>
    <w:unhideWhenUsed/>
    <w:rsid w:val="00204C8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397365">
      <w:bodyDiv w:val="1"/>
      <w:marLeft w:val="0"/>
      <w:marRight w:val="0"/>
      <w:marTop w:val="0"/>
      <w:marBottom w:val="0"/>
      <w:divBdr>
        <w:top w:val="none" w:sz="0" w:space="0" w:color="auto"/>
        <w:left w:val="none" w:sz="0" w:space="0" w:color="auto"/>
        <w:bottom w:val="none" w:sz="0" w:space="0" w:color="auto"/>
        <w:right w:val="none" w:sz="0" w:space="0" w:color="auto"/>
      </w:divBdr>
    </w:div>
    <w:div w:id="168721423">
      <w:bodyDiv w:val="1"/>
      <w:marLeft w:val="0"/>
      <w:marRight w:val="0"/>
      <w:marTop w:val="0"/>
      <w:marBottom w:val="0"/>
      <w:divBdr>
        <w:top w:val="none" w:sz="0" w:space="0" w:color="auto"/>
        <w:left w:val="none" w:sz="0" w:space="0" w:color="auto"/>
        <w:bottom w:val="none" w:sz="0" w:space="0" w:color="auto"/>
        <w:right w:val="none" w:sz="0" w:space="0" w:color="auto"/>
      </w:divBdr>
    </w:div>
    <w:div w:id="376122737">
      <w:bodyDiv w:val="1"/>
      <w:marLeft w:val="0"/>
      <w:marRight w:val="0"/>
      <w:marTop w:val="0"/>
      <w:marBottom w:val="0"/>
      <w:divBdr>
        <w:top w:val="none" w:sz="0" w:space="0" w:color="auto"/>
        <w:left w:val="none" w:sz="0" w:space="0" w:color="auto"/>
        <w:bottom w:val="none" w:sz="0" w:space="0" w:color="auto"/>
        <w:right w:val="none" w:sz="0" w:space="0" w:color="auto"/>
      </w:divBdr>
    </w:div>
    <w:div w:id="393240457">
      <w:bodyDiv w:val="1"/>
      <w:marLeft w:val="0"/>
      <w:marRight w:val="0"/>
      <w:marTop w:val="0"/>
      <w:marBottom w:val="0"/>
      <w:divBdr>
        <w:top w:val="none" w:sz="0" w:space="0" w:color="auto"/>
        <w:left w:val="none" w:sz="0" w:space="0" w:color="auto"/>
        <w:bottom w:val="none" w:sz="0" w:space="0" w:color="auto"/>
        <w:right w:val="none" w:sz="0" w:space="0" w:color="auto"/>
      </w:divBdr>
    </w:div>
    <w:div w:id="498422766">
      <w:bodyDiv w:val="1"/>
      <w:marLeft w:val="0"/>
      <w:marRight w:val="0"/>
      <w:marTop w:val="0"/>
      <w:marBottom w:val="0"/>
      <w:divBdr>
        <w:top w:val="none" w:sz="0" w:space="0" w:color="auto"/>
        <w:left w:val="none" w:sz="0" w:space="0" w:color="auto"/>
        <w:bottom w:val="none" w:sz="0" w:space="0" w:color="auto"/>
        <w:right w:val="none" w:sz="0" w:space="0" w:color="auto"/>
      </w:divBdr>
      <w:divsChild>
        <w:div w:id="557323200">
          <w:marLeft w:val="0"/>
          <w:marRight w:val="0"/>
          <w:marTop w:val="0"/>
          <w:marBottom w:val="0"/>
          <w:divBdr>
            <w:top w:val="none" w:sz="0" w:space="0" w:color="auto"/>
            <w:left w:val="none" w:sz="0" w:space="0" w:color="auto"/>
            <w:bottom w:val="none" w:sz="0" w:space="0" w:color="auto"/>
            <w:right w:val="none" w:sz="0" w:space="0" w:color="auto"/>
          </w:divBdr>
          <w:divsChild>
            <w:div w:id="1109399175">
              <w:marLeft w:val="0"/>
              <w:marRight w:val="0"/>
              <w:marTop w:val="0"/>
              <w:marBottom w:val="0"/>
              <w:divBdr>
                <w:top w:val="none" w:sz="0" w:space="0" w:color="auto"/>
                <w:left w:val="none" w:sz="0" w:space="0" w:color="auto"/>
                <w:bottom w:val="none" w:sz="0" w:space="0" w:color="auto"/>
                <w:right w:val="none" w:sz="0" w:space="0" w:color="auto"/>
              </w:divBdr>
            </w:div>
            <w:div w:id="89751618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918635590">
      <w:bodyDiv w:val="1"/>
      <w:marLeft w:val="0"/>
      <w:marRight w:val="0"/>
      <w:marTop w:val="0"/>
      <w:marBottom w:val="0"/>
      <w:divBdr>
        <w:top w:val="none" w:sz="0" w:space="0" w:color="auto"/>
        <w:left w:val="none" w:sz="0" w:space="0" w:color="auto"/>
        <w:bottom w:val="none" w:sz="0" w:space="0" w:color="auto"/>
        <w:right w:val="none" w:sz="0" w:space="0" w:color="auto"/>
      </w:divBdr>
    </w:div>
    <w:div w:id="945576741">
      <w:bodyDiv w:val="1"/>
      <w:marLeft w:val="0"/>
      <w:marRight w:val="0"/>
      <w:marTop w:val="0"/>
      <w:marBottom w:val="0"/>
      <w:divBdr>
        <w:top w:val="none" w:sz="0" w:space="0" w:color="auto"/>
        <w:left w:val="none" w:sz="0" w:space="0" w:color="auto"/>
        <w:bottom w:val="none" w:sz="0" w:space="0" w:color="auto"/>
        <w:right w:val="none" w:sz="0" w:space="0" w:color="auto"/>
      </w:divBdr>
    </w:div>
    <w:div w:id="989867103">
      <w:bodyDiv w:val="1"/>
      <w:marLeft w:val="0"/>
      <w:marRight w:val="0"/>
      <w:marTop w:val="0"/>
      <w:marBottom w:val="0"/>
      <w:divBdr>
        <w:top w:val="none" w:sz="0" w:space="0" w:color="auto"/>
        <w:left w:val="none" w:sz="0" w:space="0" w:color="auto"/>
        <w:bottom w:val="none" w:sz="0" w:space="0" w:color="auto"/>
        <w:right w:val="none" w:sz="0" w:space="0" w:color="auto"/>
      </w:divBdr>
    </w:div>
    <w:div w:id="1175455397">
      <w:bodyDiv w:val="1"/>
      <w:marLeft w:val="0"/>
      <w:marRight w:val="0"/>
      <w:marTop w:val="0"/>
      <w:marBottom w:val="0"/>
      <w:divBdr>
        <w:top w:val="none" w:sz="0" w:space="0" w:color="auto"/>
        <w:left w:val="none" w:sz="0" w:space="0" w:color="auto"/>
        <w:bottom w:val="none" w:sz="0" w:space="0" w:color="auto"/>
        <w:right w:val="none" w:sz="0" w:space="0" w:color="auto"/>
      </w:divBdr>
    </w:div>
    <w:div w:id="1176730254">
      <w:bodyDiv w:val="1"/>
      <w:marLeft w:val="0"/>
      <w:marRight w:val="0"/>
      <w:marTop w:val="0"/>
      <w:marBottom w:val="0"/>
      <w:divBdr>
        <w:top w:val="none" w:sz="0" w:space="0" w:color="auto"/>
        <w:left w:val="none" w:sz="0" w:space="0" w:color="auto"/>
        <w:bottom w:val="none" w:sz="0" w:space="0" w:color="auto"/>
        <w:right w:val="none" w:sz="0" w:space="0" w:color="auto"/>
      </w:divBdr>
    </w:div>
    <w:div w:id="1543056524">
      <w:bodyDiv w:val="1"/>
      <w:marLeft w:val="0"/>
      <w:marRight w:val="0"/>
      <w:marTop w:val="0"/>
      <w:marBottom w:val="0"/>
      <w:divBdr>
        <w:top w:val="none" w:sz="0" w:space="0" w:color="auto"/>
        <w:left w:val="none" w:sz="0" w:space="0" w:color="auto"/>
        <w:bottom w:val="none" w:sz="0" w:space="0" w:color="auto"/>
        <w:right w:val="none" w:sz="0" w:space="0" w:color="auto"/>
      </w:divBdr>
    </w:div>
    <w:div w:id="1776749329">
      <w:bodyDiv w:val="1"/>
      <w:marLeft w:val="0"/>
      <w:marRight w:val="0"/>
      <w:marTop w:val="0"/>
      <w:marBottom w:val="0"/>
      <w:divBdr>
        <w:top w:val="none" w:sz="0" w:space="0" w:color="auto"/>
        <w:left w:val="none" w:sz="0" w:space="0" w:color="auto"/>
        <w:bottom w:val="none" w:sz="0" w:space="0" w:color="auto"/>
        <w:right w:val="none" w:sz="0" w:space="0" w:color="auto"/>
      </w:divBdr>
    </w:div>
    <w:div w:id="1976983408">
      <w:bodyDiv w:val="1"/>
      <w:marLeft w:val="0"/>
      <w:marRight w:val="0"/>
      <w:marTop w:val="0"/>
      <w:marBottom w:val="0"/>
      <w:divBdr>
        <w:top w:val="none" w:sz="0" w:space="0" w:color="auto"/>
        <w:left w:val="none" w:sz="0" w:space="0" w:color="auto"/>
        <w:bottom w:val="none" w:sz="0" w:space="0" w:color="auto"/>
        <w:right w:val="none" w:sz="0" w:space="0" w:color="auto"/>
      </w:divBdr>
    </w:div>
    <w:div w:id="2120489518">
      <w:bodyDiv w:val="1"/>
      <w:marLeft w:val="0"/>
      <w:marRight w:val="0"/>
      <w:marTop w:val="0"/>
      <w:marBottom w:val="0"/>
      <w:divBdr>
        <w:top w:val="none" w:sz="0" w:space="0" w:color="auto"/>
        <w:left w:val="none" w:sz="0" w:space="0" w:color="auto"/>
        <w:bottom w:val="none" w:sz="0" w:space="0" w:color="auto"/>
        <w:right w:val="none" w:sz="0" w:space="0" w:color="auto"/>
      </w:divBdr>
      <w:divsChild>
        <w:div w:id="600722593">
          <w:marLeft w:val="0"/>
          <w:marRight w:val="0"/>
          <w:marTop w:val="0"/>
          <w:marBottom w:val="0"/>
          <w:divBdr>
            <w:top w:val="none" w:sz="0" w:space="0" w:color="auto"/>
            <w:left w:val="none" w:sz="0" w:space="0" w:color="auto"/>
            <w:bottom w:val="none" w:sz="0" w:space="0" w:color="auto"/>
            <w:right w:val="none" w:sz="0" w:space="0" w:color="auto"/>
          </w:divBdr>
        </w:div>
        <w:div w:id="1818063673">
          <w:marLeft w:val="0"/>
          <w:marRight w:val="0"/>
          <w:marTop w:val="0"/>
          <w:marBottom w:val="120"/>
          <w:divBdr>
            <w:top w:val="none" w:sz="0" w:space="0" w:color="auto"/>
            <w:left w:val="none" w:sz="0" w:space="0" w:color="auto"/>
            <w:bottom w:val="none" w:sz="0" w:space="0" w:color="auto"/>
            <w:right w:val="none" w:sz="0" w:space="0" w:color="auto"/>
          </w:divBdr>
        </w:div>
      </w:divsChild>
    </w:div>
    <w:div w:id="2127310129">
      <w:bodyDiv w:val="1"/>
      <w:marLeft w:val="0"/>
      <w:marRight w:val="0"/>
      <w:marTop w:val="0"/>
      <w:marBottom w:val="0"/>
      <w:divBdr>
        <w:top w:val="none" w:sz="0" w:space="0" w:color="auto"/>
        <w:left w:val="none" w:sz="0" w:space="0" w:color="auto"/>
        <w:bottom w:val="none" w:sz="0" w:space="0" w:color="auto"/>
        <w:right w:val="none" w:sz="0" w:space="0" w:color="auto"/>
      </w:divBdr>
    </w:div>
    <w:div w:id="2143036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fidh.org/IMG/pdf/hungary_democracy_under_threat.pdf" TargetMode="External"/><Relationship Id="rId18" Type="http://schemas.openxmlformats.org/officeDocument/2006/relationships/hyperlink" Target="https://verfassungsblog.de/provisional-and-extraordinary-measures-in-the-name-of-the-rule-of-law/" TargetMode="External"/><Relationship Id="rId3" Type="http://schemas.openxmlformats.org/officeDocument/2006/relationships/styles" Target="styles.xml"/><Relationship Id="rId21" Type="http://schemas.openxmlformats.org/officeDocument/2006/relationships/hyperlink" Target="https://www.kluwerlawonline.com/document.php?id=COLA2012018" TargetMode="External"/><Relationship Id="rId7" Type="http://schemas.openxmlformats.org/officeDocument/2006/relationships/footnotes" Target="footnotes.xml"/><Relationship Id="rId12" Type="http://schemas.openxmlformats.org/officeDocument/2006/relationships/hyperlink" Target="https://www.opensocietyfoundations.org/" TargetMode="External"/><Relationship Id="rId17" Type="http://schemas.openxmlformats.org/officeDocument/2006/relationships/hyperlink" Target="https://www.unioviedo.es/constitucional/fundamentos/Portada.htm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jeanmonnetprogram.org/" TargetMode="External"/><Relationship Id="rId20" Type="http://schemas.openxmlformats.org/officeDocument/2006/relationships/hyperlink" Target="https://verfassungsblog.de/the-commission-takes-a-step-back-in-the-fight-for-the-rule-of-law/"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undacionmgimenezabad.es/index.php?option=com_content&amp;view=category&amp;layout=blog&amp;id=302&amp;Itemid=100916"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eulawanalysis.blogspot.com/2018/03/rule-of-law-backsliding-in-eu-court-of.html" TargetMode="External"/><Relationship Id="rId23" Type="http://schemas.openxmlformats.org/officeDocument/2006/relationships/hyperlink" Target="https://jeanmonnetprogram.org/archive/papers/00/001001.html" TargetMode="External"/><Relationship Id="rId10" Type="http://schemas.openxmlformats.org/officeDocument/2006/relationships/hyperlink" Target="https://dialnet.unirioja.es/servlet/revista?codigo=19613" TargetMode="External"/><Relationship Id="rId19" Type="http://schemas.openxmlformats.org/officeDocument/2006/relationships/hyperlink" Target="http://eulawanalysis.blogspot.com/2018/08/the-cjeu-and-rule-of-law-in-poland-note.html" TargetMode="External"/><Relationship Id="rId4" Type="http://schemas.microsoft.com/office/2007/relationships/stylesWithEffects" Target="stylesWithEffects.xml"/><Relationship Id="rId9" Type="http://schemas.openxmlformats.org/officeDocument/2006/relationships/hyperlink" Target="https://jeanmonnetprogram.org/" TargetMode="External"/><Relationship Id="rId14" Type="http://schemas.openxmlformats.org/officeDocument/2006/relationships/hyperlink" Target="http://hdl.handle.net/11245/1.412682" TargetMode="External"/><Relationship Id="rId22" Type="http://schemas.openxmlformats.org/officeDocument/2006/relationships/hyperlink" Target="https://doi.org/10.2307/796898"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europarl.europa.eu/news/es/press-room/20180906IPR12104/estado-de-derecho-en-hungria-el-parlamento-pide-a-la-ue-que-actue" TargetMode="External"/><Relationship Id="rId1" Type="http://schemas.openxmlformats.org/officeDocument/2006/relationships/hyperlink" Target="https://ec.europa.eu/info/publications/annual-reports-monitoring-application-eu-law_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4375BB-5F60-4873-ADF2-912856823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13374</Words>
  <Characters>73557</Characters>
  <Application>Microsoft Office Word</Application>
  <DocSecurity>0</DocSecurity>
  <Lines>612</Lines>
  <Paragraphs>173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LinksUpToDate>false</LinksUpToDate>
  <CharactersWithSpaces>86758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2018-09-23T15:03:00Z</dcterms:created>
  <dcterms:modified xsi:type="dcterms:W3CDTF">2018-09-24T11:05:00Z</dcterms:modified>
</cp:coreProperties>
</file>