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49" w:rsidRDefault="00A16C49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199B">
        <w:rPr>
          <w:rFonts w:ascii="Times New Roman" w:hAnsi="Times New Roman" w:cs="Times New Roman"/>
          <w:sz w:val="24"/>
          <w:szCs w:val="24"/>
        </w:rPr>
        <w:t>Opinião dos estudantes perante o tipo de maus-tratos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A16C49" w:rsidRPr="00A16C49" w:rsidTr="00505C75"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Discordo fortemente</w:t>
            </w:r>
          </w:p>
        </w:tc>
        <w:tc>
          <w:tcPr>
            <w:tcW w:w="1213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Nem concordo nem discordo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Concordo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Concordo fortemente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Negligência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Negligência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física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sexual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7A0A">
              <w:rPr>
                <w:sz w:val="20"/>
                <w:szCs w:val="20"/>
                <w:highlight w:val="cyan"/>
              </w:rPr>
              <w:t>2.5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7112B" w:rsidRDefault="0097112B"/>
    <w:p w:rsidR="00C354D2" w:rsidRDefault="00C354D2">
      <w:bookmarkStart w:id="0" w:name="_GoBack"/>
      <w:bookmarkEnd w:id="0"/>
    </w:p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2</w:t>
      </w:r>
      <w:r w:rsidR="00505C75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Avaliação do risco para a criança, caso fique em casa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505C75" w:rsidRPr="00A16C49" w:rsidTr="00505C7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Sem risco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baixo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moderado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elevado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muito elevado</w:t>
            </w:r>
          </w:p>
        </w:tc>
      </w:tr>
      <w:tr w:rsidR="00924E97" w:rsidRPr="00A16C49" w:rsidTr="00681ECB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924E97" w:rsidRPr="00A16C49" w:rsidTr="00681ECB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924E97" w:rsidRPr="00A16C49" w:rsidTr="005668B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924E97" w:rsidRPr="00A16C49" w:rsidTr="005668B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</w:t>
            </w:r>
          </w:p>
        </w:tc>
      </w:tr>
    </w:tbl>
    <w:p w:rsidR="00C354D2" w:rsidRDefault="00C354D2" w:rsidP="00C35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4D2" w:rsidRPr="00D00800" w:rsidRDefault="00C354D2" w:rsidP="00FF6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653"/>
        <w:tblW w:w="7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770"/>
        <w:gridCol w:w="595"/>
      </w:tblGrid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Mãe contesta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</w:t>
            </w:r>
            <w:proofErr w:type="gramEnd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retirada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Mãe não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contesta</w:t>
            </w:r>
            <w:proofErr w:type="gramEnd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a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retirada</w:t>
            </w:r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indireta por meio de outros profissionais que já estão em contacto com a criança ou o jovem.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4.5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direta no âmbito do serviço social sem disponibilizar serviços adicionais.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direta no âmbito do serviço social, disponibilizando serviços adicionais.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Colocação da criança ou jovem numa família de acolhimento, de forma voluntária.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Colocação da criança ou jovem numa família de acolhimento, na sequência de uma ordem do tribunal.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17.5</w:t>
            </w:r>
          </w:p>
        </w:tc>
      </w:tr>
      <w:tr w:rsidR="00F663B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sym w:font="Symbol" w:char="F063"/>
            </w:r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63B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&lt; 0.</w:t>
            </w:r>
            <w:proofErr w:type="gramEnd"/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&lt; 0.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FF6C9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3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 de intervenção recomendado</w:t>
      </w: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Avaliação do risco para a criança, caso regresse a casa ao fim de 2 anos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924E97" w:rsidRPr="00A16C49" w:rsidTr="00AA628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Sem risco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baixo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moderado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elevado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muito elevado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24.5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42.5</w:t>
            </w:r>
          </w:p>
        </w:tc>
      </w:tr>
    </w:tbl>
    <w:p w:rsidR="00C354D2" w:rsidRDefault="00C354D2"/>
    <w:p w:rsidR="00C354D2" w:rsidRDefault="00C354D2"/>
    <w:p w:rsidR="00C354D2" w:rsidRPr="000F695C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 de intervenção proposto ao fim de 2 anos</w:t>
      </w:r>
    </w:p>
    <w:tbl>
      <w:tblPr>
        <w:tblW w:w="8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601"/>
        <w:gridCol w:w="595"/>
      </w:tblGrid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criança não tem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interesse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 voltar à</w:t>
            </w:r>
          </w:p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sua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família biológica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criança tem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interesse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 voltar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à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sua família</w:t>
            </w:r>
          </w:p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biológica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B806EE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Reunificação da criança com a família biológica, enquanto se continua a trabalhar com a família de acolhimento, a família biológica e a criança.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492671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11.5</w:t>
            </w:r>
          </w:p>
        </w:tc>
      </w:tr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Manter a criança ou jovem com a sua família de acolhimento, enquanto se continua a trabalhar com a família de acolhimento, a família biológica e a criança.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492671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88.5</w:t>
            </w:r>
          </w:p>
        </w:tc>
      </w:tr>
    </w:tbl>
    <w:p w:rsidR="00C354D2" w:rsidRDefault="00FF6C92">
      <w:r>
        <w:rPr>
          <w:rFonts w:ascii="Calibri" w:eastAsia="Times New Roman" w:hAnsi="Calibri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  <w:r w:rsidRPr="00F663B5">
        <w:rPr>
          <w:rFonts w:ascii="Calibri" w:eastAsia="Times New Roman" w:hAnsi="Calibri" w:cs="Times New Roman"/>
          <w:i/>
          <w:color w:val="000000"/>
          <w:sz w:val="18"/>
          <w:szCs w:val="18"/>
        </w:rPr>
        <w:sym w:font="Symbol" w:char="F063"/>
      </w:r>
      <w:r w:rsidRPr="00F663B5">
        <w:rPr>
          <w:rFonts w:ascii="Calibri" w:eastAsia="Times New Roman" w:hAnsi="Calibri" w:cs="Times New Roman"/>
          <w:i/>
          <w:color w:val="000000"/>
          <w:sz w:val="18"/>
          <w:szCs w:val="18"/>
          <w:vertAlign w:val="superscript"/>
        </w:rPr>
        <w:t>2</w:t>
      </w: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18"/>
          <w:szCs w:val="18"/>
        </w:rPr>
        <w:t>independência</w:t>
      </w:r>
      <w:proofErr w:type="gram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= 11.054 (p &lt; 0.01)</w:t>
      </w:r>
    </w:p>
    <w:p w:rsidR="00FF6C92" w:rsidRDefault="00FF6C92" w:rsidP="00C354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6</w:t>
      </w:r>
      <w:r w:rsidR="00492671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Tipos de intervenção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199B">
        <w:rPr>
          <w:rFonts w:ascii="Times New Roman" w:hAnsi="Times New Roman" w:cs="Times New Roman"/>
          <w:sz w:val="24"/>
          <w:szCs w:val="24"/>
        </w:rPr>
        <w:t xml:space="preserve"> no início e ao fim de 2 anos</w:t>
      </w:r>
    </w:p>
    <w:tbl>
      <w:tblPr>
        <w:tblpPr w:leftFromText="141" w:rightFromText="141" w:vertAnchor="text" w:horzAnchor="margin" w:tblpY="37"/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42"/>
        <w:gridCol w:w="2126"/>
        <w:gridCol w:w="1985"/>
        <w:gridCol w:w="612"/>
      </w:tblGrid>
      <w:tr w:rsidR="00B806EE" w:rsidRPr="00B806EE" w:rsidTr="00FC0684">
        <w:trPr>
          <w:trHeight w:val="30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Reunificação da criança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biológica,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enquanto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se continua 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trabalhar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com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de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acolhimento,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Manter a criança </w:t>
            </w: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sua família de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, enquanto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se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continua a trabalhar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de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,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indireta por meio de outros profissionais que já estão em contacto com a criança ou o jovem.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4.5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 sem disponibilizar serviços adicionais.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social, disponibilizando serviços adicionais.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</w:tr>
      <w:tr w:rsidR="00FC0684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de forma voluntária.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54</w:t>
            </w:r>
          </w:p>
        </w:tc>
      </w:tr>
      <w:tr w:rsidR="00FC0684" w:rsidRPr="00B806EE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</w:tr>
      <w:tr w:rsidR="00FC0684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na sequência de uma ordem do tribunal.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35</w:t>
            </w:r>
          </w:p>
        </w:tc>
      </w:tr>
      <w:tr w:rsidR="00FC0684" w:rsidRPr="00B806EE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17.5</w:t>
            </w:r>
          </w:p>
        </w:tc>
      </w:tr>
    </w:tbl>
    <w:p w:rsidR="00C354D2" w:rsidRDefault="00FF6C92">
      <w:r>
        <w:rPr>
          <w:rFonts w:eastAsia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Teste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Wilcoxon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>: z = -12.</w:t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>337   ;    p</w:t>
      </w:r>
      <w:proofErr w:type="gramEnd"/>
      <w:r>
        <w:rPr>
          <w:rFonts w:eastAsia="Times New Roman" w:cs="Times New Roman"/>
          <w:color w:val="000000"/>
          <w:sz w:val="18"/>
          <w:szCs w:val="18"/>
        </w:rPr>
        <w:t xml:space="preserve"> &lt; 0.001</w:t>
      </w:r>
    </w:p>
    <w:sectPr w:rsidR="00C35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2"/>
    <w:rsid w:val="00461757"/>
    <w:rsid w:val="00492671"/>
    <w:rsid w:val="00505C75"/>
    <w:rsid w:val="007C0CFD"/>
    <w:rsid w:val="00924E97"/>
    <w:rsid w:val="0097112B"/>
    <w:rsid w:val="00A16C49"/>
    <w:rsid w:val="00B806EE"/>
    <w:rsid w:val="00C354D2"/>
    <w:rsid w:val="00C87A0A"/>
    <w:rsid w:val="00F663B5"/>
    <w:rsid w:val="00FC068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989C1-A78B-42FC-AB6D-5DF4B3F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D2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3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54D2"/>
    <w:rPr>
      <w:rFonts w:ascii="Segoe UI" w:eastAsiaTheme="minorEastAsia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39"/>
    <w:rsid w:val="00A1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Universitário da Maia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Manuel da Silva Carvalho</dc:creator>
  <cp:keywords/>
  <dc:description/>
  <cp:lastModifiedBy>João Manuel da Silva Carvalho</cp:lastModifiedBy>
  <cp:revision>2</cp:revision>
  <dcterms:created xsi:type="dcterms:W3CDTF">2015-07-23T21:05:00Z</dcterms:created>
  <dcterms:modified xsi:type="dcterms:W3CDTF">2015-07-23T21:05:00Z</dcterms:modified>
</cp:coreProperties>
</file>