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99" w:rsidRPr="00F206C7" w:rsidRDefault="00E92899" w:rsidP="00E928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6416" w:type="dxa"/>
        <w:jc w:val="center"/>
        <w:tblBorders>
          <w:top w:val="single" w:sz="8" w:space="0" w:color="000000"/>
          <w:bottom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51"/>
        <w:gridCol w:w="1204"/>
        <w:gridCol w:w="1205"/>
        <w:gridCol w:w="1205"/>
      </w:tblGrid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4"/>
                <w:szCs w:val="24"/>
              </w:rPr>
            </w:pPr>
          </w:p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b/>
                <w:bCs/>
                <w:sz w:val="14"/>
                <w:szCs w:val="24"/>
              </w:rPr>
              <w:t>TOTAL JÓVENES</w:t>
            </w:r>
          </w:p>
        </w:tc>
        <w:tc>
          <w:tcPr>
            <w:tcW w:w="361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b/>
                <w:bCs/>
                <w:sz w:val="14"/>
                <w:szCs w:val="24"/>
              </w:rPr>
              <w:t>SEGÚN EL LUGAR DE NACIMIENTO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</w:p>
        </w:tc>
        <w:tc>
          <w:tcPr>
            <w:tcW w:w="851" w:type="dxa"/>
            <w:vMerge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b/>
                <w:bCs/>
                <w:sz w:val="14"/>
                <w:szCs w:val="24"/>
              </w:rPr>
              <w:t>Cataluña</w:t>
            </w:r>
          </w:p>
        </w:tc>
        <w:tc>
          <w:tcPr>
            <w:tcW w:w="1205" w:type="dxa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b/>
                <w:bCs/>
                <w:sz w:val="14"/>
                <w:szCs w:val="24"/>
              </w:rPr>
              <w:t>Resto de España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b/>
                <w:bCs/>
                <w:sz w:val="14"/>
                <w:szCs w:val="24"/>
              </w:rPr>
              <w:t>Otros países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La lengua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77,1%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81,2%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75,4%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65,1%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Las instituciones</w:t>
            </w:r>
          </w:p>
        </w:tc>
        <w:tc>
          <w:tcPr>
            <w:tcW w:w="851" w:type="dxa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31,8%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32,6%</w:t>
            </w:r>
          </w:p>
        </w:tc>
        <w:tc>
          <w:tcPr>
            <w:tcW w:w="1205" w:type="dxa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29,4%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29,8%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Tener amistades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53,6%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54,4%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57,9%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50,7%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Normas y costumbres</w:t>
            </w:r>
          </w:p>
        </w:tc>
        <w:tc>
          <w:tcPr>
            <w:tcW w:w="851" w:type="dxa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54,8%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60,8%</w:t>
            </w:r>
          </w:p>
        </w:tc>
        <w:tc>
          <w:tcPr>
            <w:tcW w:w="1205" w:type="dxa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41,3%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38,6%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Participar en asociaciones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19,5%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19,1%</w:t>
            </w:r>
          </w:p>
        </w:tc>
        <w:tc>
          <w:tcPr>
            <w:tcW w:w="1205" w:type="dxa"/>
            <w:tcBorders>
              <w:left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14,3%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21,1%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Solucionar problemas</w:t>
            </w:r>
          </w:p>
        </w:tc>
        <w:tc>
          <w:tcPr>
            <w:tcW w:w="851" w:type="dxa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23,1%</w:t>
            </w:r>
          </w:p>
        </w:tc>
        <w:tc>
          <w:tcPr>
            <w:tcW w:w="1204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23,2%</w:t>
            </w:r>
          </w:p>
        </w:tc>
        <w:tc>
          <w:tcPr>
            <w:tcW w:w="1205" w:type="dxa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24,6%</w:t>
            </w: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22,3%</w:t>
            </w:r>
          </w:p>
        </w:tc>
      </w:tr>
      <w:tr w:rsidR="00E92899" w:rsidRPr="006339C8" w:rsidTr="00601903">
        <w:trPr>
          <w:trHeight w:val="227"/>
          <w:jc w:val="center"/>
        </w:trPr>
        <w:tc>
          <w:tcPr>
            <w:tcW w:w="19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 xml:space="preserve">Ser respetado </w:t>
            </w:r>
          </w:p>
        </w:tc>
        <w:tc>
          <w:tcPr>
            <w:tcW w:w="8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59,6%</w:t>
            </w:r>
          </w:p>
        </w:tc>
        <w:tc>
          <w:tcPr>
            <w:tcW w:w="1204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61,4%</w:t>
            </w:r>
          </w:p>
        </w:tc>
        <w:tc>
          <w:tcPr>
            <w:tcW w:w="1205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55,6%</w:t>
            </w:r>
          </w:p>
        </w:tc>
        <w:tc>
          <w:tcPr>
            <w:tcW w:w="1205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E92899" w:rsidRPr="006339C8" w:rsidRDefault="00E92899" w:rsidP="0060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sz w:val="14"/>
                <w:szCs w:val="24"/>
              </w:rPr>
            </w:pPr>
            <w:r w:rsidRPr="006339C8">
              <w:rPr>
                <w:rFonts w:ascii="Arial Narrow" w:hAnsi="Arial Narrow" w:cs="Arial Narrow"/>
                <w:sz w:val="14"/>
                <w:szCs w:val="24"/>
              </w:rPr>
              <w:t>54,6%</w:t>
            </w:r>
          </w:p>
        </w:tc>
      </w:tr>
    </w:tbl>
    <w:p w:rsidR="00E92899" w:rsidRPr="000F1ABC" w:rsidRDefault="00E92899" w:rsidP="00E9289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F1ABC">
        <w:rPr>
          <w:rFonts w:ascii="Times New Roman" w:hAnsi="Times New Roman" w:cs="Times New Roman"/>
          <w:szCs w:val="24"/>
        </w:rPr>
        <w:t>Tabla 3. Identidad cívico-cultural y lugar de nacimiento</w:t>
      </w:r>
    </w:p>
    <w:p w:rsidR="00415C67" w:rsidRDefault="00422419"/>
    <w:sectPr w:rsidR="00415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19" w:rsidRDefault="00422419" w:rsidP="00A8246F">
      <w:pPr>
        <w:spacing w:after="0" w:line="240" w:lineRule="auto"/>
      </w:pPr>
      <w:r>
        <w:separator/>
      </w:r>
    </w:p>
  </w:endnote>
  <w:endnote w:type="continuationSeparator" w:id="0">
    <w:p w:rsidR="00422419" w:rsidRDefault="00422419" w:rsidP="00A8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6F" w:rsidRDefault="00A824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6F" w:rsidRDefault="00A8246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6F" w:rsidRDefault="00A824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19" w:rsidRDefault="00422419" w:rsidP="00A8246F">
      <w:pPr>
        <w:spacing w:after="0" w:line="240" w:lineRule="auto"/>
      </w:pPr>
      <w:r>
        <w:separator/>
      </w:r>
    </w:p>
  </w:footnote>
  <w:footnote w:type="continuationSeparator" w:id="0">
    <w:p w:rsidR="00422419" w:rsidRDefault="00422419" w:rsidP="00A82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6F" w:rsidRDefault="00A824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6F" w:rsidRDefault="00A824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6F" w:rsidRDefault="00A824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99"/>
    <w:rsid w:val="00422419"/>
    <w:rsid w:val="0080554F"/>
    <w:rsid w:val="00A8246F"/>
    <w:rsid w:val="00E7260A"/>
    <w:rsid w:val="00E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99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46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46F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99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46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82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46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2014-05-25T23:00:00Z</dcterms:created>
  <dcterms:modified xsi:type="dcterms:W3CDTF">2014-05-25T23:00:00Z</dcterms:modified>
</cp:coreProperties>
</file>