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6"/>
        <w:gridCol w:w="4356"/>
      </w:tblGrid>
      <w:tr w:rsidR="00FD15A9" w:rsidRPr="008C2A9B" w:rsidTr="006A5A33">
        <w:trPr>
          <w:jc w:val="center"/>
        </w:trPr>
        <w:tc>
          <w:tcPr>
            <w:tcW w:w="4256" w:type="dxa"/>
            <w:shd w:val="clear" w:color="auto" w:fill="D9D9D9"/>
          </w:tcPr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s"/>
              </w:rPr>
            </w:pPr>
            <w:r w:rsidRPr="004834E9">
              <w:rPr>
                <w:b/>
                <w:bCs/>
                <w:lang w:val="es"/>
              </w:rPr>
              <w:t>Normativa Vial: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s"/>
              </w:rPr>
            </w:pPr>
            <w:r w:rsidRPr="004834E9">
              <w:rPr>
                <w:b/>
                <w:bCs/>
                <w:lang w:val="es"/>
              </w:rPr>
              <w:t>legislación y causas de multas</w:t>
            </w:r>
          </w:p>
        </w:tc>
        <w:tc>
          <w:tcPr>
            <w:tcW w:w="4356" w:type="dxa"/>
            <w:shd w:val="clear" w:color="auto" w:fill="D9D9D9"/>
          </w:tcPr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s"/>
              </w:rPr>
            </w:pPr>
            <w:r w:rsidRPr="004834E9">
              <w:rPr>
                <w:b/>
                <w:bCs/>
              </w:rPr>
              <w:t>Conducción: vehículos y peatones, prevención y mantenimiento</w:t>
            </w:r>
          </w:p>
        </w:tc>
      </w:tr>
      <w:tr w:rsidR="00FD15A9" w:rsidRPr="008C2A9B" w:rsidTr="006A5A33">
        <w:trPr>
          <w:jc w:val="center"/>
        </w:trPr>
        <w:tc>
          <w:tcPr>
            <w:tcW w:w="4256" w:type="dxa"/>
          </w:tcPr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rPr>
                <w:lang w:val="es"/>
              </w:rPr>
            </w:pPr>
            <w:r w:rsidRPr="004834E9">
              <w:rPr>
                <w:lang w:val="es"/>
              </w:rPr>
              <w:t>Señales y órdenes de los agentes de circulación.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lang w:val="es"/>
              </w:rPr>
            </w:pPr>
            <w:r w:rsidRPr="004834E9">
              <w:rPr>
                <w:lang w:val="es"/>
              </w:rPr>
              <w:t>Semáforos, señales verticales, señales de reglamentación, señales de indicación, marcas viales.</w:t>
            </w:r>
          </w:p>
        </w:tc>
        <w:tc>
          <w:tcPr>
            <w:tcW w:w="4356" w:type="dxa"/>
          </w:tcPr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rPr>
                <w:lang w:val="es"/>
              </w:rPr>
            </w:pPr>
            <w:r w:rsidRPr="004834E9">
              <w:rPr>
                <w:lang w:val="es"/>
              </w:rPr>
              <w:t>Normas generales de comportamiento respecto a los ciclistas y peatones.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rPr>
                <w:lang w:val="es"/>
              </w:rPr>
            </w:pPr>
            <w:r w:rsidRPr="004834E9">
              <w:rPr>
                <w:lang w:val="es"/>
              </w:rPr>
              <w:t>Normas generales y prioridad de paso ciclistas.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lang w:val="es"/>
              </w:rPr>
            </w:pPr>
            <w:r w:rsidRPr="004834E9">
              <w:rPr>
                <w:lang w:val="es"/>
              </w:rPr>
              <w:t>Prioridad de paso de los conductores sobre peatones.</w:t>
            </w:r>
          </w:p>
        </w:tc>
      </w:tr>
      <w:tr w:rsidR="00FD15A9" w:rsidRPr="008C2A9B" w:rsidTr="006A5A33">
        <w:trPr>
          <w:jc w:val="center"/>
        </w:trPr>
        <w:tc>
          <w:tcPr>
            <w:tcW w:w="4256" w:type="dxa"/>
            <w:shd w:val="clear" w:color="auto" w:fill="D9D9D9"/>
          </w:tcPr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4834E9">
              <w:rPr>
                <w:b/>
                <w:bCs/>
              </w:rPr>
              <w:t xml:space="preserve">Consecuencias: 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es"/>
              </w:rPr>
            </w:pPr>
            <w:r w:rsidRPr="004834E9">
              <w:rPr>
                <w:b/>
                <w:bCs/>
              </w:rPr>
              <w:t>salud y seguridad</w:t>
            </w:r>
          </w:p>
        </w:tc>
        <w:tc>
          <w:tcPr>
            <w:tcW w:w="4356" w:type="dxa"/>
            <w:shd w:val="clear" w:color="auto" w:fill="D9D9D9"/>
          </w:tcPr>
          <w:p w:rsidR="00FD15A9" w:rsidRPr="004834E9" w:rsidRDefault="00FD15A9" w:rsidP="006A5A33">
            <w:pPr>
              <w:tabs>
                <w:tab w:val="left" w:pos="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</w:rPr>
            </w:pPr>
            <w:r w:rsidRPr="004834E9">
              <w:rPr>
                <w:b/>
                <w:bCs/>
              </w:rPr>
              <w:t>El entorno:</w:t>
            </w:r>
          </w:p>
          <w:p w:rsidR="00FD15A9" w:rsidRPr="004834E9" w:rsidRDefault="00FD15A9" w:rsidP="006A5A33">
            <w:pPr>
              <w:tabs>
                <w:tab w:val="left" w:pos="93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lang w:val="es"/>
              </w:rPr>
            </w:pPr>
            <w:r w:rsidRPr="004834E9">
              <w:rPr>
                <w:b/>
                <w:bCs/>
              </w:rPr>
              <w:t>medioambiente y ahorro</w:t>
            </w:r>
          </w:p>
        </w:tc>
      </w:tr>
      <w:tr w:rsidR="00FD15A9" w:rsidRPr="008C2A9B" w:rsidTr="006A5A33">
        <w:trPr>
          <w:jc w:val="center"/>
        </w:trPr>
        <w:tc>
          <w:tcPr>
            <w:tcW w:w="4256" w:type="dxa"/>
          </w:tcPr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</w:pPr>
            <w:r w:rsidRPr="004834E9">
              <w:t>Normas generales de comportamiento.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</w:pPr>
            <w:r w:rsidRPr="004834E9">
              <w:t>Normas sobre bebidas alcohólicas.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</w:pPr>
            <w:r w:rsidRPr="004834E9">
              <w:t>Normas sobre estupefacientes, psicotrópicos, estimulantes u otras sustancias análogas.</w:t>
            </w:r>
          </w:p>
        </w:tc>
        <w:tc>
          <w:tcPr>
            <w:tcW w:w="4356" w:type="dxa"/>
          </w:tcPr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</w:pPr>
            <w:r w:rsidRPr="004834E9">
              <w:t>Conducción económica.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</w:pPr>
            <w:r w:rsidRPr="004834E9">
              <w:t>Transportes alternativos.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</w:pPr>
            <w:r w:rsidRPr="004834E9">
              <w:t>Transportes colectivos.</w:t>
            </w:r>
          </w:p>
          <w:p w:rsidR="00FD15A9" w:rsidRPr="004834E9" w:rsidRDefault="00FD15A9" w:rsidP="006A5A33">
            <w:pPr>
              <w:autoSpaceDE w:val="0"/>
              <w:autoSpaceDN w:val="0"/>
              <w:adjustRightInd w:val="0"/>
              <w:spacing w:line="360" w:lineRule="auto"/>
            </w:pPr>
            <w:r w:rsidRPr="004834E9">
              <w:t>Contaminación acústica.</w:t>
            </w:r>
          </w:p>
        </w:tc>
      </w:tr>
    </w:tbl>
    <w:p w:rsidR="003B4260" w:rsidRDefault="003B4260">
      <w:bookmarkStart w:id="0" w:name="_GoBack"/>
      <w:bookmarkEnd w:id="0"/>
    </w:p>
    <w:sectPr w:rsidR="003B4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0F"/>
    <w:rsid w:val="0005636B"/>
    <w:rsid w:val="003B4260"/>
    <w:rsid w:val="0046090F"/>
    <w:rsid w:val="00DF1FEA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636B"/>
    <w:pPr>
      <w:ind w:left="720"/>
      <w:contextualSpacing/>
      <w:jc w:val="both"/>
    </w:pPr>
    <w:rPr>
      <w:rFonts w:asciiTheme="majorHAnsi" w:eastAsiaTheme="minorHAnsi" w:hAnsiTheme="majorHAnsi" w:cstheme="minorBidi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05636B"/>
    <w:pPr>
      <w:jc w:val="both"/>
    </w:pPr>
    <w:rPr>
      <w:rFonts w:asciiTheme="majorHAnsi" w:eastAsiaTheme="minorHAnsi" w:hAnsiTheme="majorHAnsi" w:cstheme="minorBidi"/>
      <w:i/>
      <w:iCs/>
      <w:color w:val="000000" w:themeColor="text1"/>
      <w:szCs w:val="22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05636B"/>
    <w:rPr>
      <w:rFonts w:asciiTheme="majorHAnsi" w:hAnsiTheme="majorHAnsi"/>
      <w:i/>
      <w:iCs/>
      <w:color w:val="000000" w:themeColor="text1"/>
      <w:sz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636B"/>
    <w:pPr>
      <w:spacing w:before="200" w:after="280"/>
      <w:ind w:left="936" w:right="936"/>
      <w:jc w:val="both"/>
    </w:pPr>
    <w:rPr>
      <w:rFonts w:asciiTheme="majorHAnsi" w:eastAsiaTheme="minorHAnsi" w:hAnsiTheme="majorHAnsi" w:cstheme="minorBidi"/>
      <w:bCs/>
      <w:i/>
      <w:iCs/>
      <w:szCs w:val="22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636B"/>
    <w:rPr>
      <w:rFonts w:asciiTheme="majorHAnsi" w:hAnsiTheme="majorHAnsi"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2</cp:revision>
  <dcterms:created xsi:type="dcterms:W3CDTF">2014-06-06T13:20:00Z</dcterms:created>
  <dcterms:modified xsi:type="dcterms:W3CDTF">2014-06-06T13:20:00Z</dcterms:modified>
</cp:coreProperties>
</file>