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CFEC9" w14:textId="15695976" w:rsidR="00B8751F" w:rsidRPr="004A34B9" w:rsidRDefault="00B8751F" w:rsidP="00B8751F">
      <w:pPr>
        <w:jc w:val="center"/>
        <w:rPr>
          <w:b/>
          <w:sz w:val="28"/>
          <w:szCs w:val="28"/>
        </w:rPr>
      </w:pPr>
      <w:r w:rsidRPr="004A34B9">
        <w:rPr>
          <w:b/>
          <w:sz w:val="28"/>
          <w:szCs w:val="28"/>
        </w:rPr>
        <w:t xml:space="preserve">La segunda </w:t>
      </w:r>
      <w:r w:rsidR="00152B00">
        <w:rPr>
          <w:b/>
          <w:sz w:val="28"/>
          <w:szCs w:val="28"/>
        </w:rPr>
        <w:t>dimensión</w:t>
      </w:r>
      <w:r w:rsidR="00152B00" w:rsidRPr="004A34B9">
        <w:rPr>
          <w:b/>
          <w:sz w:val="28"/>
          <w:szCs w:val="28"/>
        </w:rPr>
        <w:t xml:space="preserve"> </w:t>
      </w:r>
      <w:r w:rsidRPr="004A34B9">
        <w:rPr>
          <w:b/>
          <w:sz w:val="28"/>
          <w:szCs w:val="28"/>
        </w:rPr>
        <w:t>de la calidad educativa:</w:t>
      </w:r>
    </w:p>
    <w:p w14:paraId="6F173B8F" w14:textId="0599B925" w:rsidR="00B8751F" w:rsidRDefault="003671FC" w:rsidP="00B8751F">
      <w:pPr>
        <w:jc w:val="center"/>
        <w:rPr>
          <w:b/>
          <w:sz w:val="28"/>
          <w:szCs w:val="28"/>
        </w:rPr>
      </w:pPr>
      <w:r>
        <w:rPr>
          <w:b/>
          <w:sz w:val="28"/>
          <w:szCs w:val="28"/>
        </w:rPr>
        <w:t>Un e</w:t>
      </w:r>
      <w:r w:rsidR="00B8751F" w:rsidRPr="004A34B9">
        <w:rPr>
          <w:b/>
          <w:sz w:val="28"/>
          <w:szCs w:val="28"/>
        </w:rPr>
        <w:t>stu</w:t>
      </w:r>
      <w:r w:rsidR="00B8751F">
        <w:rPr>
          <w:b/>
          <w:sz w:val="28"/>
          <w:szCs w:val="28"/>
        </w:rPr>
        <w:t>dio comparado en siete países de</w:t>
      </w:r>
      <w:r w:rsidR="00B8751F" w:rsidRPr="004A34B9">
        <w:rPr>
          <w:b/>
          <w:sz w:val="28"/>
          <w:szCs w:val="28"/>
        </w:rPr>
        <w:t xml:space="preserve"> América Latina</w:t>
      </w:r>
    </w:p>
    <w:p w14:paraId="6954D548" w14:textId="77777777" w:rsidR="00B8751F" w:rsidRPr="004A34B9" w:rsidRDefault="00B8751F" w:rsidP="00B8751F">
      <w:pPr>
        <w:jc w:val="center"/>
        <w:rPr>
          <w:b/>
          <w:sz w:val="28"/>
          <w:szCs w:val="28"/>
        </w:rPr>
      </w:pPr>
    </w:p>
    <w:p w14:paraId="76872091" w14:textId="75607989" w:rsidR="00B8751F" w:rsidRPr="00703CAB" w:rsidRDefault="00B8751F" w:rsidP="00B8751F">
      <w:pPr>
        <w:jc w:val="center"/>
        <w:rPr>
          <w:rFonts w:ascii="Calibri" w:eastAsia="Calibri" w:hAnsi="Calibri" w:cs="Times New Roman"/>
          <w:b/>
          <w:sz w:val="28"/>
          <w:szCs w:val="28"/>
          <w:lang w:val="en-US"/>
        </w:rPr>
      </w:pPr>
      <w:r w:rsidRPr="00703CAB">
        <w:rPr>
          <w:rFonts w:ascii="Calibri" w:eastAsia="Calibri" w:hAnsi="Calibri" w:cs="Times New Roman"/>
          <w:b/>
          <w:sz w:val="28"/>
          <w:szCs w:val="28"/>
          <w:lang w:val="en-US"/>
        </w:rPr>
        <w:t xml:space="preserve">The Second </w:t>
      </w:r>
      <w:r w:rsidR="00F65713">
        <w:rPr>
          <w:rFonts w:ascii="Calibri" w:eastAsia="Calibri" w:hAnsi="Calibri" w:cs="Times New Roman"/>
          <w:b/>
          <w:sz w:val="28"/>
          <w:szCs w:val="28"/>
          <w:lang w:val="en-US"/>
        </w:rPr>
        <w:t>Dimension</w:t>
      </w:r>
      <w:r w:rsidR="00F65713" w:rsidRPr="00703CAB">
        <w:rPr>
          <w:rFonts w:ascii="Calibri" w:eastAsia="Calibri" w:hAnsi="Calibri" w:cs="Times New Roman"/>
          <w:b/>
          <w:sz w:val="28"/>
          <w:szCs w:val="28"/>
          <w:lang w:val="en-US"/>
        </w:rPr>
        <w:t xml:space="preserve"> </w:t>
      </w:r>
      <w:r w:rsidRPr="00703CAB">
        <w:rPr>
          <w:rFonts w:ascii="Calibri" w:eastAsia="Calibri" w:hAnsi="Calibri" w:cs="Times New Roman"/>
          <w:b/>
          <w:sz w:val="28"/>
          <w:szCs w:val="28"/>
          <w:lang w:val="en-US"/>
        </w:rPr>
        <w:t xml:space="preserve">of Educational Quality: </w:t>
      </w:r>
    </w:p>
    <w:p w14:paraId="0C3704F4" w14:textId="77777777" w:rsidR="00B94296" w:rsidRDefault="00B8751F" w:rsidP="00B94296">
      <w:pPr>
        <w:jc w:val="center"/>
        <w:rPr>
          <w:rFonts w:ascii="Calibri" w:eastAsia="Calibri" w:hAnsi="Calibri" w:cs="Times New Roman"/>
          <w:b/>
          <w:sz w:val="28"/>
          <w:szCs w:val="28"/>
          <w:lang w:val="en-US"/>
        </w:rPr>
      </w:pPr>
      <w:r w:rsidRPr="00703CAB">
        <w:rPr>
          <w:rFonts w:ascii="Calibri" w:eastAsia="Calibri" w:hAnsi="Calibri" w:cs="Times New Roman"/>
          <w:b/>
          <w:sz w:val="28"/>
          <w:szCs w:val="28"/>
          <w:lang w:val="en-US"/>
        </w:rPr>
        <w:t>A Comparative Study in Seven Countries in Latin America</w:t>
      </w:r>
    </w:p>
    <w:p w14:paraId="6993E93A" w14:textId="77777777" w:rsidR="00B94296" w:rsidRDefault="00B94296" w:rsidP="00B94296">
      <w:pPr>
        <w:jc w:val="center"/>
        <w:rPr>
          <w:rFonts w:ascii="Calibri" w:eastAsia="Calibri" w:hAnsi="Calibri" w:cs="Times New Roman"/>
          <w:b/>
          <w:sz w:val="28"/>
          <w:szCs w:val="28"/>
          <w:lang w:val="en-US"/>
        </w:rPr>
      </w:pPr>
    </w:p>
    <w:p w14:paraId="65986119" w14:textId="64C36828" w:rsidR="00B94296" w:rsidRDefault="00B94296" w:rsidP="00B94296">
      <w:pPr>
        <w:rPr>
          <w:rFonts w:ascii="Calibri" w:eastAsia="Calibri" w:hAnsi="Calibri" w:cs="Times New Roman"/>
          <w:b/>
          <w:sz w:val="24"/>
          <w:szCs w:val="24"/>
          <w:lang w:val="en-US"/>
        </w:rPr>
      </w:pPr>
      <w:r w:rsidRPr="00E50C48">
        <w:rPr>
          <w:rFonts w:ascii="Calibri" w:eastAsia="Calibri" w:hAnsi="Calibri" w:cs="Times New Roman"/>
          <w:b/>
          <w:sz w:val="24"/>
          <w:szCs w:val="24"/>
          <w:lang w:val="en-US"/>
        </w:rPr>
        <w:t>Axel Rivas</w:t>
      </w:r>
      <w:r w:rsidR="00E50C48" w:rsidRPr="00E50C48">
        <w:rPr>
          <w:rFonts w:ascii="Calibri" w:eastAsia="Calibri" w:hAnsi="Calibri" w:cs="Times New Roman"/>
          <w:b/>
          <w:sz w:val="24"/>
          <w:szCs w:val="24"/>
          <w:lang w:val="en-US"/>
        </w:rPr>
        <w:t xml:space="preserve"> (</w:t>
      </w:r>
      <w:r w:rsidR="00E50C48">
        <w:rPr>
          <w:rFonts w:ascii="Calibri" w:eastAsia="Calibri" w:hAnsi="Calibri" w:cs="Times New Roman"/>
          <w:b/>
          <w:sz w:val="24"/>
          <w:szCs w:val="24"/>
          <w:lang w:val="en-US"/>
        </w:rPr>
        <w:t>*</w:t>
      </w:r>
      <w:r w:rsidR="00E50C48" w:rsidRPr="00E50C48">
        <w:rPr>
          <w:rFonts w:ascii="Calibri" w:eastAsia="Calibri" w:hAnsi="Calibri" w:cs="Times New Roman"/>
          <w:b/>
          <w:sz w:val="24"/>
          <w:szCs w:val="24"/>
          <w:lang w:val="en-US"/>
        </w:rPr>
        <w:t>) y Martín Scasso</w:t>
      </w:r>
      <w:r w:rsidR="00E50C48">
        <w:rPr>
          <w:rFonts w:ascii="Calibri" w:eastAsia="Calibri" w:hAnsi="Calibri" w:cs="Times New Roman"/>
          <w:b/>
          <w:sz w:val="24"/>
          <w:szCs w:val="24"/>
          <w:lang w:val="en-US"/>
        </w:rPr>
        <w:t xml:space="preserve"> (**)</w:t>
      </w:r>
    </w:p>
    <w:p w14:paraId="377FC28A" w14:textId="4318BB24" w:rsidR="00E50C48" w:rsidRDefault="00E50C48" w:rsidP="00B94296">
      <w:pPr>
        <w:rPr>
          <w:rFonts w:ascii="Calibri" w:eastAsia="Calibri" w:hAnsi="Calibri" w:cs="Times New Roman"/>
          <w:b/>
          <w:sz w:val="24"/>
          <w:szCs w:val="24"/>
          <w:lang w:val="en-US"/>
        </w:rPr>
      </w:pPr>
      <w:r>
        <w:rPr>
          <w:rFonts w:ascii="Calibri" w:eastAsia="Calibri" w:hAnsi="Calibri" w:cs="Times New Roman"/>
          <w:b/>
          <w:sz w:val="24"/>
          <w:szCs w:val="24"/>
          <w:lang w:val="en-US"/>
        </w:rPr>
        <w:t>(*) Universidad de San Andrés, Argentina</w:t>
      </w:r>
    </w:p>
    <w:p w14:paraId="26D0394F" w14:textId="42E985B1" w:rsidR="00E50C48" w:rsidRPr="00E50C48" w:rsidRDefault="00E50C48" w:rsidP="00B94296">
      <w:pPr>
        <w:rPr>
          <w:rFonts w:ascii="Calibri" w:eastAsia="Calibri" w:hAnsi="Calibri" w:cs="Times New Roman"/>
          <w:b/>
          <w:sz w:val="24"/>
          <w:szCs w:val="24"/>
          <w:lang w:val="en-US"/>
        </w:rPr>
      </w:pPr>
      <w:r>
        <w:rPr>
          <w:rFonts w:ascii="Calibri" w:eastAsia="Calibri" w:hAnsi="Calibri" w:cs="Times New Roman"/>
          <w:b/>
          <w:sz w:val="24"/>
          <w:szCs w:val="24"/>
          <w:lang w:val="en-US"/>
        </w:rPr>
        <w:t>(**) Fundación Quantitas</w:t>
      </w:r>
    </w:p>
    <w:p w14:paraId="22B46775" w14:textId="60C3CF42" w:rsidR="00B8751F" w:rsidRPr="008A768C" w:rsidRDefault="00735187" w:rsidP="009A18B4">
      <w:pPr>
        <w:rPr>
          <w:b/>
        </w:rPr>
      </w:pPr>
      <w:r w:rsidRPr="00DD2D50">
        <w:rPr>
          <w:lang w:val="fr-FR"/>
        </w:rPr>
        <w:br/>
      </w:r>
      <w:r w:rsidR="00B8751F" w:rsidRPr="008A768C">
        <w:rPr>
          <w:b/>
        </w:rPr>
        <w:t>Resumen</w:t>
      </w:r>
    </w:p>
    <w:p w14:paraId="7DF1A720" w14:textId="44C9C1F3" w:rsidR="00B8751F" w:rsidRDefault="00B8751F" w:rsidP="00B8751F">
      <w:pPr>
        <w:jc w:val="both"/>
      </w:pPr>
      <w:r w:rsidRPr="0043068C">
        <w:t>INTRODUCCIÓN</w:t>
      </w:r>
      <w:r>
        <w:t>. Las evaluaciones de la calidad educativa permitieron indagar en los últimos 20 años la comparación de los sistemas educativos. Los resultados de las pruebas PISA son los más utilizados como referencia. En América Latina siete países participan de manera recurrente desde el año 2000: Argentina, Brasil, Chile, Colombia, México, Perú y Uruguay.</w:t>
      </w:r>
    </w:p>
    <w:p w14:paraId="3AA57C99" w14:textId="77777777" w:rsidR="00B8751F" w:rsidRDefault="00B8751F" w:rsidP="00B8751F">
      <w:pPr>
        <w:jc w:val="both"/>
      </w:pPr>
      <w:r w:rsidRPr="0043068C">
        <w:t>MÉTODO</w:t>
      </w:r>
      <w:r>
        <w:t>. Se analiza la evolución de estos países en la prueba PISA y en otras evaluaciones nacionales e internacionales. Se analizan los objetivos, sesgos metodológicos y resultados comparados de estas evaluaciones.</w:t>
      </w:r>
    </w:p>
    <w:p w14:paraId="79A9CABA" w14:textId="190D9C2F" w:rsidR="00B8751F" w:rsidRDefault="00B8751F" w:rsidP="00B8751F">
      <w:pPr>
        <w:jc w:val="both"/>
      </w:pPr>
      <w:r>
        <w:t>RESULTADOS. Las tendencias que muestran los resultados de las distintas evaluaciones de la calidad tienen contradicciones entre sí, incluso con variaciones basadas en problemas metodológicos poco explorados hasta ahora. Las pruebas PISA introdujeron cambio</w:t>
      </w:r>
      <w:r w:rsidR="007358C7">
        <w:t>s</w:t>
      </w:r>
      <w:r>
        <w:t xml:space="preserve"> en la edición 2015 que modifica los resultados de las ediciones anteriores y hace incomparables los resultados de las primeras ediciones (2000 y 2003). Se abren interrogantes a partir de la constatación de que los sistemas educativos que parecían haber mejorado en realidad no lo han hecho o lo han logrado de manera más reducida. Se presenta una mirada comparada de los resultados de las evaluaciones de los siete países analizados, constatando que hubo casos de mejora como el de Perú desde un punto de partida más bajo y el de Chile en la década del 2000, alcanzando el punto más alto entre los países analizados.</w:t>
      </w:r>
    </w:p>
    <w:p w14:paraId="01D336EA" w14:textId="01AE7646" w:rsidR="00B8751F" w:rsidRDefault="00B8751F" w:rsidP="00B8751F">
      <w:pPr>
        <w:jc w:val="both"/>
      </w:pPr>
      <w:r>
        <w:t xml:space="preserve">DISCUSION. El estudio presenta la necesidad de discutir una “segunda </w:t>
      </w:r>
      <w:r w:rsidR="00152B00">
        <w:t xml:space="preserve">dimensión </w:t>
      </w:r>
      <w:r>
        <w:t xml:space="preserve">de la calidad educativa”, que requiere ir más allá de las lecturas simplificadas de los resultados de las evaluaciones, tomando diversas fuentes e indicadores educativos de manera complementaria. Esa segunda </w:t>
      </w:r>
      <w:r w:rsidR="009E6F4D">
        <w:t xml:space="preserve">dimensión </w:t>
      </w:r>
      <w:r>
        <w:t>funciona como un filtro epistemológico para comprender la evolución de los sistemas educativos en América Latina y evitar lecturas equivocadas o sesgadas de la calidad educativa.</w:t>
      </w:r>
    </w:p>
    <w:p w14:paraId="3393FF85" w14:textId="77777777" w:rsidR="009E6F4D" w:rsidRDefault="009E6F4D" w:rsidP="009E6F4D">
      <w:pPr>
        <w:jc w:val="both"/>
      </w:pPr>
      <w:r w:rsidRPr="003D086C">
        <w:rPr>
          <w:b/>
        </w:rPr>
        <w:t>Palabras claves:</w:t>
      </w:r>
      <w:r>
        <w:t xml:space="preserve"> Evaluación educativa, Política educativa, Calidad educativa, Análisis comparado, Re-escalamiento.</w:t>
      </w:r>
    </w:p>
    <w:p w14:paraId="1EEE4D82" w14:textId="77777777" w:rsidR="00B8751F" w:rsidRDefault="00B8751F" w:rsidP="00B8751F">
      <w:pPr>
        <w:jc w:val="both"/>
      </w:pPr>
    </w:p>
    <w:p w14:paraId="6937488D" w14:textId="5A48467E" w:rsidR="00AD502C" w:rsidRPr="00F0403B" w:rsidRDefault="00A84E1A" w:rsidP="00A84E1A">
      <w:pPr>
        <w:jc w:val="both"/>
        <w:rPr>
          <w:b/>
        </w:rPr>
      </w:pPr>
      <w:bookmarkStart w:id="0" w:name="_GoBack"/>
      <w:bookmarkEnd w:id="0"/>
      <w:r w:rsidRPr="00F0403B">
        <w:rPr>
          <w:b/>
        </w:rPr>
        <w:lastRenderedPageBreak/>
        <w:t>Intro</w:t>
      </w:r>
      <w:r w:rsidR="00AD502C" w:rsidRPr="00F0403B">
        <w:rPr>
          <w:b/>
        </w:rPr>
        <w:t>ducción</w:t>
      </w:r>
    </w:p>
    <w:p w14:paraId="52902A23" w14:textId="39478BFB" w:rsidR="000063BE" w:rsidRDefault="00A52917" w:rsidP="00DD2D50">
      <w:pPr>
        <w:ind w:firstLine="708"/>
        <w:jc w:val="both"/>
      </w:pPr>
      <w:r>
        <w:t>Analizar los aprendizajes de los alumnos en los sistemas educativos de América Latina es una tarea que cobró un significado cuantitativo en los últimos 30 años. En los años noventa comenzaron a surgir en casi todos los países los sistemas de evalu</w:t>
      </w:r>
      <w:r w:rsidR="00DC0CE3">
        <w:t>ación de la calidad educativa</w:t>
      </w:r>
      <w:r>
        <w:t xml:space="preserve">, que </w:t>
      </w:r>
      <w:r w:rsidR="004A7E3E">
        <w:t xml:space="preserve">tenían en su primera etapa la prioridad de diagnosticar el estado de los aprendizajes en áreas como </w:t>
      </w:r>
      <w:r w:rsidR="00486A4D">
        <w:t>Lengua</w:t>
      </w:r>
      <w:r w:rsidR="004A7E3E">
        <w:t xml:space="preserve"> y </w:t>
      </w:r>
      <w:r w:rsidR="00486A4D">
        <w:t>Matemática</w:t>
      </w:r>
      <w:r w:rsidR="00BD020B">
        <w:t xml:space="preserve"> </w:t>
      </w:r>
      <w:r w:rsidR="0046028A">
        <w:t>(Wolf, 2004; Ferrer, 2006;</w:t>
      </w:r>
      <w:r w:rsidR="00BD020B" w:rsidRPr="00BD020B">
        <w:t xml:space="preserve"> Swaffield </w:t>
      </w:r>
      <w:r w:rsidR="00572E1C">
        <w:t>y</w:t>
      </w:r>
      <w:r w:rsidR="00BD020B" w:rsidRPr="00BD020B">
        <w:t xml:space="preserve"> Thomas</w:t>
      </w:r>
      <w:r w:rsidR="008A66AF">
        <w:t>,</w:t>
      </w:r>
      <w:r w:rsidR="00BD020B" w:rsidRPr="00BD020B">
        <w:t xml:space="preserve"> 2016)</w:t>
      </w:r>
      <w:r w:rsidR="004A7E3E">
        <w:t xml:space="preserve">. </w:t>
      </w:r>
    </w:p>
    <w:p w14:paraId="27E53B37" w14:textId="08D1F07B" w:rsidR="004A7E3E" w:rsidRDefault="00716D4C" w:rsidP="00DD2D50">
      <w:pPr>
        <w:ind w:firstLine="708"/>
        <w:jc w:val="both"/>
      </w:pPr>
      <w:r>
        <w:t>En 1997</w:t>
      </w:r>
      <w:r w:rsidR="004A7E3E">
        <w:t xml:space="preserve"> se lanzó la primera prueba comparada del Laboratorio </w:t>
      </w:r>
      <w:r w:rsidRPr="00716D4C">
        <w:t xml:space="preserve">Latinoamericano de Evaluación de la Calidad de la Educación (LLECE) </w:t>
      </w:r>
      <w:r w:rsidR="004A7E3E">
        <w:t>de la UNESCO para el nive</w:t>
      </w:r>
      <w:r>
        <w:t>l primario. En 2000 comenzó el Programa Internacional para la Evaluación de Estudiantes (</w:t>
      </w:r>
      <w:r w:rsidR="004A7E3E">
        <w:t>PISA</w:t>
      </w:r>
      <w:r>
        <w:t>)</w:t>
      </w:r>
      <w:r w:rsidR="004A7E3E">
        <w:t xml:space="preserve"> de la </w:t>
      </w:r>
      <w:r>
        <w:t>Organización para la Cooperación y el Desarrollo Económico (</w:t>
      </w:r>
      <w:r w:rsidR="00572E1C">
        <w:t>OCDE</w:t>
      </w:r>
      <w:r>
        <w:t>)</w:t>
      </w:r>
      <w:r w:rsidR="004A7E3E">
        <w:t xml:space="preserve">, que atrajo </w:t>
      </w:r>
      <w:r w:rsidR="00262BCC">
        <w:t>l</w:t>
      </w:r>
      <w:r w:rsidR="004A7E3E">
        <w:t>a participación regular de siete países de la región en sus sucesivas ediciones: Argentina, Brasil, Chile, Colombia, México, Perú y Uruguay. Est</w:t>
      </w:r>
      <w:r w:rsidR="00262BCC">
        <w:t xml:space="preserve">e </w:t>
      </w:r>
      <w:r w:rsidR="00B53409">
        <w:t>artículo</w:t>
      </w:r>
      <w:r w:rsidR="00262BCC">
        <w:t xml:space="preserve"> parte </w:t>
      </w:r>
      <w:r w:rsidR="004A7E3E">
        <w:t>de la prueba PISA y consolida una mirada integral sobre la calidad educativa en estos siete países, a partir de las posibilidades de comparar sus resultados en el tiempo.</w:t>
      </w:r>
    </w:p>
    <w:p w14:paraId="27B01920" w14:textId="7734335F" w:rsidR="0083258B" w:rsidRDefault="005E7497" w:rsidP="00DD2D50">
      <w:pPr>
        <w:ind w:firstLine="708"/>
        <w:jc w:val="both"/>
      </w:pPr>
      <w:r>
        <w:t>La aparición de las evaluaciones d</w:t>
      </w:r>
      <w:r w:rsidR="00262BCC">
        <w:t>e la calidad nos permite</w:t>
      </w:r>
      <w:r>
        <w:t xml:space="preserve"> entender de manera sistemática qué aprenden los alumnos</w:t>
      </w:r>
      <w:r w:rsidR="00DC0CE3">
        <w:t xml:space="preserve"> (Morris</w:t>
      </w:r>
      <w:r w:rsidR="00B53409">
        <w:t>,</w:t>
      </w:r>
      <w:r w:rsidR="00DC0CE3">
        <w:t xml:space="preserve"> 2011</w:t>
      </w:r>
      <w:r w:rsidR="00262BCC">
        <w:t>)</w:t>
      </w:r>
      <w:r>
        <w:t xml:space="preserve">. </w:t>
      </w:r>
      <w:r w:rsidR="0083258B">
        <w:t xml:space="preserve">Dan luz sobre la caja negra de las aulas y </w:t>
      </w:r>
      <w:r w:rsidR="00716D4C">
        <w:t>ayudan a convertir</w:t>
      </w:r>
      <w:r w:rsidR="0083258B">
        <w:t xml:space="preserve"> a la educación en un derecho social que puede ser monitoreado. Las pruebas permiten diagnosticar problemas no conocidos de los sistemas educativos</w:t>
      </w:r>
      <w:r w:rsidR="004A472B">
        <w:t xml:space="preserve"> con precisión y consistencia (</w:t>
      </w:r>
      <w:r w:rsidR="008A66AF">
        <w:t>Lü</w:t>
      </w:r>
      <w:r w:rsidR="0037052C">
        <w:t>dtke,</w:t>
      </w:r>
      <w:r w:rsidR="00572E1C">
        <w:t xml:space="preserve"> Robitzsch, Trautwein, Kreuter y</w:t>
      </w:r>
      <w:r w:rsidR="0037052C">
        <w:t xml:space="preserve"> Ihme Marten</w:t>
      </w:r>
      <w:r w:rsidR="004A472B">
        <w:t>, 2007)</w:t>
      </w:r>
      <w:r w:rsidR="0083258B">
        <w:t xml:space="preserve">. Sus cuestionarios complementarios sirven para medir las desigualdades en los resultados y los factores asociados a la calidad educativa. Esto abre numerosas avenidas de indagación científica para comprender qué puede hacerse para mejorar la educación a escala sistémica. En los años 2000 las evaluaciones de muchos países de la región pasaron a tener un rol de alto impacto en las escuelas. Ya no sólo se trataba de medir al sistema sino también comprender qué pasaba en cada escuela. Esto permitió iluminar la situación de los aprendizajes construyendo mecanismos de apoyo a las escuelas con más dificultades. También en algunos países se combinaron medidas de presión sobre las escuelas, con publicación de resultados o incluso beneficios económicos </w:t>
      </w:r>
      <w:r w:rsidR="007358C7">
        <w:t xml:space="preserve">condicionados </w:t>
      </w:r>
      <w:r w:rsidR="0083258B">
        <w:t>a los rendimientos</w:t>
      </w:r>
      <w:r w:rsidR="00B53409">
        <w:t xml:space="preserve"> </w:t>
      </w:r>
      <w:r w:rsidR="00C90692">
        <w:t xml:space="preserve">(Ferrer </w:t>
      </w:r>
      <w:r w:rsidR="00125D6E">
        <w:t>y</w:t>
      </w:r>
      <w:r w:rsidR="00B53409" w:rsidRPr="00B53409">
        <w:t xml:space="preserve"> Fiszbein, 2015)</w:t>
      </w:r>
      <w:r w:rsidR="0083258B">
        <w:t>.</w:t>
      </w:r>
    </w:p>
    <w:p w14:paraId="30D7A343" w14:textId="757E7879" w:rsidR="00EB63A6" w:rsidRDefault="001950DA" w:rsidP="00DD2D50">
      <w:pPr>
        <w:ind w:firstLine="708"/>
        <w:jc w:val="both"/>
      </w:pPr>
      <w:r>
        <w:t xml:space="preserve">Las evaluaciones trajeron consigo distintos tipos de críticas. Algunos concentraron su mirada en el reduccionismo de las pruebas, que cuanto más alto impacto tienen más reducen el </w:t>
      </w:r>
      <w:r w:rsidR="007A7EF2">
        <w:t xml:space="preserve">currículo </w:t>
      </w:r>
      <w:r>
        <w:t>a aquello que es evaluado, restando importan</w:t>
      </w:r>
      <w:r w:rsidR="006E147F">
        <w:t>cia al resto de la enseñanza (Berliner, 2011</w:t>
      </w:r>
      <w:r>
        <w:t xml:space="preserve">). Otros </w:t>
      </w:r>
      <w:r w:rsidR="007A2E05">
        <w:t>autores indica</w:t>
      </w:r>
      <w:r w:rsidR="00B53409">
        <w:t>ro</w:t>
      </w:r>
      <w:r w:rsidR="007A2E05">
        <w:t xml:space="preserve">n que las pruebas producen </w:t>
      </w:r>
      <w:r w:rsidR="006E147F">
        <w:t>una presión excesiva sobre las escuelas (</w:t>
      </w:r>
      <w:r w:rsidR="0037052C">
        <w:t>Fuller, Henne</w:t>
      </w:r>
      <w:r w:rsidR="00125D6E">
        <w:t xml:space="preserve"> y</w:t>
      </w:r>
      <w:r w:rsidR="007123B7">
        <w:t xml:space="preserve"> Hannum</w:t>
      </w:r>
      <w:r w:rsidR="00C90692">
        <w:t>,</w:t>
      </w:r>
      <w:r w:rsidR="006E147F">
        <w:t xml:space="preserve"> 2008)</w:t>
      </w:r>
      <w:r w:rsidR="003722EA">
        <w:t xml:space="preserve"> y</w:t>
      </w:r>
      <w:r w:rsidR="006E147F">
        <w:t xml:space="preserve"> </w:t>
      </w:r>
      <w:r w:rsidR="007A2E05">
        <w:t>una deslegitimación const</w:t>
      </w:r>
      <w:r w:rsidR="003722EA">
        <w:t>ante de los docentes</w:t>
      </w:r>
      <w:r w:rsidR="00DB521B">
        <w:t>,</w:t>
      </w:r>
      <w:r w:rsidR="003722EA">
        <w:t xml:space="preserve"> que</w:t>
      </w:r>
      <w:r w:rsidR="00262BCC">
        <w:t xml:space="preserve"> en ciertos casos </w:t>
      </w:r>
      <w:r w:rsidR="003722EA">
        <w:t>es</w:t>
      </w:r>
      <w:r w:rsidR="00B53409">
        <w:t xml:space="preserve"> utilizada</w:t>
      </w:r>
      <w:r w:rsidR="00262BCC">
        <w:t xml:space="preserve"> para agitar una</w:t>
      </w:r>
      <w:r w:rsidR="007A2E05">
        <w:t xml:space="preserve"> emergencia educativa y </w:t>
      </w:r>
      <w:r w:rsidR="00FA7797">
        <w:t xml:space="preserve">aplicar </w:t>
      </w:r>
      <w:r w:rsidR="007A2E05">
        <w:t xml:space="preserve">reformas </w:t>
      </w:r>
      <w:r w:rsidR="00B53409">
        <w:t>neoliberales</w:t>
      </w:r>
      <w:r w:rsidR="007A2E05">
        <w:t xml:space="preserve"> </w:t>
      </w:r>
      <w:r w:rsidR="006E147F">
        <w:t>de privat</w:t>
      </w:r>
      <w:r w:rsidR="00B53409">
        <w:t>ización del sistema (Ball, 2003;</w:t>
      </w:r>
      <w:r w:rsidR="006E147F">
        <w:t xml:space="preserve"> Taubman, 2009</w:t>
      </w:r>
      <w:r w:rsidR="007A2E05">
        <w:t>).</w:t>
      </w:r>
      <w:r w:rsidR="00125D6E">
        <w:t xml:space="preserve"> </w:t>
      </w:r>
      <w:r w:rsidR="007A2E05">
        <w:t xml:space="preserve">Las evaluaciones internacionales desataron también una ola de críticas basadas en el efecto colonizador de PISA, </w:t>
      </w:r>
      <w:r w:rsidR="00B53409">
        <w:t xml:space="preserve">señalando su capacidad de </w:t>
      </w:r>
      <w:r w:rsidR="007A7EF2">
        <w:t xml:space="preserve">incidir </w:t>
      </w:r>
      <w:r w:rsidR="00152B00">
        <w:t xml:space="preserve">en </w:t>
      </w:r>
      <w:r w:rsidR="007A7EF2">
        <w:t xml:space="preserve">el currículo nacional de los países a partir de criterios económicos </w:t>
      </w:r>
      <w:r w:rsidR="00C90692">
        <w:t xml:space="preserve">(Grek, Lawn </w:t>
      </w:r>
      <w:r w:rsidR="00125D6E">
        <w:t>y</w:t>
      </w:r>
      <w:r w:rsidR="006E147F">
        <w:t xml:space="preserve"> Ozga</w:t>
      </w:r>
      <w:r w:rsidR="004A472B">
        <w:t xml:space="preserve">, </w:t>
      </w:r>
      <w:r w:rsidR="006E147F">
        <w:t>2009</w:t>
      </w:r>
      <w:r w:rsidR="007A2E05" w:rsidRPr="006E147F">
        <w:t>)</w:t>
      </w:r>
      <w:r w:rsidR="007A2E05">
        <w:t xml:space="preserve">. </w:t>
      </w:r>
      <w:r w:rsidR="00135B3A">
        <w:t>Varios autores analizaron có</w:t>
      </w:r>
      <w:r w:rsidR="002C3195">
        <w:t>mo las pruebas PISA habían cobrado un carácter cada vez más decisivo en la agenda de política educativa de los países participantes</w:t>
      </w:r>
      <w:r w:rsidR="00285908">
        <w:t xml:space="preserve"> </w:t>
      </w:r>
      <w:r w:rsidR="006E147F" w:rsidRPr="006E147F">
        <w:t>(</w:t>
      </w:r>
      <w:r w:rsidR="00C90692">
        <w:t>Pons, 2017;</w:t>
      </w:r>
      <w:r w:rsidR="006E147F">
        <w:t xml:space="preserve"> </w:t>
      </w:r>
      <w:r w:rsidR="00C90692">
        <w:t xml:space="preserve">Lindblad, Pettersson </w:t>
      </w:r>
      <w:r w:rsidR="00125D6E">
        <w:t>y</w:t>
      </w:r>
      <w:r w:rsidR="006E147F" w:rsidRPr="006E147F">
        <w:t xml:space="preserve"> Popkewitz, 2015; </w:t>
      </w:r>
      <w:r w:rsidR="0037052C">
        <w:t xml:space="preserve">Fischman, Marcetti Topper, Silova, Goebel </w:t>
      </w:r>
      <w:r w:rsidR="00125D6E">
        <w:t>y</w:t>
      </w:r>
      <w:r w:rsidR="0037052C">
        <w:t xml:space="preserve"> Holloway</w:t>
      </w:r>
      <w:r w:rsidR="00285908">
        <w:t>, 20</w:t>
      </w:r>
      <w:r w:rsidR="00313B88">
        <w:t xml:space="preserve">18; </w:t>
      </w:r>
      <w:r w:rsidR="00125D6E">
        <w:t xml:space="preserve"> Rautalin, Alasuutari y</w:t>
      </w:r>
      <w:r w:rsidR="0037052C">
        <w:t xml:space="preserve"> Vento</w:t>
      </w:r>
      <w:r w:rsidR="00C90692">
        <w:t xml:space="preserve">, 2018; Lewis </w:t>
      </w:r>
      <w:r w:rsidR="00125D6E">
        <w:t>y</w:t>
      </w:r>
      <w:r w:rsidR="00285908">
        <w:t xml:space="preserve"> Lingard, 2015;</w:t>
      </w:r>
      <w:r w:rsidR="00C90692">
        <w:t xml:space="preserve"> Niemann, Martens </w:t>
      </w:r>
      <w:r w:rsidR="00125D6E">
        <w:t>y</w:t>
      </w:r>
      <w:r w:rsidR="006E147F" w:rsidRPr="006E147F">
        <w:t xml:space="preserve"> Telteman</w:t>
      </w:r>
      <w:r w:rsidR="00C90692">
        <w:t xml:space="preserve">n, 2017; Meyer </w:t>
      </w:r>
      <w:r w:rsidR="00125D6E">
        <w:t>y</w:t>
      </w:r>
      <w:r w:rsidR="006E147F">
        <w:t xml:space="preserve"> Benavot, 2013)</w:t>
      </w:r>
      <w:r w:rsidR="002C3195">
        <w:t>.</w:t>
      </w:r>
      <w:r w:rsidR="00125D6E">
        <w:t xml:space="preserve"> </w:t>
      </w:r>
      <w:r w:rsidR="00285908">
        <w:t>Como resalta</w:t>
      </w:r>
      <w:r w:rsidR="00B53409">
        <w:t>ro</w:t>
      </w:r>
      <w:r w:rsidR="00285908">
        <w:t xml:space="preserve">n </w:t>
      </w:r>
      <w:r w:rsidR="00DB521B">
        <w:t>algunos</w:t>
      </w:r>
      <w:r w:rsidR="00285908">
        <w:t xml:space="preserve"> de estos</w:t>
      </w:r>
      <w:r w:rsidR="00DB521B">
        <w:t xml:space="preserve"> trabajos, las pruebas PISA abriero</w:t>
      </w:r>
      <w:r w:rsidR="00285908">
        <w:t>n una grieta entre</w:t>
      </w:r>
      <w:r w:rsidR="002C3195">
        <w:t xml:space="preserve"> un </w:t>
      </w:r>
      <w:r w:rsidR="00152B00">
        <w:t xml:space="preserve">uso </w:t>
      </w:r>
      <w:r w:rsidR="002C3195">
        <w:t>acrítico de las evaluaciones, que toma sus resultados de manera literal, y una crítica extrema que invita a dejar de medir los siste</w:t>
      </w:r>
      <w:r w:rsidR="00C84375">
        <w:t>mas de manera estandarizada. E</w:t>
      </w:r>
      <w:r w:rsidR="002C3195">
        <w:t xml:space="preserve">ste trabajo se </w:t>
      </w:r>
      <w:r w:rsidR="00C84375">
        <w:t xml:space="preserve">sitúa en </w:t>
      </w:r>
      <w:r w:rsidR="002C3195">
        <w:t>una perspectiva intermedia</w:t>
      </w:r>
      <w:r w:rsidR="00DB521B">
        <w:t>,</w:t>
      </w:r>
      <w:r w:rsidR="002C3195">
        <w:t xml:space="preserve"> </w:t>
      </w:r>
      <w:r w:rsidR="00C84375">
        <w:t>buscando</w:t>
      </w:r>
      <w:r w:rsidR="00D57025">
        <w:t xml:space="preserve"> un uso </w:t>
      </w:r>
      <w:r w:rsidR="007A7EF2">
        <w:t xml:space="preserve">con criterio </w:t>
      </w:r>
      <w:r w:rsidR="00D57025">
        <w:t xml:space="preserve">de las evaluaciones disponibles para medir la calidad educativa. </w:t>
      </w:r>
      <w:r w:rsidR="00DB521B">
        <w:t>Otros</w:t>
      </w:r>
      <w:r w:rsidR="00D57025">
        <w:t xml:space="preserve"> estudios ya </w:t>
      </w:r>
      <w:r w:rsidR="00276BD4">
        <w:t>advirtieron</w:t>
      </w:r>
      <w:r w:rsidR="004A472B">
        <w:t xml:space="preserve"> sobre </w:t>
      </w:r>
      <w:r w:rsidR="004A472B">
        <w:lastRenderedPageBreak/>
        <w:t>los problemas</w:t>
      </w:r>
      <w:r w:rsidR="00D57025">
        <w:t xml:space="preserve"> de comparabilidad entre países de pruebas como PISA </w:t>
      </w:r>
      <w:r w:rsidR="004A472B">
        <w:t xml:space="preserve">(Eivers, </w:t>
      </w:r>
      <w:r w:rsidR="004A472B" w:rsidRPr="004A472B">
        <w:t>2010</w:t>
      </w:r>
      <w:r w:rsidR="004A472B">
        <w:t xml:space="preserve">; </w:t>
      </w:r>
      <w:r w:rsidR="00C90692">
        <w:t xml:space="preserve">Kreiner </w:t>
      </w:r>
      <w:r w:rsidR="00125D6E">
        <w:t>y</w:t>
      </w:r>
      <w:r w:rsidR="004A472B">
        <w:t xml:space="preserve"> Christensen, 2014;</w:t>
      </w:r>
      <w:r w:rsidR="00C90692">
        <w:t xml:space="preserve"> Cettin, 2010; Chen </w:t>
      </w:r>
      <w:r w:rsidR="00125D6E">
        <w:t>y</w:t>
      </w:r>
      <w:r w:rsidR="004A472B" w:rsidRPr="004A472B">
        <w:t xml:space="preserve"> Jiao</w:t>
      </w:r>
      <w:r w:rsidR="0037052C">
        <w:t>,</w:t>
      </w:r>
      <w:r w:rsidR="004A472B" w:rsidRPr="004A472B">
        <w:t xml:space="preserve"> 2014</w:t>
      </w:r>
      <w:r w:rsidR="00276BD4" w:rsidRPr="004A472B">
        <w:t>)</w:t>
      </w:r>
      <w:r w:rsidR="00276BD4">
        <w:t xml:space="preserve"> y la</w:t>
      </w:r>
      <w:r w:rsidR="00C84375">
        <w:t>s</w:t>
      </w:r>
      <w:r w:rsidR="00276BD4">
        <w:t xml:space="preserve"> irregularidad</w:t>
      </w:r>
      <w:r w:rsidR="00C84375">
        <w:t>es</w:t>
      </w:r>
      <w:r w:rsidR="00276BD4">
        <w:t xml:space="preserve"> que presentan</w:t>
      </w:r>
      <w:r w:rsidR="00D57025">
        <w:t xml:space="preserve"> distintos problemas metodológicos </w:t>
      </w:r>
      <w:r w:rsidR="004A472B">
        <w:t>(</w:t>
      </w:r>
      <w:r w:rsidR="004A472B" w:rsidRPr="004A472B">
        <w:t>Hopfenbeck et al</w:t>
      </w:r>
      <w:r w:rsidR="00C90692">
        <w:t>.</w:t>
      </w:r>
      <w:r w:rsidR="004A472B" w:rsidRPr="004A472B">
        <w:t xml:space="preserve">, 2017; </w:t>
      </w:r>
      <w:r w:rsidR="0037052C" w:rsidRPr="0037052C">
        <w:t xml:space="preserve"> </w:t>
      </w:r>
      <w:r w:rsidR="00125D6E">
        <w:t>Lindblad, Pettersson y</w:t>
      </w:r>
      <w:r w:rsidR="0037052C" w:rsidRPr="006E147F">
        <w:t xml:space="preserve"> Popkewitz</w:t>
      </w:r>
      <w:r w:rsidR="004A472B" w:rsidRPr="004A472B">
        <w:t>, 2015; Fernández-Cano, 2016</w:t>
      </w:r>
      <w:r w:rsidR="00D57025">
        <w:t>)</w:t>
      </w:r>
      <w:r w:rsidR="00DB521B">
        <w:t>. A</w:t>
      </w:r>
      <w:r w:rsidR="00276BD4">
        <w:t xml:space="preserve">lgunos trabajos previos detectaron fallas en </w:t>
      </w:r>
      <w:r w:rsidR="00D57025">
        <w:t xml:space="preserve">la </w:t>
      </w:r>
      <w:r w:rsidR="004A472B">
        <w:t xml:space="preserve">comparabilidad inter-temporal </w:t>
      </w:r>
      <w:r w:rsidR="00C84375">
        <w:t xml:space="preserve">de las pruebas PISA </w:t>
      </w:r>
      <w:r w:rsidR="00C90692">
        <w:t xml:space="preserve">(Carnoy </w:t>
      </w:r>
      <w:r w:rsidR="00125D6E">
        <w:t>y</w:t>
      </w:r>
      <w:r w:rsidR="004A472B">
        <w:t xml:space="preserve"> Rothstein</w:t>
      </w:r>
      <w:r w:rsidR="00BD7619">
        <w:t xml:space="preserve">, </w:t>
      </w:r>
      <w:r w:rsidR="004A472B">
        <w:t>2013;</w:t>
      </w:r>
      <w:r w:rsidR="004A472B" w:rsidRPr="004A472B">
        <w:t xml:space="preserve"> </w:t>
      </w:r>
      <w:r w:rsidR="00730657">
        <w:t>Freitas, Catela Nunes, Balc</w:t>
      </w:r>
      <w:r w:rsidR="00730657" w:rsidRPr="00EB3CB1">
        <w:rPr>
          <w:rFonts w:eastAsia="Calibri" w:cstheme="minorHAnsi"/>
          <w:sz w:val="24"/>
          <w:szCs w:val="24"/>
          <w:lang w:val="en-US" w:eastAsia="es-ES"/>
        </w:rPr>
        <w:t>ão</w:t>
      </w:r>
      <w:r w:rsidR="00730657">
        <w:t xml:space="preserve"> Reis, Seabra </w:t>
      </w:r>
      <w:r w:rsidR="00125D6E">
        <w:t>y</w:t>
      </w:r>
      <w:r w:rsidR="00730657">
        <w:t xml:space="preserve"> Ferro</w:t>
      </w:r>
      <w:r w:rsidR="004A472B">
        <w:t xml:space="preserve">, </w:t>
      </w:r>
      <w:r w:rsidR="004A472B" w:rsidRPr="004A472B">
        <w:t>2016</w:t>
      </w:r>
      <w:r w:rsidR="004A472B">
        <w:t>;</w:t>
      </w:r>
      <w:r w:rsidR="004A472B" w:rsidRPr="004A472B">
        <w:t xml:space="preserve"> </w:t>
      </w:r>
      <w:r w:rsidR="004A472B">
        <w:t xml:space="preserve">Cosgrove, </w:t>
      </w:r>
      <w:r w:rsidR="004A472B" w:rsidRPr="004A472B">
        <w:t>2015</w:t>
      </w:r>
      <w:r w:rsidR="004A472B">
        <w:t xml:space="preserve">; Eivers, </w:t>
      </w:r>
      <w:r w:rsidR="004A472B" w:rsidRPr="004A472B">
        <w:t>2010</w:t>
      </w:r>
      <w:r w:rsidR="00C84375">
        <w:t>).</w:t>
      </w:r>
      <w:r w:rsidR="00285908">
        <w:t xml:space="preserve"> En la región, el caso</w:t>
      </w:r>
      <w:r w:rsidR="004A472B">
        <w:t xml:space="preserve"> de Brasil </w:t>
      </w:r>
      <w:r w:rsidR="00285908">
        <w:t xml:space="preserve">ya fue revisado con una </w:t>
      </w:r>
      <w:r w:rsidR="00704E6D">
        <w:t>crítica</w:t>
      </w:r>
      <w:r w:rsidR="00285908">
        <w:t xml:space="preserve"> metodológica a la </w:t>
      </w:r>
      <w:r w:rsidR="00C84375">
        <w:t>comparabilidad de los resultados</w:t>
      </w:r>
      <w:r w:rsidR="00285908">
        <w:t xml:space="preserve"> </w:t>
      </w:r>
      <w:r w:rsidR="004A472B">
        <w:t xml:space="preserve">(Klein, </w:t>
      </w:r>
      <w:r w:rsidR="004A472B" w:rsidRPr="004A472B">
        <w:t>2011</w:t>
      </w:r>
      <w:r w:rsidR="004A472B">
        <w:t>;</w:t>
      </w:r>
      <w:r w:rsidR="00730657">
        <w:t xml:space="preserve"> Car</w:t>
      </w:r>
      <w:r w:rsidR="00125D6E">
        <w:t>noy, Khavenson, Fonseca, Costa y</w:t>
      </w:r>
      <w:r w:rsidR="00730657">
        <w:t xml:space="preserve"> Marotta</w:t>
      </w:r>
      <w:r w:rsidR="004A472B">
        <w:t xml:space="preserve">, </w:t>
      </w:r>
      <w:r w:rsidR="004A472B" w:rsidRPr="004A472B">
        <w:t>2015</w:t>
      </w:r>
      <w:r w:rsidR="004A472B">
        <w:t>)</w:t>
      </w:r>
      <w:r w:rsidR="00D57025">
        <w:t xml:space="preserve">. Estos </w:t>
      </w:r>
      <w:r w:rsidR="00276BD4">
        <w:t>estudios</w:t>
      </w:r>
      <w:r w:rsidR="00D57025">
        <w:t xml:space="preserve"> </w:t>
      </w:r>
      <w:r w:rsidR="004A472B">
        <w:t xml:space="preserve">son antecedentes directos del presente artículo y </w:t>
      </w:r>
      <w:r w:rsidR="00D57025">
        <w:t xml:space="preserve">nos muestran la necesidad de analizar rigurosamente </w:t>
      </w:r>
      <w:r w:rsidR="00EB63A6">
        <w:t>las evaluaciones de la calidad para entender su validez, tanto en términos de lo que miden como de las po</w:t>
      </w:r>
      <w:r w:rsidR="00C84375">
        <w:t>sibles extrapolaciones políticas</w:t>
      </w:r>
      <w:r w:rsidR="00EB63A6">
        <w:t>.</w:t>
      </w:r>
    </w:p>
    <w:p w14:paraId="5B9F1170" w14:textId="389DC7E2" w:rsidR="00EB63A6" w:rsidRDefault="00D57025" w:rsidP="00DD2D50">
      <w:pPr>
        <w:ind w:firstLine="708"/>
        <w:jc w:val="both"/>
      </w:pPr>
      <w:r>
        <w:t xml:space="preserve">El objetivo de este artículo es construir una doble mirada indisociable entre la primera </w:t>
      </w:r>
      <w:r w:rsidR="00EB3CB1">
        <w:t xml:space="preserve">dimensión </w:t>
      </w:r>
      <w:r w:rsidR="00EB63A6">
        <w:t xml:space="preserve">de la calidad educativa, definida por los resultados de las evaluaciones estandarizadas, y una segunda </w:t>
      </w:r>
      <w:r w:rsidR="00EB3CB1">
        <w:t xml:space="preserve">dimensión </w:t>
      </w:r>
      <w:r w:rsidR="00EB63A6">
        <w:t>que toma distancia crítica revisando su metodología</w:t>
      </w:r>
      <w:r w:rsidR="00C84375">
        <w:t xml:space="preserve"> y contrastando distintas fuentes</w:t>
      </w:r>
      <w:r w:rsidR="00EB63A6">
        <w:t xml:space="preserve">. La hipótesis central es que hoy no se pueden leer los resultados de las </w:t>
      </w:r>
      <w:r w:rsidR="00FA7797">
        <w:t>evaluaciones</w:t>
      </w:r>
      <w:r w:rsidR="00EB63A6">
        <w:t xml:space="preserve"> sin un cuidado metodológico básico sobre su construcción metodológica. </w:t>
      </w:r>
    </w:p>
    <w:p w14:paraId="006CD633" w14:textId="77777777" w:rsidR="00AD502C" w:rsidRDefault="00AD502C" w:rsidP="00A84E1A">
      <w:pPr>
        <w:jc w:val="both"/>
      </w:pPr>
    </w:p>
    <w:p w14:paraId="6A621434" w14:textId="77777777" w:rsidR="00A84E1A" w:rsidRPr="00FB6FD7" w:rsidRDefault="00A84E1A" w:rsidP="00A84E1A">
      <w:pPr>
        <w:jc w:val="both"/>
        <w:rPr>
          <w:b/>
        </w:rPr>
      </w:pPr>
      <w:r w:rsidRPr="00FB6FD7">
        <w:rPr>
          <w:b/>
        </w:rPr>
        <w:t>Método</w:t>
      </w:r>
      <w:r w:rsidR="005122C8">
        <w:rPr>
          <w:b/>
        </w:rPr>
        <w:t>: una comparación sistemática de evaluaciones de la calidad educativa</w:t>
      </w:r>
    </w:p>
    <w:p w14:paraId="4FADF924" w14:textId="77777777" w:rsidR="004A34B9" w:rsidRDefault="004A34B9" w:rsidP="00A84E1A">
      <w:pPr>
        <w:jc w:val="both"/>
      </w:pPr>
    </w:p>
    <w:p w14:paraId="603BAEBF" w14:textId="180A0C29" w:rsidR="007F5D82" w:rsidRDefault="00973717" w:rsidP="00DD2D50">
      <w:pPr>
        <w:ind w:firstLine="708"/>
        <w:jc w:val="both"/>
      </w:pPr>
      <w:r w:rsidRPr="00973717">
        <w:t xml:space="preserve">Para </w:t>
      </w:r>
      <w:r w:rsidR="008B21D9">
        <w:t xml:space="preserve">cumplir este objetivo </w:t>
      </w:r>
      <w:r w:rsidRPr="00973717">
        <w:t xml:space="preserve">se </w:t>
      </w:r>
      <w:r w:rsidR="007F5D82">
        <w:t xml:space="preserve">recurrió a </w:t>
      </w:r>
      <w:r w:rsidR="00283389">
        <w:t>dos</w:t>
      </w:r>
      <w:r w:rsidR="00BD7619">
        <w:t xml:space="preserve"> estrategia</w:t>
      </w:r>
      <w:r w:rsidR="00283389">
        <w:t>s</w:t>
      </w:r>
      <w:r w:rsidR="00BD7619">
        <w:t xml:space="preserve"> metodológica</w:t>
      </w:r>
      <w:r w:rsidR="00283389">
        <w:t>s</w:t>
      </w:r>
      <w:r w:rsidR="007F5D82">
        <w:t xml:space="preserve">. </w:t>
      </w:r>
      <w:r w:rsidR="009D19EF">
        <w:t>La</w:t>
      </w:r>
      <w:r w:rsidR="00F763B6">
        <w:t xml:space="preserve"> primera </w:t>
      </w:r>
      <w:r w:rsidR="009D19EF">
        <w:t xml:space="preserve">se centró en el análisis </w:t>
      </w:r>
      <w:r w:rsidR="00F763B6">
        <w:t>de los resultados arrojados por las sucesivas ediciones de la prueba PISA. A partir de la edición 2015 se constató un cambio metodológico que tuvo importantes consecuencias sobre la comparabilidad inter-temporal de los países de América Latina</w:t>
      </w:r>
      <w:r w:rsidR="00704E6D">
        <w:t xml:space="preserve">, escasamente caracterizado en el informe de la </w:t>
      </w:r>
      <w:r w:rsidR="007D53E2" w:rsidRPr="007D53E2">
        <w:t xml:space="preserve">Organización para la Cooperación y el Desarrollo Económicos​ </w:t>
      </w:r>
      <w:r w:rsidR="007D53E2">
        <w:t>(</w:t>
      </w:r>
      <w:r w:rsidR="00704E6D">
        <w:t>OECD</w:t>
      </w:r>
      <w:r w:rsidR="007D53E2">
        <w:t>,</w:t>
      </w:r>
      <w:r w:rsidR="00283389">
        <w:t xml:space="preserve"> 2016a)</w:t>
      </w:r>
      <w:r w:rsidR="00F763B6">
        <w:t>.</w:t>
      </w:r>
      <w:r w:rsidR="00704E6D">
        <w:t xml:space="preserve"> Las hipótesis de investigación que se formularon para explicar por qué este cambio afectaba sólo a la región</w:t>
      </w:r>
      <w:r w:rsidR="00206B78">
        <w:t xml:space="preserve"> </w:t>
      </w:r>
      <w:r w:rsidR="00704E6D">
        <w:t xml:space="preserve">latinoamericana </w:t>
      </w:r>
      <w:r w:rsidR="005E75F6">
        <w:t xml:space="preserve">permitieron enfocar la mirada en el modo </w:t>
      </w:r>
      <w:r w:rsidR="00704E6D">
        <w:t>en que los estudiantes responden u omiten ítems en las pruebas PISA</w:t>
      </w:r>
      <w:r w:rsidR="00A008B3">
        <w:t xml:space="preserve">. Fue necesario </w:t>
      </w:r>
      <w:r w:rsidR="005E75F6">
        <w:t>analizar las respuestas a nivel de ítem, por alumno, en todas las pruebas de</w:t>
      </w:r>
      <w:r w:rsidR="00704E6D">
        <w:t xml:space="preserve"> todos los países participantes de los ciclos 2000 – 2015. </w:t>
      </w:r>
    </w:p>
    <w:p w14:paraId="67FBB217" w14:textId="7AAD1242" w:rsidR="001B5FBC" w:rsidRDefault="001B5FBC" w:rsidP="00DD2D50">
      <w:pPr>
        <w:ind w:firstLine="708"/>
        <w:jc w:val="both"/>
      </w:pPr>
      <w:r>
        <w:t xml:space="preserve">La segunda estrategia metodológica consistió en ampliar la mirada y sistematizar los resultados </w:t>
      </w:r>
      <w:r w:rsidR="001948A1">
        <w:t xml:space="preserve">de </w:t>
      </w:r>
      <w:r>
        <w:t>otras evaluaciones internacionales, especialmente de la</w:t>
      </w:r>
      <w:r w:rsidR="00B1776B">
        <w:t>s</w:t>
      </w:r>
      <w:r>
        <w:t xml:space="preserve"> prueba</w:t>
      </w:r>
      <w:r w:rsidR="00B1776B">
        <w:t>s</w:t>
      </w:r>
      <w:r>
        <w:t xml:space="preserve"> SERCE y TERCE de la UNESCO y de las evaluaciones nacionales de los siete países estudiados</w:t>
      </w:r>
      <w:r w:rsidR="00F638A2">
        <w:t>: ONE/Aprender en Argentina, SAEB en Brasil, SIMCE en Chile, SABER en Colombia, ENLACE en México y ECE en Perú</w:t>
      </w:r>
      <w:r w:rsidR="00576C9D" w:rsidRPr="00576C9D">
        <w:rPr>
          <w:vertAlign w:val="superscript"/>
        </w:rPr>
        <w:t>1</w:t>
      </w:r>
      <w:r w:rsidR="00F638A2">
        <w:t>.</w:t>
      </w:r>
      <w:r>
        <w:t xml:space="preserve"> Estas </w:t>
      </w:r>
      <w:r w:rsidR="00F638A2">
        <w:t>evaluaciones</w:t>
      </w:r>
      <w:r>
        <w:t xml:space="preserve"> tienen rasgos distintos que no permiten su comparación directa sin comprender sus objetivos y estrategias metodológicas. </w:t>
      </w:r>
    </w:p>
    <w:p w14:paraId="3DEC1105" w14:textId="7C80A9A5" w:rsidR="001B5FBC" w:rsidRDefault="001B5FBC" w:rsidP="00DD2D50">
      <w:pPr>
        <w:ind w:firstLine="708"/>
        <w:jc w:val="both"/>
      </w:pPr>
      <w:r>
        <w:t>Nuestro trabajo consistió en sistematizar las evaluaciones de los países</w:t>
      </w:r>
      <w:r w:rsidR="00B1776B">
        <w:t>,</w:t>
      </w:r>
      <w:r w:rsidR="005E75F6">
        <w:t xml:space="preserve"> consi</w:t>
      </w:r>
      <w:r w:rsidR="009D19EF">
        <w:t>derando el modo en que</w:t>
      </w:r>
      <w:r w:rsidR="005E75F6">
        <w:t xml:space="preserve"> estandariza</w:t>
      </w:r>
      <w:r w:rsidR="009D19EF">
        <w:t>n</w:t>
      </w:r>
      <w:r w:rsidR="005E75F6">
        <w:t xml:space="preserve"> la dispersión de cada escala</w:t>
      </w:r>
      <w:r w:rsidR="00B1776B">
        <w:t xml:space="preserve"> de puntaje</w:t>
      </w:r>
      <w:r w:rsidR="005E75F6">
        <w:t>, tomando en cuenta la</w:t>
      </w:r>
      <w:r w:rsidR="00B1776B">
        <w:t>s</w:t>
      </w:r>
      <w:r w:rsidR="005E75F6">
        <w:t xml:space="preserve"> </w:t>
      </w:r>
      <w:r w:rsidR="00B1776B">
        <w:t>tendencias</w:t>
      </w:r>
      <w:r w:rsidR="005E75F6">
        <w:t xml:space="preserve"> central</w:t>
      </w:r>
      <w:r w:rsidR="00B1776B">
        <w:t>es</w:t>
      </w:r>
      <w:r w:rsidR="005E75F6">
        <w:t xml:space="preserve"> y l</w:t>
      </w:r>
      <w:r w:rsidR="00D244C3">
        <w:t>as desviaciones</w:t>
      </w:r>
      <w:r w:rsidR="00C2589A">
        <w:t xml:space="preserve"> </w:t>
      </w:r>
      <w:r w:rsidR="005E75F6">
        <w:t>estándar de</w:t>
      </w:r>
      <w:r w:rsidR="00B1776B">
        <w:t>finid</w:t>
      </w:r>
      <w:r w:rsidR="00C2589A">
        <w:t>a</w:t>
      </w:r>
      <w:r w:rsidR="00B1776B">
        <w:t>s</w:t>
      </w:r>
      <w:r>
        <w:t xml:space="preserve">. Las evaluaciones de cada país tienen objetivos distintos a las internacionales y la comparación no indica que deberían obtener resultados idénticos. </w:t>
      </w:r>
      <w:r w:rsidR="00364551">
        <w:t xml:space="preserve">Incluso, en algunos casos no es clara la validez de la comparación en el tiempo de la misma evaluación nacional en todas sus aplicaciones. </w:t>
      </w:r>
      <w:r>
        <w:t xml:space="preserve">Lo que busca este trabajo es dar una mirada más integral al análisis de la calidad educativa, tomando en cuenta todas las fuentes disponibles sobre los resultados de siete países en distintas evaluaciones. Así se busca </w:t>
      </w:r>
      <w:r>
        <w:lastRenderedPageBreak/>
        <w:t xml:space="preserve">abordar una segunda capa de la calidad educativa, que controla por vía de la multiplicación de las fuentes </w:t>
      </w:r>
      <w:r w:rsidR="00B1776B">
        <w:t>lo que</w:t>
      </w:r>
      <w:r>
        <w:t xml:space="preserve"> sabemos sobre los resultados de aprendizaje en los siete países analizados.</w:t>
      </w:r>
    </w:p>
    <w:p w14:paraId="2455BF8A" w14:textId="5F6669B9" w:rsidR="001B5FBC" w:rsidRDefault="001B5FBC" w:rsidP="00DD2D50">
      <w:pPr>
        <w:ind w:firstLine="708"/>
        <w:jc w:val="both"/>
      </w:pPr>
      <w:r>
        <w:t>No existen antecedentes de trabajos similares en América Latina. Otros estudios analizaron las pruebas PISA co</w:t>
      </w:r>
      <w:r w:rsidR="009F6776">
        <w:t xml:space="preserve">n perspectiva </w:t>
      </w:r>
      <w:r w:rsidR="00CB57E1">
        <w:t>i</w:t>
      </w:r>
      <w:r w:rsidR="009F6776">
        <w:t>beroamericana (</w:t>
      </w:r>
      <w:r w:rsidR="007D53E2" w:rsidRPr="007D53E2">
        <w:t>Grupo Iberoamericano de PISA</w:t>
      </w:r>
      <w:r w:rsidR="009F6776">
        <w:t>, 2010; OECD</w:t>
      </w:r>
      <w:r w:rsidR="00C90692">
        <w:t>,</w:t>
      </w:r>
      <w:r w:rsidR="009F6776">
        <w:t xml:space="preserve"> 2018</w:t>
      </w:r>
      <w:r>
        <w:t>)</w:t>
      </w:r>
      <w:r w:rsidR="009F6776">
        <w:t xml:space="preserve"> o </w:t>
      </w:r>
      <w:r w:rsidR="00CB57E1">
        <w:t>l</w:t>
      </w:r>
      <w:r w:rsidR="009F6776">
        <w:t>atinoamericana (</w:t>
      </w:r>
      <w:r w:rsidR="00C2589A">
        <w:t>Bos, Elías, Vegas y</w:t>
      </w:r>
      <w:r w:rsidR="007226F2">
        <w:t xml:space="preserve"> Zoido</w:t>
      </w:r>
      <w:r w:rsidR="00C90692">
        <w:t>,</w:t>
      </w:r>
      <w:r w:rsidR="000B0160">
        <w:t xml:space="preserve"> 2016</w:t>
      </w:r>
      <w:r w:rsidR="001948A1">
        <w:t>)</w:t>
      </w:r>
      <w:r>
        <w:t xml:space="preserve">, existen análisis </w:t>
      </w:r>
      <w:r w:rsidRPr="00313B88">
        <w:t>profundos so</w:t>
      </w:r>
      <w:r w:rsidR="00953853" w:rsidRPr="00313B88">
        <w:t>bre las pruebas de la UNESCO (LLECE, 2014</w:t>
      </w:r>
      <w:r w:rsidRPr="00313B88">
        <w:t>),</w:t>
      </w:r>
      <w:r w:rsidR="009D344C">
        <w:t xml:space="preserve"> miradas integradas de ambas evaluaciones (Hanushek </w:t>
      </w:r>
      <w:r w:rsidR="00C2589A">
        <w:t>y</w:t>
      </w:r>
      <w:r w:rsidR="009D344C">
        <w:t xml:space="preserve"> Woessmann</w:t>
      </w:r>
      <w:r w:rsidR="00A20260">
        <w:t>, 2012</w:t>
      </w:r>
      <w:r w:rsidR="009D344C">
        <w:t xml:space="preserve">) </w:t>
      </w:r>
      <w:r w:rsidRPr="00313B88">
        <w:t>y trabajos que en cada país han consolidado visiones sobre los resultados de l</w:t>
      </w:r>
      <w:r w:rsidR="00DE3E66" w:rsidRPr="00313B88">
        <w:t>as evaluaciones (</w:t>
      </w:r>
      <w:r w:rsidR="00ED6B54" w:rsidRPr="00ED6B54">
        <w:t>Instituto Colombiano para la Ev</w:t>
      </w:r>
      <w:r w:rsidR="00ED6B54">
        <w:t xml:space="preserve">aluación de la Educación, </w:t>
      </w:r>
      <w:r w:rsidR="00ED6B54" w:rsidRPr="00ED6B54">
        <w:t>2017</w:t>
      </w:r>
      <w:r w:rsidR="00313B88" w:rsidRPr="00313B88">
        <w:t xml:space="preserve">; </w:t>
      </w:r>
      <w:r w:rsidR="007A7EF2" w:rsidRPr="00094EBC">
        <w:rPr>
          <w:rFonts w:ascii="Calibri" w:hAnsi="Calibri" w:cs="Arial"/>
        </w:rPr>
        <w:t>Ministério da Educação do Brasil</w:t>
      </w:r>
      <w:r w:rsidR="00C90692">
        <w:t>,</w:t>
      </w:r>
      <w:r w:rsidR="00313B88" w:rsidRPr="00313B88">
        <w:t xml:space="preserve"> 2016</w:t>
      </w:r>
      <w:r w:rsidR="00DE3E66" w:rsidRPr="00313B88">
        <w:t>)</w:t>
      </w:r>
      <w:r w:rsidRPr="00313B88">
        <w:t xml:space="preserve">. </w:t>
      </w:r>
      <w:r w:rsidR="001948A1" w:rsidRPr="00313B88">
        <w:t>El presente artículo</w:t>
      </w:r>
      <w:r w:rsidRPr="00313B88">
        <w:t xml:space="preserve"> es original en la síntesis que realiza de estas distintas fuentes para obtener</w:t>
      </w:r>
      <w:r>
        <w:t xml:space="preserve"> una mirada panorámica de la calidad educativa en América Latina.</w:t>
      </w:r>
    </w:p>
    <w:p w14:paraId="440E432B" w14:textId="77777777" w:rsidR="00CF7CBC" w:rsidRDefault="00CF7CBC" w:rsidP="00A84E1A">
      <w:pPr>
        <w:jc w:val="both"/>
      </w:pPr>
    </w:p>
    <w:p w14:paraId="7233999E" w14:textId="77777777" w:rsidR="00A84E1A" w:rsidRDefault="00A84E1A" w:rsidP="00A84E1A">
      <w:pPr>
        <w:jc w:val="both"/>
        <w:rPr>
          <w:b/>
        </w:rPr>
      </w:pPr>
      <w:r w:rsidRPr="00FB6FD7">
        <w:rPr>
          <w:b/>
        </w:rPr>
        <w:t>Resultados</w:t>
      </w:r>
    </w:p>
    <w:p w14:paraId="409929CD" w14:textId="77777777" w:rsidR="00A84E1A" w:rsidRPr="004C0293" w:rsidRDefault="00035FAF" w:rsidP="00A84E1A">
      <w:pPr>
        <w:jc w:val="both"/>
        <w:rPr>
          <w:b/>
        </w:rPr>
      </w:pPr>
      <w:r>
        <w:rPr>
          <w:b/>
        </w:rPr>
        <w:t>América Latina en las pruebas PISA</w:t>
      </w:r>
      <w:r w:rsidR="00AA2C47">
        <w:rPr>
          <w:b/>
        </w:rPr>
        <w:t>: el problema de la comparabilidad</w:t>
      </w:r>
    </w:p>
    <w:p w14:paraId="4EE56A6C" w14:textId="114AB1B6" w:rsidR="00185412" w:rsidRDefault="00185412" w:rsidP="00DD2D50">
      <w:pPr>
        <w:ind w:firstLine="708"/>
        <w:jc w:val="both"/>
      </w:pPr>
      <w:r w:rsidRPr="00185412">
        <w:t>La pru</w:t>
      </w:r>
      <w:r w:rsidR="00035FAF">
        <w:t xml:space="preserve">eba PISA de la </w:t>
      </w:r>
      <w:r w:rsidR="00C2589A">
        <w:t>OCDE</w:t>
      </w:r>
      <w:r w:rsidR="00C2589A" w:rsidRPr="00185412">
        <w:t xml:space="preserve"> </w:t>
      </w:r>
      <w:r w:rsidR="00035FAF">
        <w:t xml:space="preserve">se aplicó por primera vez en el año 2000 y evalúa a alumnos de 15 años </w:t>
      </w:r>
      <w:r w:rsidRPr="00185412">
        <w:t xml:space="preserve">en </w:t>
      </w:r>
      <w:r w:rsidR="00486A4D">
        <w:t>Lengua</w:t>
      </w:r>
      <w:r w:rsidR="00035FAF">
        <w:t xml:space="preserve">, </w:t>
      </w:r>
      <w:r w:rsidR="00486A4D">
        <w:t>Matemática</w:t>
      </w:r>
      <w:r w:rsidR="00035FAF">
        <w:t xml:space="preserve"> y</w:t>
      </w:r>
      <w:r w:rsidR="00C2589A">
        <w:t xml:space="preserve"> </w:t>
      </w:r>
      <w:r w:rsidR="007226F2">
        <w:t>Ciencias</w:t>
      </w:r>
      <w:r w:rsidRPr="00185412">
        <w:t>. En 2015 participa</w:t>
      </w:r>
      <w:r w:rsidR="009867C3">
        <w:t>ron 72 países</w:t>
      </w:r>
      <w:r w:rsidR="002A207C">
        <w:t>,</w:t>
      </w:r>
      <w:r w:rsidR="009867C3">
        <w:t xml:space="preserve"> 35 de la </w:t>
      </w:r>
      <w:r w:rsidR="007D53E2">
        <w:t>O</w:t>
      </w:r>
      <w:r w:rsidR="00C2589A">
        <w:t>CDE</w:t>
      </w:r>
      <w:r w:rsidR="007D53E2">
        <w:t xml:space="preserve"> </w:t>
      </w:r>
      <w:r w:rsidR="009867C3">
        <w:t>y nueve</w:t>
      </w:r>
      <w:r w:rsidRPr="00185412">
        <w:t xml:space="preserve"> de</w:t>
      </w:r>
      <w:r w:rsidR="00035FAF">
        <w:t xml:space="preserve"> América Latina</w:t>
      </w:r>
      <w:r w:rsidR="009867C3">
        <w:t>, de los cuales siete</w:t>
      </w:r>
      <w:r w:rsidR="00340849">
        <w:t xml:space="preserve"> habían venido participando en varias ediciones desde el año 2000: Argentina, Brasil, Chile, Colombia, México, Perú y Uruguay</w:t>
      </w:r>
      <w:r w:rsidR="002A207C">
        <w:t>.</w:t>
      </w:r>
      <w:r w:rsidR="00035FAF">
        <w:t xml:space="preserve"> </w:t>
      </w:r>
      <w:r w:rsidR="009867C3">
        <w:t>Sobre estos siete</w:t>
      </w:r>
      <w:r w:rsidR="00340849">
        <w:t xml:space="preserve"> países se concentrará el análisis de los resultados, dado que es posible compararlos en el tiempo.</w:t>
      </w:r>
    </w:p>
    <w:p w14:paraId="2E76257E" w14:textId="25AA95A9" w:rsidR="00340849" w:rsidRDefault="001030A2" w:rsidP="00DD2D50">
      <w:pPr>
        <w:ind w:firstLine="708"/>
        <w:jc w:val="both"/>
      </w:pPr>
      <w:r>
        <w:t xml:space="preserve">En la última edición de la prueba PISA se incorporaron cambios metodológicos que buscaron mejorar la precisión de las mediciones. Un cambio en particular tuvo un impacto destacado en varios países de América Latina, pero no en otros países participantes del resto del mundo. </w:t>
      </w:r>
      <w:r w:rsidR="00F60402">
        <w:t>Las ediciones de PISA de 2000 a 2012 contabilizaban a las pruebas entregadas de manera incompleta por los alumnos como válidas y les asignaban el puntaje más bajo a las preguntas no respondidas. En 2015 se decidió cambiar el criterio y considerar no</w:t>
      </w:r>
      <w:r w:rsidR="002A207C">
        <w:t xml:space="preserve"> válida esta falta de respuesta</w:t>
      </w:r>
      <w:r w:rsidR="00911968">
        <w:t xml:space="preserve"> </w:t>
      </w:r>
      <w:r w:rsidR="005D2396">
        <w:t>(OECD, 2016a)</w:t>
      </w:r>
      <w:r w:rsidR="00F60402">
        <w:t>.</w:t>
      </w:r>
      <w:r w:rsidR="00911968">
        <w:t xml:space="preserve"> </w:t>
      </w:r>
    </w:p>
    <w:p w14:paraId="71958C47" w14:textId="36B3C088" w:rsidR="00F94132" w:rsidRDefault="00F60402" w:rsidP="00DD2D50">
      <w:pPr>
        <w:ind w:firstLine="708"/>
        <w:jc w:val="both"/>
      </w:pPr>
      <w:r>
        <w:t>El cambio en la valoración de las pruebas con ítems no completados (</w:t>
      </w:r>
      <w:r w:rsidRPr="005D2396">
        <w:rPr>
          <w:i/>
        </w:rPr>
        <w:t>non-reached ítems</w:t>
      </w:r>
      <w:r>
        <w:t xml:space="preserve">) </w:t>
      </w:r>
      <w:r w:rsidR="006B3935">
        <w:t xml:space="preserve">del año 2015 puso en evidencia que </w:t>
      </w:r>
      <w:r w:rsidR="006C7C54">
        <w:t xml:space="preserve">este problema estaba únicamente presente en países de América Latina. </w:t>
      </w:r>
      <w:r w:rsidR="00867253">
        <w:t>En la región</w:t>
      </w:r>
      <w:r w:rsidR="006C7C54">
        <w:t xml:space="preserve"> el porcentaje d</w:t>
      </w:r>
      <w:r w:rsidR="00953853">
        <w:t xml:space="preserve">e ítems no completados </w:t>
      </w:r>
      <w:r w:rsidR="002A207C">
        <w:t>era</w:t>
      </w:r>
      <w:r w:rsidR="00953853">
        <w:t xml:space="preserve"> del 11,9%</w:t>
      </w:r>
      <w:r w:rsidR="006C7C54">
        <w:t xml:space="preserve"> en 2000 y fue disminuyendo hasta llegar </w:t>
      </w:r>
      <w:r w:rsidR="00953853">
        <w:t>al 1,9%</w:t>
      </w:r>
      <w:bookmarkStart w:id="1" w:name="_Toc527455693"/>
      <w:r w:rsidR="00867253">
        <w:t xml:space="preserve"> en 2015, mientras en el resto de los países fue mucho más bajo desde un comienzo.</w:t>
      </w:r>
    </w:p>
    <w:bookmarkEnd w:id="1"/>
    <w:p w14:paraId="2F153629" w14:textId="3BF2B353" w:rsidR="006522BD" w:rsidRDefault="006C7C54" w:rsidP="00DD2D50">
      <w:pPr>
        <w:ind w:firstLine="708"/>
        <w:jc w:val="both"/>
      </w:pPr>
      <w:r>
        <w:t xml:space="preserve">El cambio metodológico presenta </w:t>
      </w:r>
      <w:r w:rsidR="006522BD">
        <w:t>tres</w:t>
      </w:r>
      <w:r>
        <w:t xml:space="preserve"> problemas para la comparabilidad inter-temporal de los resultados en América Latina.</w:t>
      </w:r>
      <w:r w:rsidR="009D19EF">
        <w:t xml:space="preserve"> El primero </w:t>
      </w:r>
      <w:r w:rsidR="00B32B17">
        <w:t>es que este cambio afectó los resultados de algunos países.</w:t>
      </w:r>
      <w:r w:rsidR="006522BD">
        <w:t xml:space="preserve"> </w:t>
      </w:r>
      <w:r w:rsidR="005D2396">
        <w:t>L</w:t>
      </w:r>
      <w:r w:rsidR="00867253">
        <w:t>a tabla 1</w:t>
      </w:r>
      <w:r w:rsidR="00171D4F">
        <w:t xml:space="preserve"> </w:t>
      </w:r>
      <w:r w:rsidR="004009F2">
        <w:t>pre</w:t>
      </w:r>
      <w:r w:rsidR="0049670D">
        <w:t xml:space="preserve">senta los resultados originales </w:t>
      </w:r>
      <w:r w:rsidR="004009F2">
        <w:t>y re-escalados para los países participantes de América Latina</w:t>
      </w:r>
      <w:r w:rsidR="003671FC">
        <w:rPr>
          <w:vertAlign w:val="superscript"/>
        </w:rPr>
        <w:t>2</w:t>
      </w:r>
      <w:r w:rsidR="004009F2">
        <w:t xml:space="preserve">. </w:t>
      </w:r>
      <w:r w:rsidR="0049670D">
        <w:t>Cabe resaltar que los resultados re-escalados son los correctos para toda comparación inter-temporal</w:t>
      </w:r>
      <w:r w:rsidR="007929DE">
        <w:t>, dado que se basan en la equiparación metodológica de los ítems no completados</w:t>
      </w:r>
      <w:r w:rsidR="0049670D">
        <w:t>.</w:t>
      </w:r>
    </w:p>
    <w:p w14:paraId="4666E0B5" w14:textId="44B7BB5D" w:rsidR="003D2ED3" w:rsidRPr="00FC5A31" w:rsidRDefault="0049670D" w:rsidP="00DD2D50">
      <w:pPr>
        <w:ind w:firstLine="708"/>
        <w:jc w:val="both"/>
        <w:rPr>
          <w:rFonts w:cstheme="minorHAnsi"/>
        </w:rPr>
      </w:pPr>
      <w:r>
        <w:t>En la tabla 1</w:t>
      </w:r>
      <w:r w:rsidR="004009F2">
        <w:t xml:space="preserve"> se observa que</w:t>
      </w:r>
      <w:r w:rsidR="004009F2" w:rsidRPr="004009F2">
        <w:t xml:space="preserve"> las mejoras notables de Colombia entre 2012 y 2015 fueron sólo el efecto del cambio de meto</w:t>
      </w:r>
      <w:r w:rsidR="007929DE">
        <w:t xml:space="preserve">dología. </w:t>
      </w:r>
      <w:r w:rsidR="003D2ED3" w:rsidRPr="007929DE">
        <w:rPr>
          <w:rFonts w:cstheme="minorHAnsi"/>
        </w:rPr>
        <w:t xml:space="preserve">En </w:t>
      </w:r>
      <w:r w:rsidR="007929DE">
        <w:rPr>
          <w:rFonts w:cstheme="minorHAnsi"/>
        </w:rPr>
        <w:t xml:space="preserve">Uruguay </w:t>
      </w:r>
      <w:r w:rsidR="003D2ED3" w:rsidRPr="007929DE">
        <w:rPr>
          <w:rFonts w:cstheme="minorHAnsi"/>
        </w:rPr>
        <w:t xml:space="preserve">los resultados originales </w:t>
      </w:r>
      <w:r w:rsidR="00171D4F" w:rsidRPr="007929DE">
        <w:rPr>
          <w:rFonts w:cstheme="minorHAnsi"/>
        </w:rPr>
        <w:t>mostraban</w:t>
      </w:r>
      <w:r w:rsidR="003D2ED3" w:rsidRPr="007929DE">
        <w:rPr>
          <w:rFonts w:cstheme="minorHAnsi"/>
        </w:rPr>
        <w:t xml:space="preserve"> cierta estabilidad, con una sustantiva mejora en la última aplicación, pero con los resultados calculados con la metodología de PISA 2015, el escenario que se perfila es inverso. En el caso de Argentina, </w:t>
      </w:r>
      <w:r w:rsidR="00364551" w:rsidRPr="007929DE">
        <w:rPr>
          <w:rFonts w:cstheme="minorHAnsi"/>
        </w:rPr>
        <w:t xml:space="preserve">que se presenta sólo hasta </w:t>
      </w:r>
      <w:r w:rsidR="003671FC" w:rsidRPr="007929DE">
        <w:rPr>
          <w:rFonts w:cstheme="minorHAnsi"/>
        </w:rPr>
        <w:t>2012</w:t>
      </w:r>
      <w:r w:rsidR="003671FC">
        <w:rPr>
          <w:rFonts w:cstheme="minorHAnsi"/>
          <w:vertAlign w:val="superscript"/>
        </w:rPr>
        <w:t>3</w:t>
      </w:r>
      <w:r w:rsidR="00364551" w:rsidRPr="007929DE">
        <w:rPr>
          <w:rFonts w:cstheme="minorHAnsi"/>
        </w:rPr>
        <w:t xml:space="preserve">, </w:t>
      </w:r>
      <w:r w:rsidR="003D2ED3" w:rsidRPr="007929DE">
        <w:rPr>
          <w:rFonts w:cstheme="minorHAnsi"/>
        </w:rPr>
        <w:t>el escenario de mejora de los resultados con los dato</w:t>
      </w:r>
      <w:r w:rsidR="0050229A">
        <w:rPr>
          <w:rFonts w:cstheme="minorHAnsi"/>
        </w:rPr>
        <w:t>s originales tiende a reducirse</w:t>
      </w:r>
      <w:r w:rsidR="003D2ED3" w:rsidRPr="007929DE">
        <w:rPr>
          <w:rFonts w:cstheme="minorHAnsi"/>
        </w:rPr>
        <w:t>. En Perú</w:t>
      </w:r>
      <w:r w:rsidR="003D2ED3">
        <w:rPr>
          <w:rFonts w:cstheme="minorHAnsi"/>
        </w:rPr>
        <w:t xml:space="preserve"> el cambio de metodología también incide, pero la </w:t>
      </w:r>
      <w:r w:rsidR="003D2ED3">
        <w:rPr>
          <w:rFonts w:cstheme="minorHAnsi"/>
        </w:rPr>
        <w:lastRenderedPageBreak/>
        <w:t xml:space="preserve">tendencia </w:t>
      </w:r>
      <w:r w:rsidR="00171D4F">
        <w:rPr>
          <w:rFonts w:cstheme="minorHAnsi"/>
        </w:rPr>
        <w:t>de mejora se mantiene</w:t>
      </w:r>
      <w:r w:rsidR="003D2ED3">
        <w:rPr>
          <w:rFonts w:cstheme="minorHAnsi"/>
        </w:rPr>
        <w:t xml:space="preserve"> en ambos escenario</w:t>
      </w:r>
      <w:r w:rsidR="00171D4F">
        <w:rPr>
          <w:rFonts w:cstheme="minorHAnsi"/>
        </w:rPr>
        <w:t>s, con</w:t>
      </w:r>
      <w:r w:rsidR="003D2ED3">
        <w:rPr>
          <w:rFonts w:cstheme="minorHAnsi"/>
        </w:rPr>
        <w:t xml:space="preserve"> menor intensidad</w:t>
      </w:r>
      <w:r w:rsidR="00171D4F">
        <w:rPr>
          <w:rFonts w:cstheme="minorHAnsi"/>
        </w:rPr>
        <w:t xml:space="preserve"> en los resultados re-escalados</w:t>
      </w:r>
      <w:r w:rsidR="003D2ED3">
        <w:rPr>
          <w:rFonts w:cstheme="minorHAnsi"/>
        </w:rPr>
        <w:t xml:space="preserve">. </w:t>
      </w:r>
    </w:p>
    <w:p w14:paraId="0FC985D8" w14:textId="3AAF41E8" w:rsidR="003D2ED3" w:rsidRDefault="003D2ED3" w:rsidP="00DD2D50">
      <w:pPr>
        <w:autoSpaceDE w:val="0"/>
        <w:autoSpaceDN w:val="0"/>
        <w:adjustRightInd w:val="0"/>
        <w:spacing w:after="0" w:line="240" w:lineRule="auto"/>
        <w:ind w:firstLine="708"/>
        <w:jc w:val="both"/>
        <w:rPr>
          <w:rFonts w:cstheme="minorHAnsi"/>
        </w:rPr>
      </w:pPr>
      <w:r w:rsidRPr="007929DE">
        <w:rPr>
          <w:rFonts w:cstheme="minorHAnsi"/>
        </w:rPr>
        <w:t xml:space="preserve">Chile es un caso de incidencia </w:t>
      </w:r>
      <w:r w:rsidR="002F69CC">
        <w:rPr>
          <w:rFonts w:cstheme="minorHAnsi"/>
        </w:rPr>
        <w:t>distinta</w:t>
      </w:r>
      <w:r w:rsidRPr="007929DE">
        <w:rPr>
          <w:rFonts w:cstheme="minorHAnsi"/>
        </w:rPr>
        <w:t xml:space="preserve"> en el cambio de la metodología: con los resultados originales, Chile </w:t>
      </w:r>
      <w:r w:rsidR="00171D4F" w:rsidRPr="007929DE">
        <w:rPr>
          <w:rFonts w:cstheme="minorHAnsi"/>
        </w:rPr>
        <w:t>mostraba</w:t>
      </w:r>
      <w:r w:rsidRPr="007929DE">
        <w:rPr>
          <w:rFonts w:cstheme="minorHAnsi"/>
        </w:rPr>
        <w:t xml:space="preserve"> una tendencia de mejora </w:t>
      </w:r>
      <w:r w:rsidR="002F69CC">
        <w:rPr>
          <w:rFonts w:cstheme="minorHAnsi"/>
        </w:rPr>
        <w:t>en los primeros años (2000 a 2006), que ahora ya no puede ser comparado con las pruebas de los años siguientes</w:t>
      </w:r>
      <w:r w:rsidR="00171D4F" w:rsidRPr="007929DE">
        <w:rPr>
          <w:rFonts w:cstheme="minorHAnsi"/>
        </w:rPr>
        <w:t xml:space="preserve">. </w:t>
      </w:r>
      <w:r w:rsidRPr="007929DE">
        <w:rPr>
          <w:rFonts w:cstheme="minorHAnsi"/>
        </w:rPr>
        <w:t>Brasil y México son los países menos afectados por estos cambios: en promedio, los resultados de las tres áreas</w:t>
      </w:r>
      <w:r w:rsidRPr="00671830">
        <w:rPr>
          <w:rFonts w:cstheme="minorHAnsi"/>
        </w:rPr>
        <w:t xml:space="preserve"> muestran valores similares en el periodo 2006 – 2015. </w:t>
      </w:r>
    </w:p>
    <w:p w14:paraId="0D53702B" w14:textId="77777777" w:rsidR="00FC5A31" w:rsidRDefault="00FC5A31" w:rsidP="003D2ED3">
      <w:pPr>
        <w:autoSpaceDE w:val="0"/>
        <w:autoSpaceDN w:val="0"/>
        <w:adjustRightInd w:val="0"/>
        <w:spacing w:after="0" w:line="240" w:lineRule="auto"/>
        <w:jc w:val="both"/>
        <w:rPr>
          <w:rFonts w:cstheme="minorHAnsi"/>
        </w:rPr>
      </w:pPr>
    </w:p>
    <w:p w14:paraId="1EB1E0A7" w14:textId="530892B0" w:rsidR="00C30B74" w:rsidRPr="00671830" w:rsidRDefault="003D2ED3" w:rsidP="00C30B74">
      <w:pPr>
        <w:autoSpaceDE w:val="0"/>
        <w:autoSpaceDN w:val="0"/>
        <w:adjustRightInd w:val="0"/>
        <w:spacing w:after="0" w:line="240" w:lineRule="auto"/>
        <w:jc w:val="both"/>
        <w:rPr>
          <w:rFonts w:cstheme="minorHAnsi"/>
        </w:rPr>
      </w:pPr>
      <w:r>
        <w:rPr>
          <w:rFonts w:cstheme="minorHAnsi"/>
        </w:rPr>
        <w:t xml:space="preserve">Tabla </w:t>
      </w:r>
      <w:r w:rsidR="007B386A">
        <w:rPr>
          <w:rFonts w:ascii="Calibri" w:eastAsia="Times New Roman" w:hAnsi="Calibri" w:cs="Calibri"/>
          <w:lang w:eastAsia="es-AR"/>
        </w:rPr>
        <w:t>1</w:t>
      </w:r>
      <w:r w:rsidR="00C30B74">
        <w:rPr>
          <w:rFonts w:ascii="Calibri" w:eastAsia="Times New Roman" w:hAnsi="Calibri" w:cs="Calibri"/>
          <w:lang w:eastAsia="es-AR"/>
        </w:rPr>
        <w:t>.</w:t>
      </w:r>
      <w:r w:rsidR="00C30B74" w:rsidRPr="00671830">
        <w:rPr>
          <w:rFonts w:cstheme="minorHAnsi"/>
        </w:rPr>
        <w:t xml:space="preserve"> Resultados PISA en puntajes original</w:t>
      </w:r>
      <w:r w:rsidR="00C30B74">
        <w:rPr>
          <w:rFonts w:cstheme="minorHAnsi"/>
        </w:rPr>
        <w:t>es (2000-2015) y</w:t>
      </w:r>
      <w:r w:rsidR="00C30B74" w:rsidRPr="00671830">
        <w:rPr>
          <w:rFonts w:cstheme="minorHAnsi"/>
        </w:rPr>
        <w:t xml:space="preserve"> re</w:t>
      </w:r>
      <w:r w:rsidR="00C30B74">
        <w:rPr>
          <w:rFonts w:cstheme="minorHAnsi"/>
        </w:rPr>
        <w:t>-</w:t>
      </w:r>
      <w:r w:rsidR="00C30B74" w:rsidRPr="00671830">
        <w:rPr>
          <w:rFonts w:cstheme="minorHAnsi"/>
        </w:rPr>
        <w:t>escalados (2006-2015), po</w:t>
      </w:r>
      <w:r w:rsidR="00C30B74">
        <w:rPr>
          <w:rFonts w:cstheme="minorHAnsi"/>
        </w:rPr>
        <w:t>r área.</w:t>
      </w:r>
    </w:p>
    <w:p w14:paraId="29043306" w14:textId="77777777" w:rsidR="00C30B74" w:rsidRPr="00671830" w:rsidRDefault="00C30B74" w:rsidP="00C30B74">
      <w:pPr>
        <w:autoSpaceDE w:val="0"/>
        <w:autoSpaceDN w:val="0"/>
        <w:adjustRightInd w:val="0"/>
        <w:spacing w:after="0" w:line="240" w:lineRule="auto"/>
        <w:jc w:val="both"/>
        <w:rPr>
          <w:rFonts w:cstheme="minorHAnsi"/>
        </w:rPr>
      </w:pPr>
    </w:p>
    <w:tbl>
      <w:tblPr>
        <w:tblStyle w:val="Tablaconcuadrcula"/>
        <w:tblW w:w="10285"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3050"/>
        <w:gridCol w:w="3067"/>
        <w:gridCol w:w="3050"/>
      </w:tblGrid>
      <w:tr w:rsidR="00C30B74" w:rsidRPr="00671830" w14:paraId="68201A32" w14:textId="77777777" w:rsidTr="003671FC">
        <w:tc>
          <w:tcPr>
            <w:tcW w:w="1118" w:type="dxa"/>
            <w:vAlign w:val="center"/>
          </w:tcPr>
          <w:p w14:paraId="2126242E" w14:textId="77777777" w:rsidR="00C30B74" w:rsidRPr="00671830" w:rsidRDefault="00C30B74" w:rsidP="003671FC">
            <w:pPr>
              <w:autoSpaceDE w:val="0"/>
              <w:autoSpaceDN w:val="0"/>
              <w:adjustRightInd w:val="0"/>
              <w:rPr>
                <w:rFonts w:cstheme="minorHAnsi"/>
                <w:b/>
              </w:rPr>
            </w:pPr>
          </w:p>
        </w:tc>
        <w:tc>
          <w:tcPr>
            <w:tcW w:w="3050" w:type="dxa"/>
            <w:tcBorders>
              <w:top w:val="nil"/>
              <w:left w:val="nil"/>
              <w:bottom w:val="nil"/>
              <w:right w:val="single" w:sz="36" w:space="0" w:color="FFFFFF" w:themeColor="background1"/>
            </w:tcBorders>
            <w:shd w:val="clear" w:color="auto" w:fill="D9D9D9" w:themeFill="background1" w:themeFillShade="D9"/>
            <w:vAlign w:val="center"/>
            <w:hideMark/>
          </w:tcPr>
          <w:p w14:paraId="4F46B8A0" w14:textId="77777777" w:rsidR="00C30B74" w:rsidRPr="00671830" w:rsidRDefault="00C30B74" w:rsidP="003671FC">
            <w:pPr>
              <w:autoSpaceDE w:val="0"/>
              <w:autoSpaceDN w:val="0"/>
              <w:adjustRightInd w:val="0"/>
              <w:jc w:val="center"/>
              <w:rPr>
                <w:rFonts w:cstheme="minorHAnsi"/>
                <w:b/>
                <w:sz w:val="28"/>
              </w:rPr>
            </w:pPr>
            <w:r w:rsidRPr="00671830">
              <w:rPr>
                <w:rFonts w:cstheme="minorHAnsi"/>
                <w:b/>
                <w:sz w:val="28"/>
              </w:rPr>
              <w:t>Lectura</w:t>
            </w:r>
          </w:p>
        </w:tc>
        <w:tc>
          <w:tcPr>
            <w:tcW w:w="3067" w:type="dxa"/>
            <w:tcBorders>
              <w:top w:val="nil"/>
              <w:left w:val="single" w:sz="36" w:space="0" w:color="FFFFFF" w:themeColor="background1"/>
              <w:bottom w:val="nil"/>
              <w:right w:val="single" w:sz="36" w:space="0" w:color="FFFFFF" w:themeColor="background1"/>
            </w:tcBorders>
            <w:shd w:val="clear" w:color="auto" w:fill="D9D9D9" w:themeFill="background1" w:themeFillShade="D9"/>
            <w:vAlign w:val="center"/>
            <w:hideMark/>
          </w:tcPr>
          <w:p w14:paraId="6725A9A4" w14:textId="77777777" w:rsidR="00C30B74" w:rsidRPr="00671830" w:rsidRDefault="00C30B74" w:rsidP="003671FC">
            <w:pPr>
              <w:autoSpaceDE w:val="0"/>
              <w:autoSpaceDN w:val="0"/>
              <w:adjustRightInd w:val="0"/>
              <w:jc w:val="center"/>
              <w:rPr>
                <w:rFonts w:cstheme="minorHAnsi"/>
                <w:b/>
                <w:sz w:val="28"/>
              </w:rPr>
            </w:pPr>
            <w:r w:rsidRPr="00671830">
              <w:rPr>
                <w:rFonts w:cstheme="minorHAnsi"/>
                <w:b/>
                <w:sz w:val="28"/>
              </w:rPr>
              <w:t>Matemática</w:t>
            </w:r>
          </w:p>
        </w:tc>
        <w:tc>
          <w:tcPr>
            <w:tcW w:w="3050" w:type="dxa"/>
            <w:tcBorders>
              <w:top w:val="nil"/>
              <w:left w:val="single" w:sz="36" w:space="0" w:color="FFFFFF" w:themeColor="background1"/>
              <w:bottom w:val="nil"/>
              <w:right w:val="nil"/>
            </w:tcBorders>
            <w:shd w:val="clear" w:color="auto" w:fill="D9D9D9" w:themeFill="background1" w:themeFillShade="D9"/>
            <w:vAlign w:val="center"/>
            <w:hideMark/>
          </w:tcPr>
          <w:p w14:paraId="2AE9D86A" w14:textId="77777777" w:rsidR="00C30B74" w:rsidRPr="00671830" w:rsidRDefault="00C30B74" w:rsidP="003671FC">
            <w:pPr>
              <w:autoSpaceDE w:val="0"/>
              <w:autoSpaceDN w:val="0"/>
              <w:adjustRightInd w:val="0"/>
              <w:jc w:val="center"/>
              <w:rPr>
                <w:rFonts w:cstheme="minorHAnsi"/>
                <w:b/>
                <w:sz w:val="28"/>
              </w:rPr>
            </w:pPr>
            <w:r w:rsidRPr="00671830">
              <w:rPr>
                <w:rFonts w:cstheme="minorHAnsi"/>
                <w:b/>
                <w:sz w:val="28"/>
              </w:rPr>
              <w:t>Ciencias</w:t>
            </w:r>
          </w:p>
        </w:tc>
      </w:tr>
      <w:tr w:rsidR="00C30B74" w:rsidRPr="00671830" w14:paraId="63B2910D" w14:textId="77777777" w:rsidTr="003671FC">
        <w:tc>
          <w:tcPr>
            <w:tcW w:w="1118" w:type="dxa"/>
            <w:vAlign w:val="center"/>
            <w:hideMark/>
          </w:tcPr>
          <w:p w14:paraId="3299D924" w14:textId="77777777" w:rsidR="00C30B74" w:rsidRPr="00671830" w:rsidRDefault="00C30B74" w:rsidP="003671FC">
            <w:pPr>
              <w:autoSpaceDE w:val="0"/>
              <w:autoSpaceDN w:val="0"/>
              <w:adjustRightInd w:val="0"/>
              <w:rPr>
                <w:rFonts w:cstheme="minorHAnsi"/>
                <w:b/>
              </w:rPr>
            </w:pPr>
            <w:r w:rsidRPr="00671830">
              <w:rPr>
                <w:rFonts w:cstheme="minorHAnsi"/>
                <w:b/>
              </w:rPr>
              <w:t>Argentina (*)</w:t>
            </w:r>
          </w:p>
        </w:tc>
        <w:tc>
          <w:tcPr>
            <w:tcW w:w="3050" w:type="dxa"/>
            <w:vAlign w:val="center"/>
            <w:hideMark/>
          </w:tcPr>
          <w:p w14:paraId="532BFFE9" w14:textId="77777777" w:rsidR="00C30B74" w:rsidRPr="00671830" w:rsidRDefault="00C30B74" w:rsidP="003671FC">
            <w:pPr>
              <w:autoSpaceDE w:val="0"/>
              <w:autoSpaceDN w:val="0"/>
              <w:adjustRightInd w:val="0"/>
              <w:jc w:val="center"/>
              <w:rPr>
                <w:rFonts w:cstheme="minorHAnsi"/>
              </w:rPr>
            </w:pPr>
            <w:r>
              <w:rPr>
                <w:noProof/>
                <w:lang w:val="es-ES" w:eastAsia="es-ES"/>
              </w:rPr>
              <w:drawing>
                <wp:inline distT="0" distB="0" distL="0" distR="0" wp14:anchorId="45743FDF" wp14:editId="17C3362A">
                  <wp:extent cx="1800000" cy="144955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00000" cy="1449557"/>
                          </a:xfrm>
                          <a:prstGeom prst="rect">
                            <a:avLst/>
                          </a:prstGeom>
                        </pic:spPr>
                      </pic:pic>
                    </a:graphicData>
                  </a:graphic>
                </wp:inline>
              </w:drawing>
            </w:r>
          </w:p>
        </w:tc>
        <w:tc>
          <w:tcPr>
            <w:tcW w:w="3067" w:type="dxa"/>
            <w:vAlign w:val="center"/>
            <w:hideMark/>
          </w:tcPr>
          <w:p w14:paraId="5A057292" w14:textId="77777777" w:rsidR="00C30B74" w:rsidRPr="00671830" w:rsidRDefault="00C30B74" w:rsidP="003671FC">
            <w:pPr>
              <w:autoSpaceDE w:val="0"/>
              <w:autoSpaceDN w:val="0"/>
              <w:adjustRightInd w:val="0"/>
              <w:jc w:val="center"/>
              <w:rPr>
                <w:rFonts w:cstheme="minorHAnsi"/>
              </w:rPr>
            </w:pPr>
            <w:r>
              <w:rPr>
                <w:noProof/>
                <w:lang w:val="es-ES" w:eastAsia="es-ES"/>
              </w:rPr>
              <w:drawing>
                <wp:inline distT="0" distB="0" distL="0" distR="0" wp14:anchorId="3701AF2B" wp14:editId="56A9CA27">
                  <wp:extent cx="1800000" cy="145430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00000" cy="1454305"/>
                          </a:xfrm>
                          <a:prstGeom prst="rect">
                            <a:avLst/>
                          </a:prstGeom>
                        </pic:spPr>
                      </pic:pic>
                    </a:graphicData>
                  </a:graphic>
                </wp:inline>
              </w:drawing>
            </w:r>
          </w:p>
        </w:tc>
        <w:tc>
          <w:tcPr>
            <w:tcW w:w="3050" w:type="dxa"/>
            <w:vAlign w:val="center"/>
            <w:hideMark/>
          </w:tcPr>
          <w:p w14:paraId="1E093E95" w14:textId="77777777" w:rsidR="00C30B74" w:rsidRPr="00671830" w:rsidRDefault="00C30B74" w:rsidP="003671FC">
            <w:pPr>
              <w:autoSpaceDE w:val="0"/>
              <w:autoSpaceDN w:val="0"/>
              <w:adjustRightInd w:val="0"/>
              <w:jc w:val="center"/>
              <w:rPr>
                <w:rFonts w:cstheme="minorHAnsi"/>
              </w:rPr>
            </w:pPr>
            <w:r>
              <w:rPr>
                <w:noProof/>
                <w:lang w:val="es-ES" w:eastAsia="es-ES"/>
              </w:rPr>
              <w:drawing>
                <wp:inline distT="0" distB="0" distL="0" distR="0" wp14:anchorId="4ABD2996" wp14:editId="55F13D27">
                  <wp:extent cx="1800000" cy="1445575"/>
                  <wp:effectExtent l="0" t="0" r="0" b="254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00000" cy="1445575"/>
                          </a:xfrm>
                          <a:prstGeom prst="rect">
                            <a:avLst/>
                          </a:prstGeom>
                        </pic:spPr>
                      </pic:pic>
                    </a:graphicData>
                  </a:graphic>
                </wp:inline>
              </w:drawing>
            </w:r>
          </w:p>
        </w:tc>
      </w:tr>
      <w:tr w:rsidR="00C30B74" w:rsidRPr="00671830" w14:paraId="6666A6F0" w14:textId="77777777" w:rsidTr="003671FC">
        <w:tc>
          <w:tcPr>
            <w:tcW w:w="1118" w:type="dxa"/>
            <w:vAlign w:val="center"/>
            <w:hideMark/>
          </w:tcPr>
          <w:p w14:paraId="54737F08" w14:textId="77777777" w:rsidR="00C30B74" w:rsidRPr="00671830" w:rsidRDefault="00C30B74" w:rsidP="003671FC">
            <w:pPr>
              <w:autoSpaceDE w:val="0"/>
              <w:autoSpaceDN w:val="0"/>
              <w:adjustRightInd w:val="0"/>
              <w:rPr>
                <w:rFonts w:cstheme="minorHAnsi"/>
                <w:b/>
              </w:rPr>
            </w:pPr>
            <w:r w:rsidRPr="00671830">
              <w:rPr>
                <w:rFonts w:cstheme="minorHAnsi"/>
                <w:b/>
              </w:rPr>
              <w:t>Brasil</w:t>
            </w:r>
          </w:p>
        </w:tc>
        <w:tc>
          <w:tcPr>
            <w:tcW w:w="3050" w:type="dxa"/>
            <w:vAlign w:val="center"/>
            <w:hideMark/>
          </w:tcPr>
          <w:p w14:paraId="6DDD318B" w14:textId="77777777" w:rsidR="00C30B74" w:rsidRPr="00671830" w:rsidRDefault="00C30B74" w:rsidP="003671FC">
            <w:pPr>
              <w:autoSpaceDE w:val="0"/>
              <w:autoSpaceDN w:val="0"/>
              <w:adjustRightInd w:val="0"/>
              <w:jc w:val="center"/>
              <w:rPr>
                <w:rFonts w:cstheme="minorHAnsi"/>
              </w:rPr>
            </w:pPr>
            <w:r>
              <w:rPr>
                <w:noProof/>
                <w:lang w:val="es-ES" w:eastAsia="es-ES"/>
              </w:rPr>
              <w:drawing>
                <wp:inline distT="0" distB="0" distL="0" distR="0" wp14:anchorId="22C3DCF5" wp14:editId="4F006A09">
                  <wp:extent cx="1800000" cy="1442384"/>
                  <wp:effectExtent l="0" t="0" r="0" b="571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00000" cy="1442384"/>
                          </a:xfrm>
                          <a:prstGeom prst="rect">
                            <a:avLst/>
                          </a:prstGeom>
                        </pic:spPr>
                      </pic:pic>
                    </a:graphicData>
                  </a:graphic>
                </wp:inline>
              </w:drawing>
            </w:r>
          </w:p>
        </w:tc>
        <w:tc>
          <w:tcPr>
            <w:tcW w:w="3067" w:type="dxa"/>
            <w:vAlign w:val="center"/>
            <w:hideMark/>
          </w:tcPr>
          <w:p w14:paraId="59C280F4" w14:textId="77777777" w:rsidR="00C30B74" w:rsidRPr="00671830" w:rsidRDefault="00C30B74" w:rsidP="003671FC">
            <w:pPr>
              <w:autoSpaceDE w:val="0"/>
              <w:autoSpaceDN w:val="0"/>
              <w:adjustRightInd w:val="0"/>
              <w:jc w:val="center"/>
              <w:rPr>
                <w:rFonts w:cstheme="minorHAnsi"/>
              </w:rPr>
            </w:pPr>
            <w:r>
              <w:rPr>
                <w:noProof/>
                <w:lang w:val="es-ES" w:eastAsia="es-ES"/>
              </w:rPr>
              <w:drawing>
                <wp:inline distT="0" distB="0" distL="0" distR="0" wp14:anchorId="5DF0BC9A" wp14:editId="778037E8">
                  <wp:extent cx="1800000" cy="1443172"/>
                  <wp:effectExtent l="0" t="0" r="0" b="508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00000" cy="1443172"/>
                          </a:xfrm>
                          <a:prstGeom prst="rect">
                            <a:avLst/>
                          </a:prstGeom>
                        </pic:spPr>
                      </pic:pic>
                    </a:graphicData>
                  </a:graphic>
                </wp:inline>
              </w:drawing>
            </w:r>
          </w:p>
        </w:tc>
        <w:tc>
          <w:tcPr>
            <w:tcW w:w="3050" w:type="dxa"/>
            <w:vAlign w:val="center"/>
            <w:hideMark/>
          </w:tcPr>
          <w:p w14:paraId="15D9FA5E" w14:textId="77777777" w:rsidR="00C30B74" w:rsidRPr="00671830" w:rsidRDefault="00C30B74" w:rsidP="003671FC">
            <w:pPr>
              <w:autoSpaceDE w:val="0"/>
              <w:autoSpaceDN w:val="0"/>
              <w:adjustRightInd w:val="0"/>
              <w:jc w:val="center"/>
              <w:rPr>
                <w:rFonts w:cstheme="minorHAnsi"/>
              </w:rPr>
            </w:pPr>
            <w:r>
              <w:rPr>
                <w:noProof/>
                <w:lang w:val="es-ES" w:eastAsia="es-ES"/>
              </w:rPr>
              <w:drawing>
                <wp:inline distT="0" distB="0" distL="0" distR="0" wp14:anchorId="0CEDC8EE" wp14:editId="1941F980">
                  <wp:extent cx="1800000" cy="1445575"/>
                  <wp:effectExtent l="0" t="0" r="0" b="254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00000" cy="1445575"/>
                          </a:xfrm>
                          <a:prstGeom prst="rect">
                            <a:avLst/>
                          </a:prstGeom>
                        </pic:spPr>
                      </pic:pic>
                    </a:graphicData>
                  </a:graphic>
                </wp:inline>
              </w:drawing>
            </w:r>
          </w:p>
        </w:tc>
      </w:tr>
      <w:tr w:rsidR="00C30B74" w:rsidRPr="00671830" w14:paraId="1FB4FF01" w14:textId="77777777" w:rsidTr="003671FC">
        <w:tc>
          <w:tcPr>
            <w:tcW w:w="1118" w:type="dxa"/>
            <w:tcMar>
              <w:top w:w="0" w:type="dxa"/>
              <w:left w:w="70" w:type="dxa"/>
              <w:bottom w:w="0" w:type="dxa"/>
              <w:right w:w="70" w:type="dxa"/>
            </w:tcMar>
            <w:vAlign w:val="center"/>
            <w:hideMark/>
          </w:tcPr>
          <w:p w14:paraId="0B1F2746" w14:textId="77777777" w:rsidR="00C30B74" w:rsidRPr="00671830" w:rsidRDefault="00C30B74" w:rsidP="003671FC">
            <w:pPr>
              <w:autoSpaceDE w:val="0"/>
              <w:autoSpaceDN w:val="0"/>
              <w:adjustRightInd w:val="0"/>
              <w:rPr>
                <w:rFonts w:cstheme="minorHAnsi"/>
                <w:b/>
              </w:rPr>
            </w:pPr>
            <w:r w:rsidRPr="00671830">
              <w:rPr>
                <w:rFonts w:cstheme="minorHAnsi"/>
                <w:b/>
              </w:rPr>
              <w:t>Chile</w:t>
            </w:r>
          </w:p>
        </w:tc>
        <w:tc>
          <w:tcPr>
            <w:tcW w:w="3050" w:type="dxa"/>
            <w:tcMar>
              <w:top w:w="0" w:type="dxa"/>
              <w:left w:w="70" w:type="dxa"/>
              <w:bottom w:w="0" w:type="dxa"/>
              <w:right w:w="70" w:type="dxa"/>
            </w:tcMar>
            <w:vAlign w:val="center"/>
            <w:hideMark/>
          </w:tcPr>
          <w:p w14:paraId="453252FD" w14:textId="77777777" w:rsidR="00C30B74" w:rsidRPr="00671830" w:rsidRDefault="00C30B74" w:rsidP="003671FC">
            <w:pPr>
              <w:autoSpaceDE w:val="0"/>
              <w:autoSpaceDN w:val="0"/>
              <w:adjustRightInd w:val="0"/>
              <w:jc w:val="center"/>
              <w:rPr>
                <w:rFonts w:cstheme="minorHAnsi"/>
              </w:rPr>
            </w:pPr>
            <w:r>
              <w:rPr>
                <w:noProof/>
                <w:lang w:val="es-ES" w:eastAsia="es-ES"/>
              </w:rPr>
              <w:drawing>
                <wp:inline distT="0" distB="0" distL="0" distR="0" wp14:anchorId="130D6F55" wp14:editId="0574BC77">
                  <wp:extent cx="1800000" cy="1454305"/>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00000" cy="1454305"/>
                          </a:xfrm>
                          <a:prstGeom prst="rect">
                            <a:avLst/>
                          </a:prstGeom>
                        </pic:spPr>
                      </pic:pic>
                    </a:graphicData>
                  </a:graphic>
                </wp:inline>
              </w:drawing>
            </w:r>
          </w:p>
        </w:tc>
        <w:tc>
          <w:tcPr>
            <w:tcW w:w="3067" w:type="dxa"/>
            <w:tcMar>
              <w:top w:w="0" w:type="dxa"/>
              <w:left w:w="70" w:type="dxa"/>
              <w:bottom w:w="0" w:type="dxa"/>
              <w:right w:w="70" w:type="dxa"/>
            </w:tcMar>
            <w:vAlign w:val="center"/>
            <w:hideMark/>
          </w:tcPr>
          <w:p w14:paraId="36A69458" w14:textId="77777777" w:rsidR="00C30B74" w:rsidRPr="00671830" w:rsidRDefault="00C30B74" w:rsidP="003671FC">
            <w:pPr>
              <w:autoSpaceDE w:val="0"/>
              <w:autoSpaceDN w:val="0"/>
              <w:adjustRightInd w:val="0"/>
              <w:jc w:val="center"/>
              <w:rPr>
                <w:rFonts w:cstheme="minorHAnsi"/>
              </w:rPr>
            </w:pPr>
            <w:r>
              <w:rPr>
                <w:noProof/>
                <w:lang w:val="es-ES" w:eastAsia="es-ES"/>
              </w:rPr>
              <w:drawing>
                <wp:inline distT="0" distB="0" distL="0" distR="0" wp14:anchorId="6A6ED7A0" wp14:editId="39531062">
                  <wp:extent cx="1800000" cy="1449558"/>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00000" cy="1449558"/>
                          </a:xfrm>
                          <a:prstGeom prst="rect">
                            <a:avLst/>
                          </a:prstGeom>
                        </pic:spPr>
                      </pic:pic>
                    </a:graphicData>
                  </a:graphic>
                </wp:inline>
              </w:drawing>
            </w:r>
          </w:p>
        </w:tc>
        <w:tc>
          <w:tcPr>
            <w:tcW w:w="3050" w:type="dxa"/>
            <w:tcMar>
              <w:top w:w="0" w:type="dxa"/>
              <w:left w:w="70" w:type="dxa"/>
              <w:bottom w:w="0" w:type="dxa"/>
              <w:right w:w="70" w:type="dxa"/>
            </w:tcMar>
            <w:vAlign w:val="center"/>
            <w:hideMark/>
          </w:tcPr>
          <w:p w14:paraId="2F95C50B" w14:textId="77777777" w:rsidR="00C30B74" w:rsidRPr="00671830" w:rsidRDefault="00C30B74" w:rsidP="003671FC">
            <w:pPr>
              <w:autoSpaceDE w:val="0"/>
              <w:autoSpaceDN w:val="0"/>
              <w:adjustRightInd w:val="0"/>
              <w:jc w:val="center"/>
              <w:rPr>
                <w:rFonts w:cstheme="minorHAnsi"/>
              </w:rPr>
            </w:pPr>
            <w:r>
              <w:rPr>
                <w:noProof/>
                <w:lang w:val="es-ES" w:eastAsia="es-ES"/>
              </w:rPr>
              <w:drawing>
                <wp:inline distT="0" distB="0" distL="0" distR="0" wp14:anchorId="42A851B9" wp14:editId="4E54030B">
                  <wp:extent cx="1800000" cy="1449558"/>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00000" cy="1449558"/>
                          </a:xfrm>
                          <a:prstGeom prst="rect">
                            <a:avLst/>
                          </a:prstGeom>
                        </pic:spPr>
                      </pic:pic>
                    </a:graphicData>
                  </a:graphic>
                </wp:inline>
              </w:drawing>
            </w:r>
          </w:p>
        </w:tc>
      </w:tr>
      <w:tr w:rsidR="00C30B74" w:rsidRPr="00671830" w14:paraId="1701E948" w14:textId="77777777" w:rsidTr="003671FC">
        <w:tc>
          <w:tcPr>
            <w:tcW w:w="1118" w:type="dxa"/>
            <w:vAlign w:val="center"/>
            <w:hideMark/>
          </w:tcPr>
          <w:p w14:paraId="7DA79231" w14:textId="77777777" w:rsidR="00C30B74" w:rsidRPr="00671830" w:rsidRDefault="00C30B74" w:rsidP="003671FC">
            <w:pPr>
              <w:autoSpaceDE w:val="0"/>
              <w:autoSpaceDN w:val="0"/>
              <w:adjustRightInd w:val="0"/>
              <w:rPr>
                <w:rFonts w:cstheme="minorHAnsi"/>
                <w:b/>
              </w:rPr>
            </w:pPr>
            <w:r w:rsidRPr="00671830">
              <w:rPr>
                <w:rFonts w:cstheme="minorHAnsi"/>
                <w:b/>
              </w:rPr>
              <w:t>Colombia</w:t>
            </w:r>
          </w:p>
        </w:tc>
        <w:tc>
          <w:tcPr>
            <w:tcW w:w="3050" w:type="dxa"/>
            <w:vAlign w:val="center"/>
            <w:hideMark/>
          </w:tcPr>
          <w:p w14:paraId="20A050EC" w14:textId="77777777" w:rsidR="00C30B74" w:rsidRPr="00671830" w:rsidRDefault="00C30B74" w:rsidP="003671FC">
            <w:pPr>
              <w:autoSpaceDE w:val="0"/>
              <w:autoSpaceDN w:val="0"/>
              <w:adjustRightInd w:val="0"/>
              <w:jc w:val="center"/>
              <w:rPr>
                <w:rFonts w:cstheme="minorHAnsi"/>
              </w:rPr>
            </w:pPr>
            <w:r>
              <w:rPr>
                <w:noProof/>
                <w:lang w:val="es-ES" w:eastAsia="es-ES"/>
              </w:rPr>
              <w:drawing>
                <wp:inline distT="0" distB="0" distL="0" distR="0" wp14:anchorId="080598DD" wp14:editId="59C5FDEC">
                  <wp:extent cx="1800000" cy="1449558"/>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00000" cy="1449558"/>
                          </a:xfrm>
                          <a:prstGeom prst="rect">
                            <a:avLst/>
                          </a:prstGeom>
                        </pic:spPr>
                      </pic:pic>
                    </a:graphicData>
                  </a:graphic>
                </wp:inline>
              </w:drawing>
            </w:r>
          </w:p>
        </w:tc>
        <w:tc>
          <w:tcPr>
            <w:tcW w:w="3067" w:type="dxa"/>
            <w:vAlign w:val="center"/>
            <w:hideMark/>
          </w:tcPr>
          <w:p w14:paraId="414D2F99" w14:textId="77777777" w:rsidR="00C30B74" w:rsidRPr="00671830" w:rsidRDefault="00C30B74" w:rsidP="003671FC">
            <w:pPr>
              <w:autoSpaceDE w:val="0"/>
              <w:autoSpaceDN w:val="0"/>
              <w:adjustRightInd w:val="0"/>
              <w:jc w:val="center"/>
              <w:rPr>
                <w:rFonts w:cstheme="minorHAnsi"/>
              </w:rPr>
            </w:pPr>
            <w:r>
              <w:rPr>
                <w:noProof/>
                <w:lang w:val="es-ES" w:eastAsia="es-ES"/>
              </w:rPr>
              <w:drawing>
                <wp:inline distT="0" distB="0" distL="0" distR="0" wp14:anchorId="1BAB23F3" wp14:editId="0F8ED342">
                  <wp:extent cx="1800000" cy="1446358"/>
                  <wp:effectExtent l="0" t="0" r="0" b="190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00000" cy="1446358"/>
                          </a:xfrm>
                          <a:prstGeom prst="rect">
                            <a:avLst/>
                          </a:prstGeom>
                        </pic:spPr>
                      </pic:pic>
                    </a:graphicData>
                  </a:graphic>
                </wp:inline>
              </w:drawing>
            </w:r>
          </w:p>
        </w:tc>
        <w:tc>
          <w:tcPr>
            <w:tcW w:w="3050" w:type="dxa"/>
            <w:vAlign w:val="center"/>
            <w:hideMark/>
          </w:tcPr>
          <w:p w14:paraId="4927CD75" w14:textId="77777777" w:rsidR="00C30B74" w:rsidRPr="00671830" w:rsidRDefault="00C30B74" w:rsidP="003671FC">
            <w:pPr>
              <w:autoSpaceDE w:val="0"/>
              <w:autoSpaceDN w:val="0"/>
              <w:adjustRightInd w:val="0"/>
              <w:jc w:val="center"/>
              <w:rPr>
                <w:rFonts w:cstheme="minorHAnsi"/>
              </w:rPr>
            </w:pPr>
            <w:r>
              <w:rPr>
                <w:noProof/>
                <w:lang w:val="es-ES" w:eastAsia="es-ES"/>
              </w:rPr>
              <w:drawing>
                <wp:inline distT="0" distB="0" distL="0" distR="0" wp14:anchorId="754B445E" wp14:editId="638ACF98">
                  <wp:extent cx="1800000" cy="1449558"/>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800000" cy="1449558"/>
                          </a:xfrm>
                          <a:prstGeom prst="rect">
                            <a:avLst/>
                          </a:prstGeom>
                        </pic:spPr>
                      </pic:pic>
                    </a:graphicData>
                  </a:graphic>
                </wp:inline>
              </w:drawing>
            </w:r>
          </w:p>
        </w:tc>
      </w:tr>
      <w:tr w:rsidR="00C30B74" w:rsidRPr="00671830" w14:paraId="0F454213" w14:textId="77777777" w:rsidTr="003671FC">
        <w:tc>
          <w:tcPr>
            <w:tcW w:w="1118" w:type="dxa"/>
            <w:vAlign w:val="center"/>
            <w:hideMark/>
          </w:tcPr>
          <w:p w14:paraId="3F5F3896" w14:textId="77777777" w:rsidR="00C30B74" w:rsidRPr="00671830" w:rsidRDefault="00C30B74" w:rsidP="003671FC">
            <w:pPr>
              <w:autoSpaceDE w:val="0"/>
              <w:autoSpaceDN w:val="0"/>
              <w:adjustRightInd w:val="0"/>
              <w:rPr>
                <w:rFonts w:cstheme="minorHAnsi"/>
                <w:b/>
              </w:rPr>
            </w:pPr>
            <w:r w:rsidRPr="00671830">
              <w:rPr>
                <w:rFonts w:cstheme="minorHAnsi"/>
                <w:b/>
              </w:rPr>
              <w:lastRenderedPageBreak/>
              <w:t>México</w:t>
            </w:r>
          </w:p>
        </w:tc>
        <w:tc>
          <w:tcPr>
            <w:tcW w:w="3050" w:type="dxa"/>
            <w:vAlign w:val="center"/>
            <w:hideMark/>
          </w:tcPr>
          <w:p w14:paraId="430AACA2" w14:textId="77777777" w:rsidR="00C30B74" w:rsidRPr="00671830" w:rsidRDefault="00C30B74" w:rsidP="003671FC">
            <w:pPr>
              <w:autoSpaceDE w:val="0"/>
              <w:autoSpaceDN w:val="0"/>
              <w:adjustRightInd w:val="0"/>
              <w:jc w:val="center"/>
              <w:rPr>
                <w:rFonts w:cstheme="minorHAnsi"/>
              </w:rPr>
            </w:pPr>
            <w:r>
              <w:rPr>
                <w:noProof/>
                <w:lang w:val="es-ES" w:eastAsia="es-ES"/>
              </w:rPr>
              <w:drawing>
                <wp:inline distT="0" distB="0" distL="0" distR="0" wp14:anchorId="5F4AE763" wp14:editId="579BB3C1">
                  <wp:extent cx="1800000" cy="1450331"/>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800000" cy="1450331"/>
                          </a:xfrm>
                          <a:prstGeom prst="rect">
                            <a:avLst/>
                          </a:prstGeom>
                        </pic:spPr>
                      </pic:pic>
                    </a:graphicData>
                  </a:graphic>
                </wp:inline>
              </w:drawing>
            </w:r>
          </w:p>
        </w:tc>
        <w:tc>
          <w:tcPr>
            <w:tcW w:w="3067" w:type="dxa"/>
            <w:vAlign w:val="center"/>
            <w:hideMark/>
          </w:tcPr>
          <w:p w14:paraId="0B8D8A09" w14:textId="77777777" w:rsidR="00C30B74" w:rsidRPr="00671830" w:rsidRDefault="00C30B74" w:rsidP="003671FC">
            <w:pPr>
              <w:autoSpaceDE w:val="0"/>
              <w:autoSpaceDN w:val="0"/>
              <w:adjustRightInd w:val="0"/>
              <w:jc w:val="center"/>
              <w:rPr>
                <w:rFonts w:cstheme="minorHAnsi"/>
              </w:rPr>
            </w:pPr>
            <w:r>
              <w:rPr>
                <w:noProof/>
                <w:lang w:val="es-ES" w:eastAsia="es-ES"/>
              </w:rPr>
              <w:drawing>
                <wp:inline distT="0" distB="0" distL="0" distR="0" wp14:anchorId="0B4BD772" wp14:editId="7794EC34">
                  <wp:extent cx="1800000" cy="1453540"/>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800000" cy="1453540"/>
                          </a:xfrm>
                          <a:prstGeom prst="rect">
                            <a:avLst/>
                          </a:prstGeom>
                        </pic:spPr>
                      </pic:pic>
                    </a:graphicData>
                  </a:graphic>
                </wp:inline>
              </w:drawing>
            </w:r>
          </w:p>
        </w:tc>
        <w:tc>
          <w:tcPr>
            <w:tcW w:w="3050" w:type="dxa"/>
            <w:vAlign w:val="center"/>
            <w:hideMark/>
          </w:tcPr>
          <w:p w14:paraId="4FF5442D" w14:textId="77777777" w:rsidR="00C30B74" w:rsidRPr="00671830" w:rsidRDefault="00C30B74" w:rsidP="003671FC">
            <w:pPr>
              <w:autoSpaceDE w:val="0"/>
              <w:autoSpaceDN w:val="0"/>
              <w:adjustRightInd w:val="0"/>
              <w:jc w:val="center"/>
              <w:rPr>
                <w:rFonts w:cstheme="minorHAnsi"/>
              </w:rPr>
            </w:pPr>
            <w:r>
              <w:rPr>
                <w:noProof/>
                <w:lang w:val="es-ES" w:eastAsia="es-ES"/>
              </w:rPr>
              <w:drawing>
                <wp:inline distT="0" distB="0" distL="0" distR="0" wp14:anchorId="27368526" wp14:editId="719EB8D3">
                  <wp:extent cx="1800000" cy="1449558"/>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800000" cy="1449558"/>
                          </a:xfrm>
                          <a:prstGeom prst="rect">
                            <a:avLst/>
                          </a:prstGeom>
                        </pic:spPr>
                      </pic:pic>
                    </a:graphicData>
                  </a:graphic>
                </wp:inline>
              </w:drawing>
            </w:r>
          </w:p>
        </w:tc>
      </w:tr>
      <w:tr w:rsidR="00C30B74" w:rsidRPr="00671830" w14:paraId="0BB648DC" w14:textId="77777777" w:rsidTr="003671FC">
        <w:tc>
          <w:tcPr>
            <w:tcW w:w="1118" w:type="dxa"/>
            <w:vAlign w:val="center"/>
            <w:hideMark/>
          </w:tcPr>
          <w:p w14:paraId="6F049091" w14:textId="77777777" w:rsidR="00C30B74" w:rsidRPr="00671830" w:rsidRDefault="00C30B74" w:rsidP="003671FC">
            <w:pPr>
              <w:autoSpaceDE w:val="0"/>
              <w:autoSpaceDN w:val="0"/>
              <w:adjustRightInd w:val="0"/>
              <w:rPr>
                <w:rFonts w:cstheme="minorHAnsi"/>
                <w:b/>
              </w:rPr>
            </w:pPr>
            <w:r w:rsidRPr="00671830">
              <w:rPr>
                <w:rFonts w:cstheme="minorHAnsi"/>
                <w:b/>
              </w:rPr>
              <w:t xml:space="preserve">Perú </w:t>
            </w:r>
            <w:r w:rsidRPr="00671830">
              <w:rPr>
                <w:rFonts w:cstheme="minorHAnsi"/>
                <w:b/>
                <w:vertAlign w:val="superscript"/>
              </w:rPr>
              <w:t>(i)</w:t>
            </w:r>
          </w:p>
        </w:tc>
        <w:tc>
          <w:tcPr>
            <w:tcW w:w="3050" w:type="dxa"/>
            <w:vAlign w:val="center"/>
            <w:hideMark/>
          </w:tcPr>
          <w:p w14:paraId="1D2AF753" w14:textId="77777777" w:rsidR="00C30B74" w:rsidRPr="00671830" w:rsidRDefault="00C30B74" w:rsidP="003671FC">
            <w:pPr>
              <w:autoSpaceDE w:val="0"/>
              <w:autoSpaceDN w:val="0"/>
              <w:adjustRightInd w:val="0"/>
              <w:jc w:val="center"/>
              <w:rPr>
                <w:rFonts w:cstheme="minorHAnsi"/>
              </w:rPr>
            </w:pPr>
            <w:r>
              <w:rPr>
                <w:noProof/>
                <w:lang w:val="es-ES" w:eastAsia="es-ES"/>
              </w:rPr>
              <w:drawing>
                <wp:inline distT="0" distB="0" distL="0" distR="0" wp14:anchorId="7125756E" wp14:editId="4516E3B0">
                  <wp:extent cx="1800000" cy="1445575"/>
                  <wp:effectExtent l="0" t="0" r="0" b="254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800000" cy="1445575"/>
                          </a:xfrm>
                          <a:prstGeom prst="rect">
                            <a:avLst/>
                          </a:prstGeom>
                        </pic:spPr>
                      </pic:pic>
                    </a:graphicData>
                  </a:graphic>
                </wp:inline>
              </w:drawing>
            </w:r>
          </w:p>
        </w:tc>
        <w:tc>
          <w:tcPr>
            <w:tcW w:w="3067" w:type="dxa"/>
            <w:vAlign w:val="center"/>
            <w:hideMark/>
          </w:tcPr>
          <w:p w14:paraId="145EED51" w14:textId="77777777" w:rsidR="00C30B74" w:rsidRPr="00671830" w:rsidRDefault="00C30B74" w:rsidP="003671FC">
            <w:pPr>
              <w:autoSpaceDE w:val="0"/>
              <w:autoSpaceDN w:val="0"/>
              <w:adjustRightInd w:val="0"/>
              <w:jc w:val="center"/>
              <w:rPr>
                <w:rFonts w:cstheme="minorHAnsi"/>
              </w:rPr>
            </w:pPr>
            <w:r>
              <w:rPr>
                <w:noProof/>
                <w:lang w:val="es-ES" w:eastAsia="es-ES"/>
              </w:rPr>
              <w:drawing>
                <wp:inline distT="0" distB="0" distL="0" distR="0" wp14:anchorId="1A29B1FA" wp14:editId="4C9D91E5">
                  <wp:extent cx="1800000" cy="1450331"/>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800000" cy="1450331"/>
                          </a:xfrm>
                          <a:prstGeom prst="rect">
                            <a:avLst/>
                          </a:prstGeom>
                        </pic:spPr>
                      </pic:pic>
                    </a:graphicData>
                  </a:graphic>
                </wp:inline>
              </w:drawing>
            </w:r>
          </w:p>
        </w:tc>
        <w:tc>
          <w:tcPr>
            <w:tcW w:w="3050" w:type="dxa"/>
            <w:vAlign w:val="center"/>
            <w:hideMark/>
          </w:tcPr>
          <w:p w14:paraId="18C2FED1" w14:textId="77777777" w:rsidR="00C30B74" w:rsidRPr="00671830" w:rsidRDefault="00C30B74" w:rsidP="003671FC">
            <w:pPr>
              <w:autoSpaceDE w:val="0"/>
              <w:autoSpaceDN w:val="0"/>
              <w:adjustRightInd w:val="0"/>
              <w:jc w:val="center"/>
              <w:rPr>
                <w:rFonts w:cstheme="minorHAnsi"/>
              </w:rPr>
            </w:pPr>
            <w:r>
              <w:rPr>
                <w:noProof/>
                <w:lang w:val="es-ES" w:eastAsia="es-ES"/>
              </w:rPr>
              <w:drawing>
                <wp:inline distT="0" distB="0" distL="0" distR="0" wp14:anchorId="53F2E25F" wp14:editId="27E32ABC">
                  <wp:extent cx="1800000" cy="1453540"/>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800000" cy="1453540"/>
                          </a:xfrm>
                          <a:prstGeom prst="rect">
                            <a:avLst/>
                          </a:prstGeom>
                        </pic:spPr>
                      </pic:pic>
                    </a:graphicData>
                  </a:graphic>
                </wp:inline>
              </w:drawing>
            </w:r>
          </w:p>
        </w:tc>
      </w:tr>
      <w:tr w:rsidR="00C30B74" w:rsidRPr="00671830" w14:paraId="4C32EE6E" w14:textId="77777777" w:rsidTr="003671FC">
        <w:tc>
          <w:tcPr>
            <w:tcW w:w="1118" w:type="dxa"/>
            <w:vAlign w:val="center"/>
            <w:hideMark/>
          </w:tcPr>
          <w:p w14:paraId="6B15C47C" w14:textId="77777777" w:rsidR="00C30B74" w:rsidRPr="00671830" w:rsidRDefault="00C30B74" w:rsidP="003671FC">
            <w:pPr>
              <w:autoSpaceDE w:val="0"/>
              <w:autoSpaceDN w:val="0"/>
              <w:adjustRightInd w:val="0"/>
              <w:rPr>
                <w:rFonts w:cstheme="minorHAnsi"/>
                <w:b/>
              </w:rPr>
            </w:pPr>
            <w:r w:rsidRPr="00671830">
              <w:rPr>
                <w:rFonts w:cstheme="minorHAnsi"/>
                <w:b/>
              </w:rPr>
              <w:t>Uruguay</w:t>
            </w:r>
          </w:p>
        </w:tc>
        <w:tc>
          <w:tcPr>
            <w:tcW w:w="3050" w:type="dxa"/>
            <w:vAlign w:val="center"/>
            <w:hideMark/>
          </w:tcPr>
          <w:p w14:paraId="3D1FBB76" w14:textId="77777777" w:rsidR="00C30B74" w:rsidRPr="00671830" w:rsidRDefault="00C30B74" w:rsidP="003671FC">
            <w:pPr>
              <w:autoSpaceDE w:val="0"/>
              <w:autoSpaceDN w:val="0"/>
              <w:adjustRightInd w:val="0"/>
              <w:jc w:val="center"/>
              <w:rPr>
                <w:rFonts w:cstheme="minorHAnsi"/>
              </w:rPr>
            </w:pPr>
            <w:r>
              <w:rPr>
                <w:noProof/>
                <w:lang w:val="es-ES" w:eastAsia="es-ES"/>
              </w:rPr>
              <w:drawing>
                <wp:inline distT="0" distB="0" distL="0" distR="0" wp14:anchorId="50EB2811" wp14:editId="686CEFBC">
                  <wp:extent cx="1800000" cy="1442384"/>
                  <wp:effectExtent l="0" t="0" r="0" b="571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800000" cy="1442384"/>
                          </a:xfrm>
                          <a:prstGeom prst="rect">
                            <a:avLst/>
                          </a:prstGeom>
                        </pic:spPr>
                      </pic:pic>
                    </a:graphicData>
                  </a:graphic>
                </wp:inline>
              </w:drawing>
            </w:r>
          </w:p>
        </w:tc>
        <w:tc>
          <w:tcPr>
            <w:tcW w:w="3067" w:type="dxa"/>
            <w:vAlign w:val="center"/>
            <w:hideMark/>
          </w:tcPr>
          <w:p w14:paraId="056785CC" w14:textId="77777777" w:rsidR="00C30B74" w:rsidRPr="00671830" w:rsidRDefault="00C30B74" w:rsidP="003671FC">
            <w:pPr>
              <w:autoSpaceDE w:val="0"/>
              <w:autoSpaceDN w:val="0"/>
              <w:adjustRightInd w:val="0"/>
              <w:jc w:val="center"/>
              <w:rPr>
                <w:rFonts w:cstheme="minorHAnsi"/>
              </w:rPr>
            </w:pPr>
            <w:r>
              <w:rPr>
                <w:noProof/>
                <w:lang w:val="es-ES" w:eastAsia="es-ES"/>
              </w:rPr>
              <w:drawing>
                <wp:inline distT="0" distB="0" distL="0" distR="0" wp14:anchorId="3635FE27" wp14:editId="5063E580">
                  <wp:extent cx="1800000" cy="1449558"/>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800000" cy="1449558"/>
                          </a:xfrm>
                          <a:prstGeom prst="rect">
                            <a:avLst/>
                          </a:prstGeom>
                        </pic:spPr>
                      </pic:pic>
                    </a:graphicData>
                  </a:graphic>
                </wp:inline>
              </w:drawing>
            </w:r>
          </w:p>
        </w:tc>
        <w:tc>
          <w:tcPr>
            <w:tcW w:w="3050" w:type="dxa"/>
            <w:vAlign w:val="center"/>
            <w:hideMark/>
          </w:tcPr>
          <w:p w14:paraId="6F84941C" w14:textId="77777777" w:rsidR="00C30B74" w:rsidRPr="00671830" w:rsidRDefault="00C30B74" w:rsidP="003671FC">
            <w:pPr>
              <w:autoSpaceDE w:val="0"/>
              <w:autoSpaceDN w:val="0"/>
              <w:adjustRightInd w:val="0"/>
              <w:jc w:val="center"/>
              <w:rPr>
                <w:rFonts w:cstheme="minorHAnsi"/>
              </w:rPr>
            </w:pPr>
            <w:r>
              <w:rPr>
                <w:noProof/>
                <w:lang w:val="es-ES" w:eastAsia="es-ES"/>
              </w:rPr>
              <w:drawing>
                <wp:inline distT="0" distB="0" distL="0" distR="0" wp14:anchorId="23683658" wp14:editId="6FF99573">
                  <wp:extent cx="1800000" cy="1446358"/>
                  <wp:effectExtent l="0" t="0" r="0" b="190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800000" cy="1446358"/>
                          </a:xfrm>
                          <a:prstGeom prst="rect">
                            <a:avLst/>
                          </a:prstGeom>
                        </pic:spPr>
                      </pic:pic>
                    </a:graphicData>
                  </a:graphic>
                </wp:inline>
              </w:drawing>
            </w:r>
          </w:p>
        </w:tc>
      </w:tr>
    </w:tbl>
    <w:p w14:paraId="58F1E054" w14:textId="77777777" w:rsidR="00C30B74" w:rsidRPr="00671830" w:rsidRDefault="00C30B74" w:rsidP="00C30B74">
      <w:pPr>
        <w:autoSpaceDE w:val="0"/>
        <w:autoSpaceDN w:val="0"/>
        <w:adjustRightInd w:val="0"/>
        <w:spacing w:after="0" w:line="240" w:lineRule="auto"/>
        <w:jc w:val="center"/>
        <w:rPr>
          <w:rFonts w:cstheme="minorHAnsi"/>
          <w:i/>
        </w:rPr>
      </w:pPr>
      <w:r>
        <w:rPr>
          <w:noProof/>
          <w:lang w:val="es-ES" w:eastAsia="es-ES"/>
        </w:rPr>
        <w:drawing>
          <wp:inline distT="0" distB="0" distL="0" distR="0" wp14:anchorId="54E7418E" wp14:editId="46CACA43">
            <wp:extent cx="3171020" cy="168172"/>
            <wp:effectExtent l="0" t="0" r="0" b="381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556218" cy="188601"/>
                    </a:xfrm>
                    <a:prstGeom prst="rect">
                      <a:avLst/>
                    </a:prstGeom>
                  </pic:spPr>
                </pic:pic>
              </a:graphicData>
            </a:graphic>
          </wp:inline>
        </w:drawing>
      </w:r>
    </w:p>
    <w:p w14:paraId="5237E5B5" w14:textId="77777777" w:rsidR="00C30B74" w:rsidRPr="00671830" w:rsidRDefault="00C30B74" w:rsidP="00C30B74">
      <w:pPr>
        <w:autoSpaceDE w:val="0"/>
        <w:autoSpaceDN w:val="0"/>
        <w:adjustRightInd w:val="0"/>
        <w:spacing w:after="0" w:line="240" w:lineRule="auto"/>
        <w:jc w:val="center"/>
        <w:rPr>
          <w:rFonts w:cstheme="minorHAnsi"/>
          <w:i/>
        </w:rPr>
      </w:pPr>
    </w:p>
    <w:p w14:paraId="0F088FF1" w14:textId="6CBE58D5" w:rsidR="007929DE" w:rsidRPr="007929DE" w:rsidRDefault="00C30B74" w:rsidP="00C30B74">
      <w:pPr>
        <w:autoSpaceDE w:val="0"/>
        <w:autoSpaceDN w:val="0"/>
        <w:adjustRightInd w:val="0"/>
        <w:spacing w:after="0" w:line="240" w:lineRule="auto"/>
        <w:jc w:val="both"/>
        <w:rPr>
          <w:rFonts w:cstheme="minorHAnsi"/>
          <w:sz w:val="18"/>
          <w:szCs w:val="18"/>
        </w:rPr>
      </w:pPr>
      <w:r w:rsidRPr="007929DE">
        <w:rPr>
          <w:rFonts w:cstheme="minorHAnsi"/>
          <w:sz w:val="18"/>
          <w:szCs w:val="18"/>
        </w:rPr>
        <w:t xml:space="preserve"> </w:t>
      </w:r>
      <w:r w:rsidR="007929DE" w:rsidRPr="007929DE">
        <w:rPr>
          <w:rFonts w:cstheme="minorHAnsi"/>
          <w:sz w:val="18"/>
          <w:szCs w:val="18"/>
        </w:rPr>
        <w:t>(*) Los datos de Argentina fueron incluidos hasta 2012, debido que los resultados 2015 no se consideran comparables a causa de la baja cantidad de estudiantes representados en la muestra.</w:t>
      </w:r>
    </w:p>
    <w:p w14:paraId="12CD8701" w14:textId="6F7A306E" w:rsidR="003D2ED3" w:rsidRPr="00671830" w:rsidRDefault="007929DE" w:rsidP="007929DE">
      <w:pPr>
        <w:autoSpaceDE w:val="0"/>
        <w:autoSpaceDN w:val="0"/>
        <w:adjustRightInd w:val="0"/>
        <w:spacing w:after="0" w:line="240" w:lineRule="auto"/>
        <w:jc w:val="both"/>
        <w:rPr>
          <w:rFonts w:cstheme="minorHAnsi"/>
        </w:rPr>
      </w:pPr>
      <w:r w:rsidRPr="007929DE">
        <w:rPr>
          <w:rFonts w:cstheme="minorHAnsi"/>
          <w:sz w:val="18"/>
          <w:szCs w:val="18"/>
        </w:rPr>
        <w:t>Fuente: procesamientos propios en base a PISA 2015.</w:t>
      </w:r>
    </w:p>
    <w:p w14:paraId="51F8BC4A" w14:textId="77777777" w:rsidR="004009F2" w:rsidRDefault="004009F2" w:rsidP="00185412">
      <w:pPr>
        <w:jc w:val="both"/>
      </w:pPr>
    </w:p>
    <w:p w14:paraId="4E5C555F" w14:textId="3D790CF9" w:rsidR="006C7C54" w:rsidRDefault="00B32B17" w:rsidP="00DD2D50">
      <w:pPr>
        <w:ind w:firstLine="708"/>
        <w:jc w:val="both"/>
      </w:pPr>
      <w:r>
        <w:t>E</w:t>
      </w:r>
      <w:r w:rsidR="006C7C54">
        <w:t xml:space="preserve">l </w:t>
      </w:r>
      <w:r>
        <w:t>segundo</w:t>
      </w:r>
      <w:r w:rsidR="006C7C54">
        <w:t xml:space="preserve"> problema es comunicacional: la O</w:t>
      </w:r>
      <w:r w:rsidR="00122CE3">
        <w:t>CDE</w:t>
      </w:r>
      <w:r w:rsidR="006C7C54">
        <w:t xml:space="preserve"> hizo el ejercicio de re-escalar los resultados originales con el nuevo criterio de corrección de 2015 pero no los presentó en sus informes centrales, sino apenas en los anexos (OECD</w:t>
      </w:r>
      <w:r w:rsidR="007F41C5">
        <w:t>,</w:t>
      </w:r>
      <w:r w:rsidR="006C7C54">
        <w:t xml:space="preserve"> 2016a)</w:t>
      </w:r>
      <w:r w:rsidR="00900D9A">
        <w:t xml:space="preserve"> y</w:t>
      </w:r>
      <w:r w:rsidR="00F638A2">
        <w:t xml:space="preserve"> en estudios más recientes </w:t>
      </w:r>
      <w:r w:rsidR="00900D9A">
        <w:t xml:space="preserve">sobre los resultados en Iberoamérica </w:t>
      </w:r>
      <w:r w:rsidR="00F638A2">
        <w:t>(OECD</w:t>
      </w:r>
      <w:r w:rsidR="007F41C5">
        <w:t>,</w:t>
      </w:r>
      <w:r w:rsidR="00F638A2">
        <w:t xml:space="preserve"> 2018)</w:t>
      </w:r>
      <w:r w:rsidR="006C7C54">
        <w:t xml:space="preserve">. </w:t>
      </w:r>
      <w:r w:rsidR="00F638A2">
        <w:t xml:space="preserve">Incluso, </w:t>
      </w:r>
      <w:r w:rsidR="006C7C54">
        <w:t>en los propios informes centrales se to</w:t>
      </w:r>
      <w:r w:rsidR="001B0B11">
        <w:t>man como casos de éxito a países de América Latina con los resultados originales que luego son corregidos en los anexos. Esto ocurre con Colombia en el informe central de PISA</w:t>
      </w:r>
      <w:r w:rsidR="00900D9A">
        <w:t>, mencionado como caso de éxito</w:t>
      </w:r>
      <w:r w:rsidR="00FC5A31">
        <w:t xml:space="preserve"> (OECD, 2016</w:t>
      </w:r>
      <w:r w:rsidR="002F69CC">
        <w:t>a</w:t>
      </w:r>
      <w:r w:rsidR="00900D9A">
        <w:t xml:space="preserve">, </w:t>
      </w:r>
      <w:r w:rsidR="00C405D5">
        <w:t>p.</w:t>
      </w:r>
      <w:r w:rsidR="00900D9A">
        <w:t xml:space="preserve"> 3</w:t>
      </w:r>
      <w:r w:rsidR="00FC5A31">
        <w:t>)</w:t>
      </w:r>
      <w:r w:rsidR="00900D9A">
        <w:t>,</w:t>
      </w:r>
      <w:r w:rsidR="001B0B11">
        <w:t xml:space="preserve"> y en el </w:t>
      </w:r>
      <w:r w:rsidR="005E3D27">
        <w:t>informe</w:t>
      </w:r>
      <w:r w:rsidR="001B0B11">
        <w:t xml:space="preserve"> del país, donde no se hace ninguna mención al ejercic</w:t>
      </w:r>
      <w:r w:rsidR="000F1CBA">
        <w:t>io que corrig</w:t>
      </w:r>
      <w:r w:rsidR="00FC5A31">
        <w:t xml:space="preserve">e los resultados </w:t>
      </w:r>
      <w:r w:rsidR="00900D9A">
        <w:t xml:space="preserve">y se resalta la mejora en los resultados </w:t>
      </w:r>
      <w:r w:rsidR="00FC5A31">
        <w:t xml:space="preserve">(OECD, </w:t>
      </w:r>
      <w:r w:rsidR="000F1CBA">
        <w:t>2016</w:t>
      </w:r>
      <w:r w:rsidR="005D2396">
        <w:t>b</w:t>
      </w:r>
      <w:r w:rsidR="00900D9A">
        <w:t xml:space="preserve">, </w:t>
      </w:r>
      <w:r w:rsidR="003C6A28">
        <w:t>p.</w:t>
      </w:r>
      <w:r w:rsidR="00900D9A">
        <w:t xml:space="preserve"> 1</w:t>
      </w:r>
      <w:r w:rsidR="001B0B11">
        <w:t>).</w:t>
      </w:r>
    </w:p>
    <w:p w14:paraId="47440C55" w14:textId="644AE0B9" w:rsidR="001B0B11" w:rsidRDefault="001B0B11" w:rsidP="00DD2D50">
      <w:pPr>
        <w:ind w:firstLine="708"/>
        <w:jc w:val="both"/>
      </w:pPr>
      <w:r>
        <w:t>Tal es así que el propio ex presidente de Colombia festejó los avances del país en PISA cuando se publicaron los res</w:t>
      </w:r>
      <w:r w:rsidR="00565B2A">
        <w:t xml:space="preserve">ultados en diciembre de </w:t>
      </w:r>
      <w:r w:rsidR="003671FC">
        <w:t>2016</w:t>
      </w:r>
      <w:r w:rsidR="003671FC">
        <w:rPr>
          <w:vertAlign w:val="superscript"/>
        </w:rPr>
        <w:t>4</w:t>
      </w:r>
      <w:r w:rsidR="003671FC">
        <w:t xml:space="preserve"> </w:t>
      </w:r>
      <w:r>
        <w:t>y los</w:t>
      </w:r>
      <w:r w:rsidR="005E3D27">
        <w:t xml:space="preserve"> informes</w:t>
      </w:r>
      <w:r>
        <w:t xml:space="preserve"> nacion</w:t>
      </w:r>
      <w:r w:rsidR="00FC5A31">
        <w:t xml:space="preserve">ales también tomaron </w:t>
      </w:r>
      <w:r>
        <w:t>los resultados originales sin hacer referencia a las correcciones</w:t>
      </w:r>
      <w:r w:rsidR="000F1CBA">
        <w:t xml:space="preserve"> (</w:t>
      </w:r>
      <w:r w:rsidR="007D53E2" w:rsidRPr="007D53E2">
        <w:t>Instituto Colombiano para la Evaluación de la Educación</w:t>
      </w:r>
      <w:r w:rsidR="007F41C5">
        <w:t>,</w:t>
      </w:r>
      <w:r w:rsidR="000F1CBA">
        <w:t xml:space="preserve"> 2017</w:t>
      </w:r>
      <w:r w:rsidR="00115C74">
        <w:t>)</w:t>
      </w:r>
      <w:r w:rsidR="00F638A2">
        <w:t>. E</w:t>
      </w:r>
      <w:r>
        <w:t xml:space="preserve">s muy probable que en </w:t>
      </w:r>
      <w:r w:rsidR="00F638A2">
        <w:t xml:space="preserve">varios países </w:t>
      </w:r>
      <w:r>
        <w:t xml:space="preserve">analizados aquí </w:t>
      </w:r>
      <w:r w:rsidR="00F638A2">
        <w:t>se estén</w:t>
      </w:r>
      <w:r>
        <w:t xml:space="preserve"> asumiendo resultados de mejora que no </w:t>
      </w:r>
      <w:r w:rsidR="002F69CC">
        <w:t>fueron tales por esta confusión comunicacional</w:t>
      </w:r>
      <w:r>
        <w:t xml:space="preserve">. </w:t>
      </w:r>
    </w:p>
    <w:p w14:paraId="06651923" w14:textId="7F7E13BE" w:rsidR="00280678" w:rsidRDefault="007E029D" w:rsidP="00DD2D50">
      <w:pPr>
        <w:ind w:firstLine="708"/>
        <w:jc w:val="both"/>
      </w:pPr>
      <w:r>
        <w:t xml:space="preserve">El tercer problema es la ruptura de la comparabilidad de la prueba PISA para toda la serie histórica. El ejercicio de re-escalamiento de los resultados con la nueva metodología de </w:t>
      </w:r>
      <w:r>
        <w:lastRenderedPageBreak/>
        <w:t xml:space="preserve">2015 fue realizado por PISA para las ediciones 2012, 2009 y 2006. </w:t>
      </w:r>
      <w:r w:rsidR="00280678">
        <w:t xml:space="preserve">Los resultados para las ediciones 2000 y 2003 ya no son comparables con esta nueva metodología. Justamente el año 2000, que sitúa el punto de partida de estas mejoras, tuvo tasas de no respuesta muy altas en todos los países de América Latina. ¿Fueron las mejoras posteriores el efecto de mejoras en los aprendizajes o sólo en la tasa de respuesta? </w:t>
      </w:r>
    </w:p>
    <w:p w14:paraId="44A3E331" w14:textId="3DF68C5C" w:rsidR="00BE3137" w:rsidRDefault="00280678" w:rsidP="00DD2D50">
      <w:pPr>
        <w:ind w:firstLine="708"/>
        <w:jc w:val="both"/>
      </w:pPr>
      <w:r>
        <w:t xml:space="preserve">No podemos contestar esta pregunta empíricamente, pero sí es posible </w:t>
      </w:r>
      <w:r w:rsidR="00F45718">
        <w:t>formular una hipótesis</w:t>
      </w:r>
      <w:r w:rsidR="008E7F66">
        <w:t>: a medida que las pruebas PISA tuvieron más alto impacto político, creció la presión para que los alumnos contesten con mayor esfuerzo</w:t>
      </w:r>
      <w:r w:rsidR="0040308B">
        <w:t xml:space="preserve">. </w:t>
      </w:r>
      <w:r w:rsidR="00DC2AC4">
        <w:t>E</w:t>
      </w:r>
      <w:r w:rsidR="00BE3137">
        <w:t xml:space="preserve">ste </w:t>
      </w:r>
      <w:r w:rsidR="001E1612">
        <w:t xml:space="preserve">fenómeno </w:t>
      </w:r>
      <w:r w:rsidR="00BE3137">
        <w:t xml:space="preserve">se vincularía con la generalización de una cultura de la evaluación (Jodouin, 2014), con la expansión de las evaluaciones nacionales </w:t>
      </w:r>
      <w:r w:rsidR="00394257">
        <w:t xml:space="preserve">(Wolff, 2004) </w:t>
      </w:r>
      <w:r w:rsidR="00BE3137">
        <w:t>y de políticas que asignaron mayor impacto a los resultados de las pruebas estandarizadas, y con un mayor impacto mediático y político de la publicación de los resultados de cada edición de PISA.</w:t>
      </w:r>
      <w:r w:rsidR="00790651">
        <w:t xml:space="preserve"> Estas hipótesis provienen de un estudio paralelo donde se consultó a más de 130 actores políticos de la educación en los siete países estudiados (Rivas</w:t>
      </w:r>
      <w:r w:rsidR="00A17AC6">
        <w:t>,</w:t>
      </w:r>
      <w:r w:rsidR="00790651">
        <w:t xml:space="preserve"> 2015). </w:t>
      </w:r>
    </w:p>
    <w:p w14:paraId="6F82047E" w14:textId="5E4F9768" w:rsidR="008E7F66" w:rsidRDefault="008E7F66" w:rsidP="00DD2D50">
      <w:pPr>
        <w:ind w:firstLine="708"/>
        <w:jc w:val="both"/>
      </w:pPr>
      <w:r>
        <w:t xml:space="preserve">Esto generó una paradoja: </w:t>
      </w:r>
      <w:r w:rsidR="00115C74">
        <w:t>el aumento de</w:t>
      </w:r>
      <w:r>
        <w:t xml:space="preserve"> la t</w:t>
      </w:r>
      <w:r w:rsidR="00115C74">
        <w:t>asa de respuesta de los alumnos hizo</w:t>
      </w:r>
      <w:r>
        <w:t xml:space="preserve"> la prueba </w:t>
      </w:r>
      <w:r w:rsidR="00115C74">
        <w:t>más válida (disminuyendo las tasas de no respuesta)</w:t>
      </w:r>
      <w:r w:rsidR="00570524">
        <w:t>,</w:t>
      </w:r>
      <w:r w:rsidR="00115C74">
        <w:t xml:space="preserve"> pero perdió</w:t>
      </w:r>
      <w:r>
        <w:t xml:space="preserve"> comparabilidad en el tiempo, dado que habían operado criterios distintos de esfuerzo para la prueba</w:t>
      </w:r>
      <w:r w:rsidR="000A4B95">
        <w:t xml:space="preserve"> en las distintas ediciones</w:t>
      </w:r>
      <w:r>
        <w:t xml:space="preserve">. </w:t>
      </w:r>
    </w:p>
    <w:p w14:paraId="69F33920" w14:textId="097B4B30" w:rsidR="008E0539" w:rsidRDefault="00BF12CF" w:rsidP="00DD2D50">
      <w:pPr>
        <w:ind w:firstLine="708"/>
        <w:jc w:val="both"/>
      </w:pPr>
      <w:r>
        <w:t xml:space="preserve">La literatura sobre el impacto de la motivación de </w:t>
      </w:r>
      <w:r w:rsidR="008E0539">
        <w:t>los alumn</w:t>
      </w:r>
      <w:r w:rsidR="000A4B95">
        <w:t>os en las pruebas (</w:t>
      </w:r>
      <w:r w:rsidR="000A4B95" w:rsidRPr="00565B2A">
        <w:rPr>
          <w:i/>
        </w:rPr>
        <w:t>Test-Taking M</w:t>
      </w:r>
      <w:r w:rsidR="008E0539" w:rsidRPr="00565B2A">
        <w:rPr>
          <w:i/>
        </w:rPr>
        <w:t>otivation</w:t>
      </w:r>
      <w:r w:rsidR="008E0539">
        <w:t xml:space="preserve">) señala la necesidad de diferenciar la </w:t>
      </w:r>
      <w:r w:rsidR="000F1CBA">
        <w:t xml:space="preserve">motivación </w:t>
      </w:r>
      <w:r w:rsidR="00565B2A">
        <w:t>(</w:t>
      </w:r>
      <w:r w:rsidR="00565B2A" w:rsidRPr="00565B2A">
        <w:rPr>
          <w:i/>
        </w:rPr>
        <w:t>will</w:t>
      </w:r>
      <w:r w:rsidR="00565B2A">
        <w:t xml:space="preserve">) </w:t>
      </w:r>
      <w:r w:rsidR="000F1CBA">
        <w:t xml:space="preserve">de las habilidades </w:t>
      </w:r>
      <w:r w:rsidR="00565B2A">
        <w:t>(</w:t>
      </w:r>
      <w:r w:rsidR="00565B2A" w:rsidRPr="00565B2A">
        <w:rPr>
          <w:i/>
        </w:rPr>
        <w:t>skill</w:t>
      </w:r>
      <w:r w:rsidR="00565B2A">
        <w:t xml:space="preserve">) </w:t>
      </w:r>
      <w:r w:rsidR="000F1CBA">
        <w:t>(Eklof, 2010</w:t>
      </w:r>
      <w:r w:rsidR="008E0539">
        <w:t>). Diversos estudios muestran que en las pruebas de bajo impacto (</w:t>
      </w:r>
      <w:r w:rsidR="008E0539" w:rsidRPr="00AB2704">
        <w:rPr>
          <w:i/>
        </w:rPr>
        <w:t>low-stakes</w:t>
      </w:r>
      <w:r w:rsidR="008E0539">
        <w:t>) los alumn</w:t>
      </w:r>
      <w:r w:rsidR="000F1CBA">
        <w:t>os realizan un menor esfuerzo (</w:t>
      </w:r>
      <w:r w:rsidR="007F41C5">
        <w:t xml:space="preserve">Wise </w:t>
      </w:r>
      <w:r w:rsidR="00A17AC6">
        <w:t>y</w:t>
      </w:r>
      <w:r w:rsidR="00E37FD8">
        <w:t xml:space="preserve"> DeMars, </w:t>
      </w:r>
      <w:r w:rsidR="00E37FD8" w:rsidRPr="00E37FD8">
        <w:t>2005</w:t>
      </w:r>
      <w:r w:rsidR="00E37FD8">
        <w:t xml:space="preserve">; </w:t>
      </w:r>
      <w:r w:rsidR="00E37FD8" w:rsidRPr="00E37FD8">
        <w:t xml:space="preserve">Pintrich </w:t>
      </w:r>
      <w:r w:rsidR="00A17AC6">
        <w:t>y</w:t>
      </w:r>
      <w:r w:rsidR="00E37FD8" w:rsidRPr="00E37FD8">
        <w:t xml:space="preserve"> DeGroot, 1990; Mislevy, 1995; Wolf </w:t>
      </w:r>
      <w:r w:rsidR="00A17AC6">
        <w:t>y</w:t>
      </w:r>
      <w:r w:rsidR="00E37FD8" w:rsidRPr="00E37FD8">
        <w:t xml:space="preserve"> Smith, 1995; Finn, 2015</w:t>
      </w:r>
      <w:r w:rsidR="008E0539">
        <w:t>). Esto varía mucho según contextos culturales</w:t>
      </w:r>
      <w:r w:rsidR="00E37FD8">
        <w:t xml:space="preserve"> (Wuttke, 2007; Gneezy et al., </w:t>
      </w:r>
      <w:r w:rsidR="00E37FD8" w:rsidRPr="00E37FD8">
        <w:t>2017</w:t>
      </w:r>
      <w:r w:rsidR="000A4B95" w:rsidRPr="00E37FD8">
        <w:t>)</w:t>
      </w:r>
      <w:r w:rsidR="000A4B95">
        <w:t xml:space="preserve">. Así </w:t>
      </w:r>
      <w:r w:rsidR="00F638A2">
        <w:t>se comprueba en nuestro estudio</w:t>
      </w:r>
      <w:r w:rsidR="000A4B95">
        <w:t>: e</w:t>
      </w:r>
      <w:r w:rsidR="008E0539">
        <w:t>n América Latina la falta de motivación para realizar las pruebas PISA con el mayor esfuerzo parece haber sido más alta en las primeras ediciones que</w:t>
      </w:r>
      <w:r w:rsidR="00570524">
        <w:t xml:space="preserve"> en</w:t>
      </w:r>
      <w:r w:rsidR="0022019C">
        <w:t xml:space="preserve"> países </w:t>
      </w:r>
      <w:r w:rsidR="00F638A2">
        <w:t>de otras regiones</w:t>
      </w:r>
      <w:r w:rsidR="0022019C">
        <w:t>.</w:t>
      </w:r>
    </w:p>
    <w:p w14:paraId="32E37B6F" w14:textId="5A001A19" w:rsidR="00BF12CF" w:rsidRDefault="0022019C" w:rsidP="00DD2D50">
      <w:pPr>
        <w:ind w:firstLine="708"/>
        <w:jc w:val="both"/>
      </w:pPr>
      <w:r>
        <w:t>La disminución de la tasa de no respuesta puede haber sid</w:t>
      </w:r>
      <w:r w:rsidR="008E0539">
        <w:t xml:space="preserve">o </w:t>
      </w:r>
      <w:r>
        <w:t>el efecto de la</w:t>
      </w:r>
      <w:r w:rsidR="00D25F28">
        <w:t xml:space="preserve"> creciente presión </w:t>
      </w:r>
      <w:r>
        <w:t>política que tuvo PISA, con la amplia difusión mediática de sus resultados</w:t>
      </w:r>
      <w:r w:rsidR="00AB2704">
        <w:t xml:space="preserve"> (Ravela, 2003;</w:t>
      </w:r>
      <w:r w:rsidR="00806357">
        <w:t xml:space="preserve"> Pons, 2017</w:t>
      </w:r>
      <w:r w:rsidR="00D25F28">
        <w:t>). Esta presión pudo haberse trasladado a una mayor preparación para la prueba en la muestra de</w:t>
      </w:r>
      <w:r>
        <w:t xml:space="preserve"> escuelas que recibe cada país seis</w:t>
      </w:r>
      <w:r w:rsidR="00D25F28">
        <w:t xml:space="preserve"> meses antes de la aplicación</w:t>
      </w:r>
      <w:r w:rsidR="00120A6C">
        <w:t>. A su vez, la mejora en las tasas de respuesta puede deberse a un avance en la cultura d</w:t>
      </w:r>
      <w:r w:rsidR="00806357">
        <w:t>e la evaluación en la región</w:t>
      </w:r>
      <w:r w:rsidR="00120A6C">
        <w:t>, con la implementación ya acostumbrada en muchos países de pruebas nacionales</w:t>
      </w:r>
      <w:r w:rsidR="00570524">
        <w:t xml:space="preserve"> </w:t>
      </w:r>
      <w:r w:rsidR="007F41C5">
        <w:t xml:space="preserve">(Solano-Flores </w:t>
      </w:r>
      <w:r w:rsidR="00860143">
        <w:t>y</w:t>
      </w:r>
      <w:r w:rsidR="00570524" w:rsidRPr="00570524">
        <w:t xml:space="preserve"> Milbourn, 2016)</w:t>
      </w:r>
      <w:r w:rsidR="00120A6C">
        <w:t xml:space="preserve">. </w:t>
      </w:r>
      <w:r w:rsidR="008E0539">
        <w:t xml:space="preserve"> </w:t>
      </w:r>
    </w:p>
    <w:p w14:paraId="5C031FFF" w14:textId="77777777" w:rsidR="00971912" w:rsidRDefault="00971912" w:rsidP="00971912">
      <w:pPr>
        <w:tabs>
          <w:tab w:val="left" w:pos="1997"/>
        </w:tabs>
        <w:jc w:val="both"/>
      </w:pPr>
    </w:p>
    <w:p w14:paraId="7EEF6F32" w14:textId="77777777" w:rsidR="00120A6C" w:rsidRPr="007A60DE" w:rsidRDefault="007A60DE" w:rsidP="00971912">
      <w:pPr>
        <w:tabs>
          <w:tab w:val="left" w:pos="1997"/>
        </w:tabs>
        <w:jc w:val="both"/>
        <w:rPr>
          <w:b/>
        </w:rPr>
      </w:pPr>
      <w:r w:rsidRPr="007A60DE">
        <w:rPr>
          <w:b/>
        </w:rPr>
        <w:t>Ensanchar la mirada: comparación de resultados en otras evaluaciones</w:t>
      </w:r>
    </w:p>
    <w:p w14:paraId="4289D124" w14:textId="77777777" w:rsidR="007A60DE" w:rsidRDefault="007A60DE" w:rsidP="00971912">
      <w:pPr>
        <w:tabs>
          <w:tab w:val="left" w:pos="1997"/>
        </w:tabs>
        <w:jc w:val="both"/>
      </w:pPr>
    </w:p>
    <w:p w14:paraId="3C293535" w14:textId="3EC3F1D3" w:rsidR="007A60DE" w:rsidRDefault="00354E31" w:rsidP="00354E31">
      <w:pPr>
        <w:tabs>
          <w:tab w:val="left" w:pos="709"/>
        </w:tabs>
        <w:jc w:val="both"/>
      </w:pPr>
      <w:r>
        <w:tab/>
      </w:r>
      <w:r w:rsidR="00F76A07">
        <w:t>Las pruebas PISA dejan más preguntas que respuestas sobre la comparabilidad inter-temporal de los resultados en cada país. Para los fines de este artículo, la pregunta acerca de la evolución de la calidad educativa en América Latina requiere ampliar la mirada y comparar los resultados de otras evaluaciones nacionales e internacionales.</w:t>
      </w:r>
    </w:p>
    <w:p w14:paraId="13EB1802" w14:textId="4997BD2B" w:rsidR="00F76A07" w:rsidRDefault="00354E31" w:rsidP="00354E31">
      <w:pPr>
        <w:tabs>
          <w:tab w:val="left" w:pos="709"/>
        </w:tabs>
        <w:jc w:val="both"/>
      </w:pPr>
      <w:r>
        <w:tab/>
      </w:r>
      <w:r w:rsidR="00F76A07">
        <w:t>La</w:t>
      </w:r>
      <w:r w:rsidR="007B386A">
        <w:t>s</w:t>
      </w:r>
      <w:r w:rsidR="00F76A07">
        <w:t xml:space="preserve"> </w:t>
      </w:r>
      <w:r w:rsidR="007B386A">
        <w:t>tablas 2 y</w:t>
      </w:r>
      <w:r w:rsidR="00242F1C">
        <w:t xml:space="preserve"> 3</w:t>
      </w:r>
      <w:r w:rsidR="00F76A07">
        <w:t xml:space="preserve"> compara</w:t>
      </w:r>
      <w:r w:rsidR="007B386A">
        <w:t>n</w:t>
      </w:r>
      <w:r w:rsidR="00F76A07">
        <w:t xml:space="preserve"> todas las pruebas an</w:t>
      </w:r>
      <w:r w:rsidR="00F92F7B">
        <w:t>alizadas</w:t>
      </w:r>
      <w:r w:rsidR="00E72E12">
        <w:t xml:space="preserve"> de los países</w:t>
      </w:r>
      <w:r w:rsidR="007B386A">
        <w:t>, que se suman a la tabla 1 con los resultados de PISA.</w:t>
      </w:r>
      <w:r w:rsidR="00F76A07">
        <w:t xml:space="preserve"> Para simplificar al máximo el análisis se decidió tomar como parámetro de referencia </w:t>
      </w:r>
      <w:r w:rsidR="00970BBE">
        <w:t xml:space="preserve">el periodo 2006-2015 con los resultados re-escalados de PISA </w:t>
      </w:r>
      <w:r w:rsidR="00E72E12">
        <w:t xml:space="preserve">en el </w:t>
      </w:r>
      <w:r w:rsidR="00E72E12">
        <w:lastRenderedPageBreak/>
        <w:t xml:space="preserve">nivel secundario </w:t>
      </w:r>
      <w:r w:rsidR="00970BBE">
        <w:t xml:space="preserve">y </w:t>
      </w:r>
      <w:r w:rsidR="00E72E12">
        <w:t xml:space="preserve">el período 2007-2013 de la prueba SERCE-TERCE de la UNESCO para el nivel primario. </w:t>
      </w:r>
    </w:p>
    <w:p w14:paraId="0B5B16E7" w14:textId="77777777" w:rsidR="0045709B" w:rsidRDefault="0045709B" w:rsidP="00971912">
      <w:pPr>
        <w:tabs>
          <w:tab w:val="left" w:pos="1997"/>
        </w:tabs>
        <w:jc w:val="both"/>
      </w:pPr>
    </w:p>
    <w:p w14:paraId="38495D5B" w14:textId="160DB49C" w:rsidR="007B386A" w:rsidRDefault="007B386A" w:rsidP="007B386A">
      <w:pPr>
        <w:pStyle w:val="Descripcin"/>
        <w:keepNext/>
        <w:jc w:val="both"/>
        <w:rPr>
          <w:rFonts w:cstheme="minorHAnsi"/>
          <w:b w:val="0"/>
          <w:color w:val="auto"/>
          <w:sz w:val="22"/>
          <w:szCs w:val="22"/>
          <w:lang w:val="es-MX"/>
        </w:rPr>
      </w:pPr>
      <w:r w:rsidRPr="00383304">
        <w:rPr>
          <w:rFonts w:cstheme="minorHAnsi"/>
          <w:b w:val="0"/>
          <w:color w:val="auto"/>
          <w:sz w:val="22"/>
          <w:szCs w:val="22"/>
          <w:lang w:val="es-MX"/>
        </w:rPr>
        <w:t xml:space="preserve">Tabla </w:t>
      </w:r>
      <w:r>
        <w:rPr>
          <w:rFonts w:cstheme="minorHAnsi"/>
          <w:b w:val="0"/>
          <w:color w:val="auto"/>
          <w:sz w:val="22"/>
          <w:szCs w:val="22"/>
          <w:lang w:val="es-MX"/>
        </w:rPr>
        <w:t>2</w:t>
      </w:r>
      <w:r w:rsidRPr="00383304">
        <w:rPr>
          <w:rFonts w:cstheme="minorHAnsi"/>
          <w:b w:val="0"/>
          <w:color w:val="auto"/>
          <w:sz w:val="22"/>
          <w:szCs w:val="22"/>
          <w:lang w:val="es-MX"/>
        </w:rPr>
        <w:t xml:space="preserve">: Resultados </w:t>
      </w:r>
      <w:r w:rsidR="006237DE">
        <w:rPr>
          <w:rFonts w:cstheme="minorHAnsi"/>
          <w:b w:val="0"/>
          <w:color w:val="auto"/>
          <w:sz w:val="22"/>
          <w:szCs w:val="22"/>
          <w:lang w:val="es-MX"/>
        </w:rPr>
        <w:t>de evaluaciones internacionales (PISA – resultados reescalados –, SERCE/</w:t>
      </w:r>
      <w:r>
        <w:rPr>
          <w:rFonts w:cstheme="minorHAnsi"/>
          <w:b w:val="0"/>
          <w:color w:val="auto"/>
          <w:sz w:val="22"/>
          <w:szCs w:val="22"/>
          <w:lang w:val="es-MX"/>
        </w:rPr>
        <w:t>TERCE</w:t>
      </w:r>
      <w:r w:rsidR="006237DE">
        <w:rPr>
          <w:rFonts w:cstheme="minorHAnsi"/>
          <w:b w:val="0"/>
          <w:color w:val="auto"/>
          <w:sz w:val="22"/>
          <w:szCs w:val="22"/>
          <w:lang w:val="es-MX"/>
        </w:rPr>
        <w:t>)</w:t>
      </w:r>
      <w:r w:rsidRPr="00383304">
        <w:rPr>
          <w:rFonts w:cstheme="minorHAnsi"/>
          <w:b w:val="0"/>
          <w:color w:val="auto"/>
          <w:sz w:val="22"/>
          <w:szCs w:val="22"/>
          <w:lang w:val="es-MX"/>
        </w:rPr>
        <w:t>, por área</w:t>
      </w:r>
      <w:r>
        <w:rPr>
          <w:rFonts w:cstheme="minorHAnsi"/>
          <w:b w:val="0"/>
          <w:color w:val="auto"/>
          <w:sz w:val="22"/>
          <w:szCs w:val="22"/>
          <w:lang w:val="es-MX"/>
        </w:rPr>
        <w:t xml:space="preserve">. </w:t>
      </w:r>
      <w:r w:rsidRPr="00383304">
        <w:rPr>
          <w:rFonts w:cstheme="minorHAnsi"/>
          <w:b w:val="0"/>
          <w:color w:val="auto"/>
          <w:sz w:val="22"/>
          <w:szCs w:val="22"/>
          <w:lang w:val="es-MX"/>
        </w:rPr>
        <w:t xml:space="preserve">Países </w:t>
      </w:r>
      <w:r>
        <w:rPr>
          <w:rFonts w:cstheme="minorHAnsi"/>
          <w:b w:val="0"/>
          <w:color w:val="auto"/>
          <w:sz w:val="22"/>
          <w:szCs w:val="22"/>
          <w:lang w:val="es-MX"/>
        </w:rPr>
        <w:t xml:space="preserve">seleccionados </w:t>
      </w:r>
      <w:r w:rsidRPr="00383304">
        <w:rPr>
          <w:rFonts w:cstheme="minorHAnsi"/>
          <w:b w:val="0"/>
          <w:color w:val="auto"/>
          <w:sz w:val="22"/>
          <w:szCs w:val="22"/>
          <w:lang w:val="es-MX"/>
        </w:rPr>
        <w:t xml:space="preserve">de América Latina. 2006 </w:t>
      </w:r>
      <w:r>
        <w:rPr>
          <w:rFonts w:cstheme="minorHAnsi"/>
          <w:b w:val="0"/>
          <w:color w:val="auto"/>
          <w:sz w:val="22"/>
          <w:szCs w:val="22"/>
          <w:lang w:val="es-MX"/>
        </w:rPr>
        <w:t>–</w:t>
      </w:r>
      <w:r w:rsidRPr="00383304">
        <w:rPr>
          <w:rFonts w:cstheme="minorHAnsi"/>
          <w:b w:val="0"/>
          <w:color w:val="auto"/>
          <w:sz w:val="22"/>
          <w:szCs w:val="22"/>
          <w:lang w:val="es-MX"/>
        </w:rPr>
        <w:t xml:space="preserve"> 201</w:t>
      </w:r>
      <w:r w:rsidR="006237DE">
        <w:rPr>
          <w:rFonts w:cstheme="minorHAnsi"/>
          <w:b w:val="0"/>
          <w:color w:val="auto"/>
          <w:sz w:val="22"/>
          <w:szCs w:val="22"/>
          <w:lang w:val="es-MX"/>
        </w:rPr>
        <w:t>5</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611"/>
        <w:gridCol w:w="587"/>
        <w:gridCol w:w="547"/>
        <w:gridCol w:w="587"/>
        <w:gridCol w:w="587"/>
        <w:gridCol w:w="449"/>
        <w:gridCol w:w="663"/>
        <w:gridCol w:w="666"/>
        <w:gridCol w:w="667"/>
        <w:gridCol w:w="667"/>
        <w:gridCol w:w="667"/>
        <w:gridCol w:w="667"/>
      </w:tblGrid>
      <w:tr w:rsidR="006237DE" w:rsidRPr="00383304" w14:paraId="22E7D27A" w14:textId="77777777" w:rsidTr="006237DE">
        <w:trPr>
          <w:trHeight w:val="300"/>
          <w:jc w:val="center"/>
        </w:trPr>
        <w:tc>
          <w:tcPr>
            <w:tcW w:w="1129" w:type="dxa"/>
            <w:vMerge w:val="restart"/>
            <w:tcBorders>
              <w:top w:val="single" w:sz="18" w:space="0" w:color="auto"/>
              <w:left w:val="single" w:sz="18" w:space="0" w:color="auto"/>
              <w:right w:val="single" w:sz="18" w:space="0" w:color="auto"/>
            </w:tcBorders>
            <w:shd w:val="clear" w:color="auto" w:fill="auto"/>
            <w:noWrap/>
            <w:vAlign w:val="center"/>
          </w:tcPr>
          <w:p w14:paraId="0B572F34" w14:textId="3A298664" w:rsidR="006237DE" w:rsidRPr="00383304" w:rsidRDefault="006237DE" w:rsidP="006237DE">
            <w:pPr>
              <w:pStyle w:val="Descripcin"/>
              <w:keepNext/>
              <w:spacing w:after="0"/>
              <w:jc w:val="center"/>
              <w:rPr>
                <w:rFonts w:cstheme="minorHAnsi"/>
                <w:b w:val="0"/>
                <w:color w:val="auto"/>
                <w:sz w:val="22"/>
                <w:szCs w:val="22"/>
                <w:lang w:val="es-MX"/>
              </w:rPr>
            </w:pPr>
            <w:r w:rsidRPr="00383304">
              <w:rPr>
                <w:rFonts w:cstheme="minorHAnsi"/>
                <w:b w:val="0"/>
                <w:color w:val="auto"/>
                <w:sz w:val="22"/>
                <w:szCs w:val="22"/>
                <w:lang w:val="es-MX"/>
              </w:rPr>
              <w:t>PAÍSES</w:t>
            </w:r>
          </w:p>
        </w:tc>
        <w:tc>
          <w:tcPr>
            <w:tcW w:w="3367" w:type="dxa"/>
            <w:gridSpan w:val="6"/>
            <w:tcBorders>
              <w:top w:val="single" w:sz="18" w:space="0" w:color="auto"/>
              <w:left w:val="single" w:sz="18" w:space="0" w:color="auto"/>
              <w:right w:val="single" w:sz="18" w:space="0" w:color="auto"/>
            </w:tcBorders>
            <w:shd w:val="clear" w:color="auto" w:fill="auto"/>
            <w:noWrap/>
            <w:vAlign w:val="center"/>
          </w:tcPr>
          <w:p w14:paraId="15FF3300" w14:textId="13F34A36" w:rsidR="006237DE" w:rsidRPr="006237DE" w:rsidRDefault="006237DE" w:rsidP="006237DE">
            <w:pPr>
              <w:pStyle w:val="Descripcin"/>
              <w:keepNext/>
              <w:spacing w:after="0"/>
              <w:jc w:val="center"/>
              <w:rPr>
                <w:rFonts w:cstheme="minorHAnsi"/>
                <w:color w:val="auto"/>
                <w:sz w:val="22"/>
                <w:szCs w:val="22"/>
                <w:lang w:val="es-MX"/>
              </w:rPr>
            </w:pPr>
            <w:r w:rsidRPr="006237DE">
              <w:rPr>
                <w:rFonts w:cstheme="minorHAnsi"/>
                <w:color w:val="auto"/>
                <w:sz w:val="22"/>
                <w:szCs w:val="22"/>
                <w:lang w:val="es-MX"/>
              </w:rPr>
              <w:t xml:space="preserve">SERCE/TERCE </w:t>
            </w:r>
          </w:p>
          <w:p w14:paraId="554D3374" w14:textId="7CBAA13C" w:rsidR="006237DE" w:rsidRPr="00383304" w:rsidRDefault="006237DE" w:rsidP="006237DE">
            <w:pPr>
              <w:pStyle w:val="Descripcin"/>
              <w:keepNext/>
              <w:spacing w:after="0"/>
              <w:jc w:val="center"/>
              <w:rPr>
                <w:rFonts w:cstheme="minorHAnsi"/>
                <w:b w:val="0"/>
                <w:color w:val="auto"/>
                <w:sz w:val="22"/>
                <w:szCs w:val="22"/>
                <w:lang w:val="es-MX"/>
              </w:rPr>
            </w:pPr>
            <w:r>
              <w:rPr>
                <w:rFonts w:cstheme="minorHAnsi"/>
                <w:b w:val="0"/>
                <w:color w:val="auto"/>
                <w:sz w:val="22"/>
                <w:szCs w:val="22"/>
                <w:lang w:val="es-MX"/>
              </w:rPr>
              <w:t>(6to grado)</w:t>
            </w:r>
            <w:r w:rsidR="009C38B2">
              <w:rPr>
                <w:rFonts w:cstheme="minorHAnsi"/>
                <w:b w:val="0"/>
                <w:color w:val="auto"/>
                <w:sz w:val="22"/>
                <w:szCs w:val="22"/>
                <w:lang w:val="es-MX"/>
              </w:rPr>
              <w:t>***</w:t>
            </w:r>
          </w:p>
        </w:tc>
        <w:tc>
          <w:tcPr>
            <w:tcW w:w="3998" w:type="dxa"/>
            <w:gridSpan w:val="6"/>
            <w:tcBorders>
              <w:top w:val="single" w:sz="18" w:space="0" w:color="auto"/>
              <w:left w:val="single" w:sz="18" w:space="0" w:color="auto"/>
              <w:right w:val="single" w:sz="18" w:space="0" w:color="auto"/>
            </w:tcBorders>
          </w:tcPr>
          <w:p w14:paraId="6FD6B953" w14:textId="77777777" w:rsidR="006237DE" w:rsidRPr="006237DE" w:rsidRDefault="006237DE" w:rsidP="006237DE">
            <w:pPr>
              <w:pStyle w:val="Descripcin"/>
              <w:keepNext/>
              <w:spacing w:after="0"/>
              <w:jc w:val="center"/>
              <w:rPr>
                <w:rFonts w:cstheme="minorHAnsi"/>
                <w:color w:val="auto"/>
                <w:sz w:val="22"/>
                <w:szCs w:val="22"/>
                <w:lang w:val="es-MX"/>
              </w:rPr>
            </w:pPr>
            <w:r w:rsidRPr="006237DE">
              <w:rPr>
                <w:rFonts w:cstheme="minorHAnsi"/>
                <w:color w:val="auto"/>
                <w:sz w:val="22"/>
                <w:szCs w:val="22"/>
                <w:lang w:val="es-MX"/>
              </w:rPr>
              <w:t xml:space="preserve">PISA – resultados reescalados </w:t>
            </w:r>
          </w:p>
          <w:p w14:paraId="3F2FAC0A" w14:textId="51299491" w:rsidR="006237DE" w:rsidRPr="00383304" w:rsidRDefault="006237DE" w:rsidP="006237DE">
            <w:pPr>
              <w:pStyle w:val="Descripcin"/>
              <w:keepNext/>
              <w:spacing w:after="0"/>
              <w:jc w:val="center"/>
              <w:rPr>
                <w:rFonts w:cstheme="minorHAnsi"/>
                <w:b w:val="0"/>
                <w:color w:val="auto"/>
                <w:sz w:val="22"/>
                <w:szCs w:val="22"/>
                <w:lang w:val="es-MX"/>
              </w:rPr>
            </w:pPr>
            <w:r>
              <w:rPr>
                <w:rFonts w:cstheme="minorHAnsi"/>
                <w:b w:val="0"/>
                <w:color w:val="auto"/>
                <w:sz w:val="22"/>
                <w:szCs w:val="22"/>
                <w:lang w:val="es-MX"/>
              </w:rPr>
              <w:t>(estudiantes 15 años)</w:t>
            </w:r>
          </w:p>
        </w:tc>
      </w:tr>
      <w:tr w:rsidR="006237DE" w:rsidRPr="00383304" w14:paraId="04312B62" w14:textId="7A301D20" w:rsidTr="006237DE">
        <w:trPr>
          <w:trHeight w:val="300"/>
          <w:jc w:val="center"/>
        </w:trPr>
        <w:tc>
          <w:tcPr>
            <w:tcW w:w="1129" w:type="dxa"/>
            <w:vMerge/>
            <w:tcBorders>
              <w:left w:val="single" w:sz="18" w:space="0" w:color="auto"/>
              <w:right w:val="single" w:sz="18" w:space="0" w:color="auto"/>
            </w:tcBorders>
            <w:shd w:val="clear" w:color="auto" w:fill="auto"/>
            <w:noWrap/>
            <w:vAlign w:val="center"/>
            <w:hideMark/>
          </w:tcPr>
          <w:p w14:paraId="718F40E0" w14:textId="56C762E3" w:rsidR="006237DE" w:rsidRPr="00383304" w:rsidRDefault="006237DE" w:rsidP="006237DE">
            <w:pPr>
              <w:pStyle w:val="Descripcin"/>
              <w:keepNext/>
              <w:spacing w:after="0"/>
              <w:jc w:val="center"/>
              <w:rPr>
                <w:rFonts w:cstheme="minorHAnsi"/>
                <w:b w:val="0"/>
                <w:color w:val="auto"/>
                <w:sz w:val="22"/>
                <w:szCs w:val="22"/>
                <w:lang w:val="es-MX"/>
              </w:rPr>
            </w:pPr>
          </w:p>
        </w:tc>
        <w:tc>
          <w:tcPr>
            <w:tcW w:w="1745" w:type="dxa"/>
            <w:gridSpan w:val="3"/>
            <w:tcBorders>
              <w:left w:val="single" w:sz="18" w:space="0" w:color="auto"/>
              <w:bottom w:val="single" w:sz="4" w:space="0" w:color="auto"/>
            </w:tcBorders>
            <w:shd w:val="clear" w:color="auto" w:fill="auto"/>
            <w:noWrap/>
            <w:vAlign w:val="center"/>
            <w:hideMark/>
          </w:tcPr>
          <w:p w14:paraId="1FB8C2E5" w14:textId="4DBBF240" w:rsidR="006237DE" w:rsidRPr="00383304" w:rsidRDefault="006237DE" w:rsidP="006237DE">
            <w:pPr>
              <w:pStyle w:val="Descripcin"/>
              <w:keepNext/>
              <w:spacing w:after="0"/>
              <w:jc w:val="center"/>
              <w:rPr>
                <w:rFonts w:cstheme="minorHAnsi"/>
                <w:b w:val="0"/>
                <w:color w:val="auto"/>
                <w:sz w:val="22"/>
                <w:szCs w:val="22"/>
                <w:lang w:val="es-MX"/>
              </w:rPr>
            </w:pPr>
            <w:r>
              <w:rPr>
                <w:rFonts w:cstheme="minorHAnsi"/>
                <w:b w:val="0"/>
                <w:color w:val="auto"/>
                <w:sz w:val="22"/>
                <w:szCs w:val="22"/>
                <w:lang w:val="es-MX"/>
              </w:rPr>
              <w:t>Lectura</w:t>
            </w:r>
          </w:p>
        </w:tc>
        <w:tc>
          <w:tcPr>
            <w:tcW w:w="1622" w:type="dxa"/>
            <w:gridSpan w:val="3"/>
            <w:tcBorders>
              <w:bottom w:val="single" w:sz="4" w:space="0" w:color="auto"/>
              <w:right w:val="single" w:sz="18" w:space="0" w:color="auto"/>
            </w:tcBorders>
            <w:shd w:val="clear" w:color="auto" w:fill="auto"/>
            <w:noWrap/>
            <w:vAlign w:val="center"/>
            <w:hideMark/>
          </w:tcPr>
          <w:p w14:paraId="0E1985DD" w14:textId="7004FDC4" w:rsidR="006237DE" w:rsidRPr="00383304" w:rsidRDefault="006237DE" w:rsidP="006237DE">
            <w:pPr>
              <w:pStyle w:val="Descripcin"/>
              <w:keepNext/>
              <w:spacing w:after="0"/>
              <w:jc w:val="center"/>
              <w:rPr>
                <w:rFonts w:cstheme="minorHAnsi"/>
                <w:b w:val="0"/>
                <w:color w:val="auto"/>
                <w:sz w:val="22"/>
                <w:szCs w:val="22"/>
                <w:lang w:val="es-MX"/>
              </w:rPr>
            </w:pPr>
            <w:r>
              <w:rPr>
                <w:rFonts w:cstheme="minorHAnsi"/>
                <w:b w:val="0"/>
                <w:color w:val="auto"/>
                <w:sz w:val="22"/>
                <w:szCs w:val="22"/>
                <w:lang w:val="es-MX"/>
              </w:rPr>
              <w:t>Matemática</w:t>
            </w:r>
          </w:p>
        </w:tc>
        <w:tc>
          <w:tcPr>
            <w:tcW w:w="1997" w:type="dxa"/>
            <w:gridSpan w:val="3"/>
            <w:tcBorders>
              <w:left w:val="single" w:sz="18" w:space="0" w:color="auto"/>
              <w:bottom w:val="single" w:sz="4" w:space="0" w:color="auto"/>
            </w:tcBorders>
            <w:vAlign w:val="center"/>
          </w:tcPr>
          <w:p w14:paraId="686E800A" w14:textId="052554FD" w:rsidR="006237DE" w:rsidRPr="00383304" w:rsidRDefault="006237DE" w:rsidP="006237DE">
            <w:pPr>
              <w:pStyle w:val="Descripcin"/>
              <w:keepNext/>
              <w:spacing w:after="0"/>
              <w:jc w:val="center"/>
              <w:rPr>
                <w:rFonts w:cstheme="minorHAnsi"/>
                <w:b w:val="0"/>
                <w:color w:val="auto"/>
                <w:sz w:val="22"/>
                <w:szCs w:val="22"/>
                <w:lang w:val="es-MX"/>
              </w:rPr>
            </w:pPr>
            <w:r>
              <w:rPr>
                <w:rFonts w:cstheme="minorHAnsi"/>
                <w:b w:val="0"/>
                <w:color w:val="auto"/>
                <w:sz w:val="22"/>
                <w:szCs w:val="22"/>
                <w:lang w:val="es-MX"/>
              </w:rPr>
              <w:t>Lectura</w:t>
            </w:r>
          </w:p>
        </w:tc>
        <w:tc>
          <w:tcPr>
            <w:tcW w:w="2001" w:type="dxa"/>
            <w:gridSpan w:val="3"/>
            <w:tcBorders>
              <w:bottom w:val="single" w:sz="4" w:space="0" w:color="auto"/>
              <w:right w:val="single" w:sz="18" w:space="0" w:color="auto"/>
            </w:tcBorders>
            <w:vAlign w:val="center"/>
          </w:tcPr>
          <w:p w14:paraId="22DA41DF" w14:textId="043A2AD5" w:rsidR="006237DE" w:rsidRPr="00383304" w:rsidRDefault="006237DE" w:rsidP="006237DE">
            <w:pPr>
              <w:pStyle w:val="Descripcin"/>
              <w:keepNext/>
              <w:spacing w:after="0"/>
              <w:jc w:val="center"/>
              <w:rPr>
                <w:rFonts w:cstheme="minorHAnsi"/>
                <w:b w:val="0"/>
                <w:color w:val="auto"/>
                <w:sz w:val="22"/>
                <w:szCs w:val="22"/>
                <w:lang w:val="es-MX"/>
              </w:rPr>
            </w:pPr>
            <w:r>
              <w:rPr>
                <w:rFonts w:cstheme="minorHAnsi"/>
                <w:b w:val="0"/>
                <w:color w:val="auto"/>
                <w:sz w:val="22"/>
                <w:szCs w:val="22"/>
                <w:lang w:val="es-MX"/>
              </w:rPr>
              <w:t>Matemática</w:t>
            </w:r>
          </w:p>
        </w:tc>
      </w:tr>
      <w:tr w:rsidR="006237DE" w:rsidRPr="00383304" w14:paraId="2ACC63D0" w14:textId="2A1DDB8F" w:rsidTr="00A65DD4">
        <w:trPr>
          <w:trHeight w:val="300"/>
          <w:jc w:val="center"/>
        </w:trPr>
        <w:tc>
          <w:tcPr>
            <w:tcW w:w="1129" w:type="dxa"/>
            <w:vMerge/>
            <w:tcBorders>
              <w:left w:val="single" w:sz="18" w:space="0" w:color="auto"/>
              <w:bottom w:val="single" w:sz="18" w:space="0" w:color="auto"/>
              <w:right w:val="single" w:sz="18" w:space="0" w:color="auto"/>
            </w:tcBorders>
            <w:shd w:val="clear" w:color="auto" w:fill="auto"/>
            <w:noWrap/>
            <w:vAlign w:val="center"/>
            <w:hideMark/>
          </w:tcPr>
          <w:p w14:paraId="6D59F5A3" w14:textId="77777777" w:rsidR="006237DE" w:rsidRPr="00383304" w:rsidRDefault="006237DE" w:rsidP="006237DE">
            <w:pPr>
              <w:pStyle w:val="Descripcin"/>
              <w:keepNext/>
              <w:spacing w:after="0"/>
              <w:jc w:val="center"/>
              <w:rPr>
                <w:rFonts w:cstheme="minorHAnsi"/>
                <w:b w:val="0"/>
                <w:color w:val="auto"/>
                <w:sz w:val="22"/>
                <w:szCs w:val="22"/>
                <w:lang w:val="es-MX"/>
              </w:rPr>
            </w:pPr>
          </w:p>
        </w:tc>
        <w:tc>
          <w:tcPr>
            <w:tcW w:w="611" w:type="dxa"/>
            <w:tcBorders>
              <w:left w:val="single" w:sz="18" w:space="0" w:color="auto"/>
              <w:bottom w:val="single" w:sz="18" w:space="0" w:color="auto"/>
              <w:right w:val="nil"/>
            </w:tcBorders>
            <w:shd w:val="clear" w:color="auto" w:fill="auto"/>
            <w:noWrap/>
            <w:vAlign w:val="center"/>
            <w:hideMark/>
          </w:tcPr>
          <w:p w14:paraId="2F316068" w14:textId="294D5955" w:rsidR="006237DE" w:rsidRPr="00383304" w:rsidRDefault="006237DE" w:rsidP="006237DE">
            <w:pPr>
              <w:pStyle w:val="Descripcin"/>
              <w:keepNext/>
              <w:spacing w:after="0"/>
              <w:jc w:val="center"/>
              <w:rPr>
                <w:rFonts w:cstheme="minorHAnsi"/>
                <w:b w:val="0"/>
                <w:color w:val="auto"/>
                <w:sz w:val="22"/>
                <w:szCs w:val="22"/>
                <w:lang w:val="es-MX"/>
              </w:rPr>
            </w:pPr>
            <w:r>
              <w:rPr>
                <w:rFonts w:cstheme="minorHAnsi"/>
                <w:b w:val="0"/>
                <w:color w:val="auto"/>
                <w:sz w:val="22"/>
                <w:szCs w:val="22"/>
                <w:lang w:val="es-MX"/>
              </w:rPr>
              <w:t>2006</w:t>
            </w:r>
          </w:p>
        </w:tc>
        <w:tc>
          <w:tcPr>
            <w:tcW w:w="587" w:type="dxa"/>
            <w:tcBorders>
              <w:left w:val="nil"/>
              <w:bottom w:val="single" w:sz="18" w:space="0" w:color="auto"/>
              <w:right w:val="nil"/>
            </w:tcBorders>
            <w:shd w:val="clear" w:color="auto" w:fill="auto"/>
            <w:noWrap/>
            <w:vAlign w:val="center"/>
            <w:hideMark/>
          </w:tcPr>
          <w:p w14:paraId="144C48BB" w14:textId="504A3291" w:rsidR="006237DE" w:rsidRPr="00383304" w:rsidRDefault="006237DE" w:rsidP="006237DE">
            <w:pPr>
              <w:pStyle w:val="Descripcin"/>
              <w:keepNext/>
              <w:spacing w:after="0"/>
              <w:jc w:val="center"/>
              <w:rPr>
                <w:rFonts w:cstheme="minorHAnsi"/>
                <w:b w:val="0"/>
                <w:color w:val="auto"/>
                <w:sz w:val="22"/>
                <w:szCs w:val="22"/>
                <w:lang w:val="es-MX"/>
              </w:rPr>
            </w:pPr>
            <w:r>
              <w:rPr>
                <w:rFonts w:cstheme="minorHAnsi"/>
                <w:b w:val="0"/>
                <w:color w:val="auto"/>
                <w:sz w:val="22"/>
                <w:szCs w:val="22"/>
                <w:lang w:val="es-MX"/>
              </w:rPr>
              <w:t>2013</w:t>
            </w:r>
          </w:p>
        </w:tc>
        <w:tc>
          <w:tcPr>
            <w:tcW w:w="547" w:type="dxa"/>
            <w:tcBorders>
              <w:left w:val="nil"/>
              <w:bottom w:val="single" w:sz="18" w:space="0" w:color="auto"/>
            </w:tcBorders>
            <w:vAlign w:val="center"/>
          </w:tcPr>
          <w:p w14:paraId="4D8EE455" w14:textId="4790D947" w:rsidR="006237DE" w:rsidRPr="006237DE" w:rsidRDefault="006237DE" w:rsidP="006237DE">
            <w:pPr>
              <w:pStyle w:val="Descripcin"/>
              <w:keepNext/>
              <w:spacing w:after="0"/>
              <w:jc w:val="center"/>
              <w:rPr>
                <w:rFonts w:cstheme="minorHAnsi"/>
                <w:b w:val="0"/>
                <w:i/>
                <w:color w:val="auto"/>
                <w:sz w:val="22"/>
                <w:szCs w:val="22"/>
                <w:lang w:val="es-MX"/>
              </w:rPr>
            </w:pPr>
            <w:r w:rsidRPr="006237DE">
              <w:rPr>
                <w:rFonts w:cstheme="minorHAnsi"/>
                <w:b w:val="0"/>
                <w:i/>
                <w:color w:val="auto"/>
                <w:sz w:val="22"/>
                <w:szCs w:val="22"/>
                <w:lang w:val="es-MX"/>
              </w:rPr>
              <w:t>Dif.</w:t>
            </w:r>
          </w:p>
        </w:tc>
        <w:tc>
          <w:tcPr>
            <w:tcW w:w="587" w:type="dxa"/>
            <w:tcBorders>
              <w:bottom w:val="single" w:sz="18" w:space="0" w:color="auto"/>
              <w:right w:val="nil"/>
            </w:tcBorders>
            <w:shd w:val="clear" w:color="auto" w:fill="auto"/>
            <w:noWrap/>
            <w:vAlign w:val="center"/>
            <w:hideMark/>
          </w:tcPr>
          <w:p w14:paraId="7DDA65C5" w14:textId="080B9BAA" w:rsidR="006237DE" w:rsidRPr="006237DE" w:rsidRDefault="006237DE" w:rsidP="006237DE">
            <w:pPr>
              <w:pStyle w:val="Descripcin"/>
              <w:keepNext/>
              <w:spacing w:after="0"/>
              <w:jc w:val="center"/>
              <w:rPr>
                <w:rFonts w:cstheme="minorHAnsi"/>
                <w:b w:val="0"/>
                <w:i/>
                <w:color w:val="auto"/>
                <w:sz w:val="22"/>
                <w:szCs w:val="22"/>
                <w:lang w:val="es-MX"/>
              </w:rPr>
            </w:pPr>
            <w:r w:rsidRPr="006237DE">
              <w:rPr>
                <w:rFonts w:cstheme="minorHAnsi"/>
                <w:b w:val="0"/>
                <w:i/>
                <w:color w:val="auto"/>
                <w:sz w:val="22"/>
                <w:szCs w:val="22"/>
                <w:lang w:val="es-MX"/>
              </w:rPr>
              <w:t>2006</w:t>
            </w:r>
          </w:p>
        </w:tc>
        <w:tc>
          <w:tcPr>
            <w:tcW w:w="587" w:type="dxa"/>
            <w:tcBorders>
              <w:left w:val="nil"/>
              <w:bottom w:val="single" w:sz="18" w:space="0" w:color="auto"/>
              <w:right w:val="nil"/>
            </w:tcBorders>
            <w:shd w:val="clear" w:color="auto" w:fill="auto"/>
            <w:noWrap/>
            <w:vAlign w:val="center"/>
            <w:hideMark/>
          </w:tcPr>
          <w:p w14:paraId="3E7F2F0D" w14:textId="0CE0DB65" w:rsidR="006237DE" w:rsidRPr="00383304" w:rsidRDefault="006237DE" w:rsidP="006237DE">
            <w:pPr>
              <w:pStyle w:val="Descripcin"/>
              <w:keepNext/>
              <w:spacing w:after="0"/>
              <w:jc w:val="center"/>
              <w:rPr>
                <w:rFonts w:cstheme="minorHAnsi"/>
                <w:b w:val="0"/>
                <w:color w:val="auto"/>
                <w:sz w:val="22"/>
                <w:szCs w:val="22"/>
                <w:lang w:val="es-MX"/>
              </w:rPr>
            </w:pPr>
            <w:r>
              <w:rPr>
                <w:rFonts w:cstheme="minorHAnsi"/>
                <w:b w:val="0"/>
                <w:color w:val="auto"/>
                <w:sz w:val="22"/>
                <w:szCs w:val="22"/>
                <w:lang w:val="es-MX"/>
              </w:rPr>
              <w:t>2013</w:t>
            </w:r>
          </w:p>
        </w:tc>
        <w:tc>
          <w:tcPr>
            <w:tcW w:w="448" w:type="dxa"/>
            <w:tcBorders>
              <w:left w:val="nil"/>
              <w:bottom w:val="single" w:sz="18" w:space="0" w:color="auto"/>
              <w:right w:val="single" w:sz="18" w:space="0" w:color="auto"/>
            </w:tcBorders>
            <w:vAlign w:val="center"/>
          </w:tcPr>
          <w:p w14:paraId="303CE28F" w14:textId="5D536C92" w:rsidR="006237DE" w:rsidRPr="006237DE" w:rsidRDefault="006237DE" w:rsidP="006237DE">
            <w:pPr>
              <w:pStyle w:val="Descripcin"/>
              <w:keepNext/>
              <w:spacing w:after="0"/>
              <w:jc w:val="center"/>
              <w:rPr>
                <w:rFonts w:cstheme="minorHAnsi"/>
                <w:b w:val="0"/>
                <w:i/>
                <w:color w:val="auto"/>
                <w:sz w:val="22"/>
                <w:szCs w:val="22"/>
                <w:lang w:val="es-MX"/>
              </w:rPr>
            </w:pPr>
            <w:r w:rsidRPr="006237DE">
              <w:rPr>
                <w:rFonts w:cstheme="minorHAnsi"/>
                <w:b w:val="0"/>
                <w:i/>
                <w:color w:val="auto"/>
                <w:sz w:val="22"/>
                <w:szCs w:val="22"/>
                <w:lang w:val="es-MX"/>
              </w:rPr>
              <w:t>Dif.</w:t>
            </w:r>
          </w:p>
        </w:tc>
        <w:tc>
          <w:tcPr>
            <w:tcW w:w="664" w:type="dxa"/>
            <w:tcBorders>
              <w:left w:val="single" w:sz="18" w:space="0" w:color="auto"/>
              <w:bottom w:val="single" w:sz="18" w:space="0" w:color="auto"/>
              <w:right w:val="nil"/>
            </w:tcBorders>
            <w:vAlign w:val="center"/>
          </w:tcPr>
          <w:p w14:paraId="78C37645" w14:textId="0F605A0A" w:rsidR="006237DE" w:rsidRDefault="006237DE" w:rsidP="006237DE">
            <w:pPr>
              <w:pStyle w:val="Descripcin"/>
              <w:keepNext/>
              <w:spacing w:after="0"/>
              <w:jc w:val="center"/>
              <w:rPr>
                <w:rFonts w:cstheme="minorHAnsi"/>
                <w:b w:val="0"/>
                <w:color w:val="auto"/>
                <w:sz w:val="22"/>
                <w:szCs w:val="22"/>
                <w:lang w:val="es-MX"/>
              </w:rPr>
            </w:pPr>
            <w:r>
              <w:rPr>
                <w:rFonts w:cstheme="minorHAnsi"/>
                <w:b w:val="0"/>
                <w:color w:val="auto"/>
                <w:sz w:val="22"/>
                <w:szCs w:val="22"/>
                <w:lang w:val="es-MX"/>
              </w:rPr>
              <w:t>2006</w:t>
            </w:r>
          </w:p>
        </w:tc>
        <w:tc>
          <w:tcPr>
            <w:tcW w:w="666" w:type="dxa"/>
            <w:tcBorders>
              <w:left w:val="nil"/>
              <w:bottom w:val="single" w:sz="18" w:space="0" w:color="auto"/>
              <w:right w:val="nil"/>
            </w:tcBorders>
            <w:vAlign w:val="center"/>
          </w:tcPr>
          <w:p w14:paraId="35E63109" w14:textId="107024B4" w:rsidR="006237DE" w:rsidRDefault="006237DE" w:rsidP="006237DE">
            <w:pPr>
              <w:pStyle w:val="Descripcin"/>
              <w:keepNext/>
              <w:spacing w:after="0"/>
              <w:jc w:val="center"/>
              <w:rPr>
                <w:rFonts w:cstheme="minorHAnsi"/>
                <w:b w:val="0"/>
                <w:color w:val="auto"/>
                <w:sz w:val="22"/>
                <w:szCs w:val="22"/>
                <w:lang w:val="es-MX"/>
              </w:rPr>
            </w:pPr>
            <w:r>
              <w:rPr>
                <w:rFonts w:cstheme="minorHAnsi"/>
                <w:b w:val="0"/>
                <w:color w:val="auto"/>
                <w:sz w:val="22"/>
                <w:szCs w:val="22"/>
                <w:lang w:val="es-MX"/>
              </w:rPr>
              <w:t>2015</w:t>
            </w:r>
          </w:p>
        </w:tc>
        <w:tc>
          <w:tcPr>
            <w:tcW w:w="667" w:type="dxa"/>
            <w:tcBorders>
              <w:left w:val="nil"/>
              <w:bottom w:val="single" w:sz="18" w:space="0" w:color="auto"/>
            </w:tcBorders>
            <w:vAlign w:val="center"/>
          </w:tcPr>
          <w:p w14:paraId="25F5AFCD" w14:textId="6648D051" w:rsidR="006237DE" w:rsidRPr="006237DE" w:rsidRDefault="006237DE" w:rsidP="006237DE">
            <w:pPr>
              <w:pStyle w:val="Descripcin"/>
              <w:keepNext/>
              <w:spacing w:after="0"/>
              <w:jc w:val="center"/>
              <w:rPr>
                <w:rFonts w:cstheme="minorHAnsi"/>
                <w:b w:val="0"/>
                <w:i/>
                <w:color w:val="auto"/>
                <w:sz w:val="22"/>
                <w:szCs w:val="22"/>
                <w:lang w:val="es-MX"/>
              </w:rPr>
            </w:pPr>
            <w:r w:rsidRPr="006237DE">
              <w:rPr>
                <w:rFonts w:cstheme="minorHAnsi"/>
                <w:b w:val="0"/>
                <w:i/>
                <w:color w:val="auto"/>
                <w:sz w:val="22"/>
                <w:szCs w:val="22"/>
                <w:lang w:val="es-MX"/>
              </w:rPr>
              <w:t>Dif.</w:t>
            </w:r>
          </w:p>
        </w:tc>
        <w:tc>
          <w:tcPr>
            <w:tcW w:w="667" w:type="dxa"/>
            <w:tcBorders>
              <w:bottom w:val="single" w:sz="18" w:space="0" w:color="auto"/>
              <w:right w:val="nil"/>
            </w:tcBorders>
            <w:vAlign w:val="center"/>
          </w:tcPr>
          <w:p w14:paraId="739A454A" w14:textId="126C961C" w:rsidR="006237DE" w:rsidRDefault="006237DE" w:rsidP="006237DE">
            <w:pPr>
              <w:pStyle w:val="Descripcin"/>
              <w:keepNext/>
              <w:spacing w:after="0"/>
              <w:jc w:val="center"/>
              <w:rPr>
                <w:rFonts w:cstheme="minorHAnsi"/>
                <w:b w:val="0"/>
                <w:color w:val="auto"/>
                <w:sz w:val="22"/>
                <w:szCs w:val="22"/>
                <w:lang w:val="es-MX"/>
              </w:rPr>
            </w:pPr>
            <w:r>
              <w:rPr>
                <w:rFonts w:cstheme="minorHAnsi"/>
                <w:b w:val="0"/>
                <w:color w:val="auto"/>
                <w:sz w:val="22"/>
                <w:szCs w:val="22"/>
                <w:lang w:val="es-MX"/>
              </w:rPr>
              <w:t>2006</w:t>
            </w:r>
          </w:p>
        </w:tc>
        <w:tc>
          <w:tcPr>
            <w:tcW w:w="667" w:type="dxa"/>
            <w:tcBorders>
              <w:left w:val="nil"/>
              <w:bottom w:val="single" w:sz="18" w:space="0" w:color="auto"/>
              <w:right w:val="nil"/>
            </w:tcBorders>
            <w:vAlign w:val="center"/>
          </w:tcPr>
          <w:p w14:paraId="19BFA803" w14:textId="6CAB6034" w:rsidR="006237DE" w:rsidRDefault="006237DE" w:rsidP="006237DE">
            <w:pPr>
              <w:pStyle w:val="Descripcin"/>
              <w:keepNext/>
              <w:spacing w:after="0"/>
              <w:jc w:val="center"/>
              <w:rPr>
                <w:rFonts w:cstheme="minorHAnsi"/>
                <w:b w:val="0"/>
                <w:color w:val="auto"/>
                <w:sz w:val="22"/>
                <w:szCs w:val="22"/>
                <w:lang w:val="es-MX"/>
              </w:rPr>
            </w:pPr>
            <w:r>
              <w:rPr>
                <w:rFonts w:cstheme="minorHAnsi"/>
                <w:b w:val="0"/>
                <w:color w:val="auto"/>
                <w:sz w:val="22"/>
                <w:szCs w:val="22"/>
                <w:lang w:val="es-MX"/>
              </w:rPr>
              <w:t>2015</w:t>
            </w:r>
          </w:p>
        </w:tc>
        <w:tc>
          <w:tcPr>
            <w:tcW w:w="667" w:type="dxa"/>
            <w:tcBorders>
              <w:left w:val="nil"/>
              <w:bottom w:val="single" w:sz="18" w:space="0" w:color="auto"/>
              <w:right w:val="single" w:sz="18" w:space="0" w:color="auto"/>
            </w:tcBorders>
            <w:vAlign w:val="center"/>
          </w:tcPr>
          <w:p w14:paraId="567CC4BB" w14:textId="0EEBEFB1" w:rsidR="006237DE" w:rsidRPr="006237DE" w:rsidRDefault="006237DE" w:rsidP="006237DE">
            <w:pPr>
              <w:pStyle w:val="Descripcin"/>
              <w:keepNext/>
              <w:spacing w:after="0"/>
              <w:jc w:val="center"/>
              <w:rPr>
                <w:rFonts w:cstheme="minorHAnsi"/>
                <w:b w:val="0"/>
                <w:i/>
                <w:color w:val="auto"/>
                <w:sz w:val="22"/>
                <w:szCs w:val="22"/>
                <w:lang w:val="es-MX"/>
              </w:rPr>
            </w:pPr>
            <w:r w:rsidRPr="006237DE">
              <w:rPr>
                <w:rFonts w:cstheme="minorHAnsi"/>
                <w:b w:val="0"/>
                <w:i/>
                <w:color w:val="auto"/>
                <w:sz w:val="22"/>
                <w:szCs w:val="22"/>
                <w:lang w:val="es-MX"/>
              </w:rPr>
              <w:t>Dif.</w:t>
            </w:r>
          </w:p>
        </w:tc>
      </w:tr>
      <w:tr w:rsidR="006237DE" w:rsidRPr="00383304" w14:paraId="521CF101" w14:textId="0B94143A" w:rsidTr="00A65DD4">
        <w:trPr>
          <w:trHeight w:val="300"/>
          <w:jc w:val="center"/>
        </w:trPr>
        <w:tc>
          <w:tcPr>
            <w:tcW w:w="1129" w:type="dxa"/>
            <w:tcBorders>
              <w:top w:val="single" w:sz="18" w:space="0" w:color="auto"/>
              <w:left w:val="single" w:sz="18" w:space="0" w:color="auto"/>
              <w:right w:val="single" w:sz="18" w:space="0" w:color="auto"/>
            </w:tcBorders>
            <w:shd w:val="clear" w:color="auto" w:fill="auto"/>
            <w:noWrap/>
            <w:vAlign w:val="center"/>
            <w:hideMark/>
          </w:tcPr>
          <w:p w14:paraId="7E1DF08F" w14:textId="5C9C1193" w:rsidR="006237DE" w:rsidRPr="00383304" w:rsidRDefault="006237DE" w:rsidP="006237DE">
            <w:pPr>
              <w:pStyle w:val="Descripcin"/>
              <w:keepNext/>
              <w:spacing w:after="0"/>
              <w:jc w:val="center"/>
              <w:rPr>
                <w:rFonts w:cstheme="minorHAnsi"/>
                <w:b w:val="0"/>
                <w:color w:val="auto"/>
                <w:sz w:val="22"/>
                <w:szCs w:val="22"/>
                <w:lang w:val="es-MX"/>
              </w:rPr>
            </w:pPr>
            <w:r w:rsidRPr="00383304">
              <w:rPr>
                <w:rFonts w:cstheme="minorHAnsi"/>
                <w:b w:val="0"/>
                <w:color w:val="auto"/>
                <w:sz w:val="22"/>
                <w:szCs w:val="22"/>
                <w:lang w:val="es-MX"/>
              </w:rPr>
              <w:t>Argentina</w:t>
            </w:r>
            <w:r>
              <w:rPr>
                <w:rFonts w:cstheme="minorHAnsi"/>
                <w:b w:val="0"/>
                <w:color w:val="auto"/>
                <w:sz w:val="22"/>
                <w:szCs w:val="22"/>
                <w:lang w:val="es-MX"/>
              </w:rPr>
              <w:t>*</w:t>
            </w:r>
          </w:p>
        </w:tc>
        <w:tc>
          <w:tcPr>
            <w:tcW w:w="611" w:type="dxa"/>
            <w:tcBorders>
              <w:top w:val="single" w:sz="18" w:space="0" w:color="auto"/>
              <w:left w:val="single" w:sz="18" w:space="0" w:color="auto"/>
              <w:bottom w:val="single" w:sz="6" w:space="0" w:color="auto"/>
              <w:right w:val="nil"/>
            </w:tcBorders>
            <w:shd w:val="clear" w:color="auto" w:fill="auto"/>
            <w:noWrap/>
            <w:vAlign w:val="center"/>
            <w:hideMark/>
          </w:tcPr>
          <w:p w14:paraId="5DA2A186" w14:textId="77777777" w:rsidR="006237DE" w:rsidRPr="006237DE" w:rsidRDefault="006237DE" w:rsidP="006237DE">
            <w:pPr>
              <w:pStyle w:val="Descripcin"/>
              <w:keepNext/>
              <w:spacing w:after="0"/>
              <w:jc w:val="center"/>
              <w:rPr>
                <w:rFonts w:cstheme="minorHAnsi"/>
                <w:b w:val="0"/>
                <w:color w:val="auto"/>
                <w:sz w:val="20"/>
                <w:szCs w:val="20"/>
                <w:lang w:val="es-MX"/>
              </w:rPr>
            </w:pPr>
            <w:r w:rsidRPr="006237DE">
              <w:rPr>
                <w:rFonts w:cstheme="minorHAnsi"/>
                <w:b w:val="0"/>
                <w:color w:val="auto"/>
                <w:sz w:val="20"/>
                <w:szCs w:val="20"/>
                <w:lang w:val="es-MX"/>
              </w:rPr>
              <w:t>506</w:t>
            </w:r>
          </w:p>
        </w:tc>
        <w:tc>
          <w:tcPr>
            <w:tcW w:w="587" w:type="dxa"/>
            <w:tcBorders>
              <w:top w:val="single" w:sz="18" w:space="0" w:color="auto"/>
              <w:left w:val="nil"/>
              <w:bottom w:val="single" w:sz="6" w:space="0" w:color="auto"/>
              <w:right w:val="nil"/>
            </w:tcBorders>
            <w:shd w:val="clear" w:color="auto" w:fill="auto"/>
            <w:noWrap/>
            <w:vAlign w:val="center"/>
            <w:hideMark/>
          </w:tcPr>
          <w:p w14:paraId="431B6A05" w14:textId="77777777" w:rsidR="006237DE" w:rsidRPr="006237DE" w:rsidRDefault="006237DE" w:rsidP="006237DE">
            <w:pPr>
              <w:pStyle w:val="Descripcin"/>
              <w:keepNext/>
              <w:spacing w:after="0"/>
              <w:jc w:val="center"/>
              <w:rPr>
                <w:rFonts w:cstheme="minorHAnsi"/>
                <w:b w:val="0"/>
                <w:color w:val="auto"/>
                <w:sz w:val="20"/>
                <w:szCs w:val="20"/>
                <w:lang w:val="es-MX"/>
              </w:rPr>
            </w:pPr>
            <w:r w:rsidRPr="006237DE">
              <w:rPr>
                <w:rFonts w:cstheme="minorHAnsi"/>
                <w:b w:val="0"/>
                <w:color w:val="auto"/>
                <w:sz w:val="20"/>
                <w:szCs w:val="20"/>
                <w:lang w:val="es-MX"/>
              </w:rPr>
              <w:t>509</w:t>
            </w:r>
          </w:p>
        </w:tc>
        <w:tc>
          <w:tcPr>
            <w:tcW w:w="547" w:type="dxa"/>
            <w:tcBorders>
              <w:top w:val="single" w:sz="18" w:space="0" w:color="auto"/>
              <w:left w:val="nil"/>
              <w:bottom w:val="single" w:sz="6" w:space="0" w:color="auto"/>
            </w:tcBorders>
            <w:vAlign w:val="center"/>
          </w:tcPr>
          <w:p w14:paraId="0DBF2194" w14:textId="77777777" w:rsidR="006237DE" w:rsidRPr="006237DE" w:rsidRDefault="006237DE" w:rsidP="006237DE">
            <w:pPr>
              <w:pStyle w:val="Descripcin"/>
              <w:keepNext/>
              <w:spacing w:after="0"/>
              <w:jc w:val="center"/>
              <w:rPr>
                <w:rFonts w:cstheme="minorHAnsi"/>
                <w:b w:val="0"/>
                <w:i/>
                <w:color w:val="auto"/>
                <w:sz w:val="20"/>
                <w:szCs w:val="20"/>
                <w:lang w:val="es-MX"/>
              </w:rPr>
            </w:pPr>
            <w:r w:rsidRPr="006237DE">
              <w:rPr>
                <w:rFonts w:cstheme="minorHAnsi"/>
                <w:b w:val="0"/>
                <w:i/>
                <w:color w:val="000000"/>
                <w:sz w:val="20"/>
                <w:szCs w:val="20"/>
              </w:rPr>
              <w:t>2</w:t>
            </w:r>
          </w:p>
        </w:tc>
        <w:tc>
          <w:tcPr>
            <w:tcW w:w="587" w:type="dxa"/>
            <w:tcBorders>
              <w:top w:val="single" w:sz="18" w:space="0" w:color="auto"/>
              <w:bottom w:val="single" w:sz="6" w:space="0" w:color="auto"/>
              <w:right w:val="nil"/>
            </w:tcBorders>
            <w:shd w:val="clear" w:color="auto" w:fill="auto"/>
            <w:noWrap/>
            <w:vAlign w:val="center"/>
            <w:hideMark/>
          </w:tcPr>
          <w:p w14:paraId="7877E37C" w14:textId="77777777" w:rsidR="006237DE" w:rsidRPr="006237DE" w:rsidRDefault="006237DE" w:rsidP="006237DE">
            <w:pPr>
              <w:pStyle w:val="Descripcin"/>
              <w:keepNext/>
              <w:spacing w:after="0"/>
              <w:jc w:val="center"/>
              <w:rPr>
                <w:rFonts w:cstheme="minorHAnsi"/>
                <w:b w:val="0"/>
                <w:i/>
                <w:color w:val="auto"/>
                <w:sz w:val="20"/>
                <w:szCs w:val="20"/>
                <w:lang w:val="es-MX"/>
              </w:rPr>
            </w:pPr>
            <w:r w:rsidRPr="006237DE">
              <w:rPr>
                <w:rFonts w:cstheme="minorHAnsi"/>
                <w:b w:val="0"/>
                <w:i/>
                <w:color w:val="auto"/>
                <w:sz w:val="20"/>
                <w:szCs w:val="20"/>
                <w:lang w:val="es-MX"/>
              </w:rPr>
              <w:t>513</w:t>
            </w:r>
          </w:p>
        </w:tc>
        <w:tc>
          <w:tcPr>
            <w:tcW w:w="587" w:type="dxa"/>
            <w:tcBorders>
              <w:top w:val="single" w:sz="18" w:space="0" w:color="auto"/>
              <w:left w:val="nil"/>
              <w:bottom w:val="single" w:sz="6" w:space="0" w:color="auto"/>
              <w:right w:val="nil"/>
            </w:tcBorders>
            <w:shd w:val="clear" w:color="auto" w:fill="auto"/>
            <w:noWrap/>
            <w:vAlign w:val="center"/>
            <w:hideMark/>
          </w:tcPr>
          <w:p w14:paraId="2A5EF925" w14:textId="77777777" w:rsidR="006237DE" w:rsidRPr="006237DE" w:rsidRDefault="006237DE" w:rsidP="006237DE">
            <w:pPr>
              <w:pStyle w:val="Descripcin"/>
              <w:keepNext/>
              <w:spacing w:after="0"/>
              <w:jc w:val="center"/>
              <w:rPr>
                <w:rFonts w:cstheme="minorHAnsi"/>
                <w:b w:val="0"/>
                <w:color w:val="auto"/>
                <w:sz w:val="20"/>
                <w:szCs w:val="20"/>
                <w:lang w:val="es-MX"/>
              </w:rPr>
            </w:pPr>
            <w:r w:rsidRPr="006237DE">
              <w:rPr>
                <w:rFonts w:cstheme="minorHAnsi"/>
                <w:b w:val="0"/>
                <w:color w:val="auto"/>
                <w:sz w:val="20"/>
                <w:szCs w:val="20"/>
                <w:lang w:val="es-MX"/>
              </w:rPr>
              <w:t>530</w:t>
            </w:r>
          </w:p>
        </w:tc>
        <w:tc>
          <w:tcPr>
            <w:tcW w:w="448" w:type="dxa"/>
            <w:tcBorders>
              <w:top w:val="single" w:sz="18" w:space="0" w:color="auto"/>
              <w:left w:val="nil"/>
              <w:bottom w:val="single" w:sz="6" w:space="0" w:color="auto"/>
              <w:right w:val="single" w:sz="18" w:space="0" w:color="auto"/>
            </w:tcBorders>
            <w:vAlign w:val="center"/>
          </w:tcPr>
          <w:p w14:paraId="1888C5E7" w14:textId="77777777" w:rsidR="006237DE" w:rsidRPr="006237DE" w:rsidRDefault="006237DE" w:rsidP="006237DE">
            <w:pPr>
              <w:pStyle w:val="Descripcin"/>
              <w:keepNext/>
              <w:spacing w:after="0"/>
              <w:jc w:val="center"/>
              <w:rPr>
                <w:rFonts w:cstheme="minorHAnsi"/>
                <w:b w:val="0"/>
                <w:i/>
                <w:color w:val="auto"/>
                <w:sz w:val="20"/>
                <w:szCs w:val="20"/>
                <w:lang w:val="es-MX"/>
              </w:rPr>
            </w:pPr>
            <w:r w:rsidRPr="006237DE">
              <w:rPr>
                <w:rFonts w:cstheme="minorHAnsi"/>
                <w:i/>
                <w:color w:val="000000"/>
                <w:sz w:val="20"/>
                <w:szCs w:val="20"/>
              </w:rPr>
              <w:t>17</w:t>
            </w:r>
          </w:p>
        </w:tc>
        <w:tc>
          <w:tcPr>
            <w:tcW w:w="664" w:type="dxa"/>
            <w:tcBorders>
              <w:top w:val="single" w:sz="18" w:space="0" w:color="auto"/>
              <w:left w:val="single" w:sz="18" w:space="0" w:color="auto"/>
              <w:bottom w:val="single" w:sz="6" w:space="0" w:color="auto"/>
              <w:right w:val="nil"/>
            </w:tcBorders>
            <w:vAlign w:val="center"/>
          </w:tcPr>
          <w:p w14:paraId="127630CD" w14:textId="2FFA1B59" w:rsidR="006237DE" w:rsidRPr="006237DE" w:rsidRDefault="006237DE" w:rsidP="006237DE">
            <w:pPr>
              <w:pStyle w:val="Descripcin"/>
              <w:keepNext/>
              <w:spacing w:after="0"/>
              <w:jc w:val="center"/>
              <w:rPr>
                <w:rFonts w:cstheme="minorHAnsi"/>
                <w:b w:val="0"/>
                <w:color w:val="000000"/>
                <w:sz w:val="20"/>
                <w:szCs w:val="20"/>
              </w:rPr>
            </w:pPr>
            <w:r w:rsidRPr="006237DE">
              <w:rPr>
                <w:rFonts w:eastAsia="Times New Roman" w:cstheme="minorHAnsi"/>
                <w:b w:val="0"/>
                <w:color w:val="000000"/>
                <w:sz w:val="20"/>
                <w:szCs w:val="20"/>
                <w:lang w:eastAsia="es-MX"/>
              </w:rPr>
              <w:t>392</w:t>
            </w:r>
          </w:p>
        </w:tc>
        <w:tc>
          <w:tcPr>
            <w:tcW w:w="666" w:type="dxa"/>
            <w:tcBorders>
              <w:top w:val="single" w:sz="18" w:space="0" w:color="auto"/>
              <w:left w:val="nil"/>
              <w:bottom w:val="single" w:sz="6" w:space="0" w:color="auto"/>
              <w:right w:val="nil"/>
            </w:tcBorders>
            <w:vAlign w:val="center"/>
          </w:tcPr>
          <w:p w14:paraId="59C9D0FA" w14:textId="28F7FF79" w:rsidR="006237DE" w:rsidRPr="006237DE" w:rsidRDefault="006237DE" w:rsidP="006237DE">
            <w:pPr>
              <w:pStyle w:val="Descripcin"/>
              <w:keepNext/>
              <w:spacing w:after="0"/>
              <w:jc w:val="center"/>
              <w:rPr>
                <w:rFonts w:cstheme="minorHAnsi"/>
                <w:b w:val="0"/>
                <w:color w:val="000000"/>
                <w:sz w:val="20"/>
                <w:szCs w:val="20"/>
              </w:rPr>
            </w:pPr>
            <w:r w:rsidRPr="006237DE">
              <w:rPr>
                <w:rFonts w:cstheme="minorHAnsi"/>
                <w:b w:val="0"/>
                <w:color w:val="000000"/>
                <w:sz w:val="20"/>
                <w:szCs w:val="20"/>
              </w:rPr>
              <w:t>400</w:t>
            </w:r>
          </w:p>
        </w:tc>
        <w:tc>
          <w:tcPr>
            <w:tcW w:w="667" w:type="dxa"/>
            <w:tcBorders>
              <w:top w:val="single" w:sz="18" w:space="0" w:color="auto"/>
              <w:left w:val="nil"/>
              <w:bottom w:val="single" w:sz="6" w:space="0" w:color="auto"/>
            </w:tcBorders>
            <w:vAlign w:val="center"/>
          </w:tcPr>
          <w:p w14:paraId="2F0EE9A3" w14:textId="4D108C23" w:rsidR="006237DE" w:rsidRPr="006237DE" w:rsidRDefault="006237DE" w:rsidP="006237DE">
            <w:pPr>
              <w:pStyle w:val="Descripcin"/>
              <w:keepNext/>
              <w:spacing w:after="0"/>
              <w:jc w:val="center"/>
              <w:rPr>
                <w:rFonts w:cstheme="minorHAnsi"/>
                <w:b w:val="0"/>
                <w:i/>
                <w:color w:val="000000"/>
                <w:sz w:val="20"/>
                <w:szCs w:val="20"/>
              </w:rPr>
            </w:pPr>
            <w:r w:rsidRPr="006237DE">
              <w:rPr>
                <w:rFonts w:cstheme="minorHAnsi"/>
                <w:b w:val="0"/>
                <w:i/>
                <w:color w:val="000000"/>
                <w:sz w:val="20"/>
                <w:szCs w:val="20"/>
              </w:rPr>
              <w:t>8</w:t>
            </w:r>
          </w:p>
        </w:tc>
        <w:tc>
          <w:tcPr>
            <w:tcW w:w="667" w:type="dxa"/>
            <w:tcBorders>
              <w:top w:val="single" w:sz="18" w:space="0" w:color="auto"/>
              <w:bottom w:val="single" w:sz="6" w:space="0" w:color="auto"/>
              <w:right w:val="nil"/>
            </w:tcBorders>
            <w:vAlign w:val="center"/>
          </w:tcPr>
          <w:p w14:paraId="266072F3" w14:textId="0EDD09FD" w:rsidR="006237DE" w:rsidRPr="006237DE" w:rsidRDefault="006237DE" w:rsidP="006237DE">
            <w:pPr>
              <w:pStyle w:val="Descripcin"/>
              <w:keepNext/>
              <w:spacing w:after="0"/>
              <w:jc w:val="center"/>
              <w:rPr>
                <w:rFonts w:cstheme="minorHAnsi"/>
                <w:b w:val="0"/>
                <w:color w:val="000000"/>
                <w:sz w:val="20"/>
                <w:szCs w:val="20"/>
              </w:rPr>
            </w:pPr>
            <w:r>
              <w:rPr>
                <w:rFonts w:cstheme="minorHAnsi"/>
                <w:b w:val="0"/>
                <w:color w:val="000000"/>
                <w:sz w:val="20"/>
                <w:szCs w:val="20"/>
              </w:rPr>
              <w:t>397</w:t>
            </w:r>
          </w:p>
        </w:tc>
        <w:tc>
          <w:tcPr>
            <w:tcW w:w="667" w:type="dxa"/>
            <w:tcBorders>
              <w:top w:val="single" w:sz="18" w:space="0" w:color="auto"/>
              <w:left w:val="nil"/>
              <w:bottom w:val="single" w:sz="6" w:space="0" w:color="auto"/>
              <w:right w:val="nil"/>
            </w:tcBorders>
            <w:vAlign w:val="center"/>
          </w:tcPr>
          <w:p w14:paraId="7174DDD2" w14:textId="50D4D845" w:rsidR="006237DE" w:rsidRPr="006237DE" w:rsidRDefault="006237DE" w:rsidP="006237DE">
            <w:pPr>
              <w:pStyle w:val="Descripcin"/>
              <w:keepNext/>
              <w:spacing w:after="0"/>
              <w:jc w:val="center"/>
              <w:rPr>
                <w:rFonts w:cstheme="minorHAnsi"/>
                <w:b w:val="0"/>
                <w:color w:val="000000"/>
                <w:sz w:val="20"/>
                <w:szCs w:val="20"/>
              </w:rPr>
            </w:pPr>
            <w:r>
              <w:rPr>
                <w:rFonts w:cstheme="minorHAnsi"/>
                <w:b w:val="0"/>
                <w:color w:val="000000"/>
                <w:sz w:val="20"/>
                <w:szCs w:val="20"/>
              </w:rPr>
              <w:t>389</w:t>
            </w:r>
          </w:p>
        </w:tc>
        <w:tc>
          <w:tcPr>
            <w:tcW w:w="667" w:type="dxa"/>
            <w:tcBorders>
              <w:top w:val="single" w:sz="18" w:space="0" w:color="auto"/>
              <w:left w:val="nil"/>
              <w:bottom w:val="single" w:sz="6" w:space="0" w:color="auto"/>
              <w:right w:val="single" w:sz="18" w:space="0" w:color="auto"/>
            </w:tcBorders>
            <w:vAlign w:val="center"/>
          </w:tcPr>
          <w:p w14:paraId="4AD8A3D3" w14:textId="1079B319" w:rsidR="006237DE" w:rsidRPr="006237DE" w:rsidRDefault="006237DE" w:rsidP="006237DE">
            <w:pPr>
              <w:pStyle w:val="Descripcin"/>
              <w:keepNext/>
              <w:spacing w:after="0"/>
              <w:jc w:val="center"/>
              <w:rPr>
                <w:rFonts w:cstheme="minorHAnsi"/>
                <w:b w:val="0"/>
                <w:i/>
                <w:color w:val="000000"/>
                <w:sz w:val="20"/>
                <w:szCs w:val="20"/>
              </w:rPr>
            </w:pPr>
            <w:r w:rsidRPr="006237DE">
              <w:rPr>
                <w:rFonts w:cstheme="minorHAnsi"/>
                <w:b w:val="0"/>
                <w:i/>
                <w:color w:val="000000"/>
                <w:sz w:val="20"/>
                <w:szCs w:val="20"/>
              </w:rPr>
              <w:t>-8</w:t>
            </w:r>
          </w:p>
        </w:tc>
      </w:tr>
      <w:tr w:rsidR="006237DE" w:rsidRPr="00383304" w14:paraId="701A6885" w14:textId="7411BCAD" w:rsidTr="00A65DD4">
        <w:trPr>
          <w:trHeight w:val="300"/>
          <w:jc w:val="center"/>
        </w:trPr>
        <w:tc>
          <w:tcPr>
            <w:tcW w:w="1129" w:type="dxa"/>
            <w:tcBorders>
              <w:left w:val="single" w:sz="18" w:space="0" w:color="auto"/>
              <w:right w:val="single" w:sz="18" w:space="0" w:color="auto"/>
            </w:tcBorders>
            <w:shd w:val="clear" w:color="auto" w:fill="auto"/>
            <w:noWrap/>
            <w:vAlign w:val="center"/>
            <w:hideMark/>
          </w:tcPr>
          <w:p w14:paraId="3B569525" w14:textId="77777777" w:rsidR="006237DE" w:rsidRPr="00383304" w:rsidRDefault="006237DE" w:rsidP="006237DE">
            <w:pPr>
              <w:pStyle w:val="Descripcin"/>
              <w:keepNext/>
              <w:spacing w:after="0"/>
              <w:jc w:val="center"/>
              <w:rPr>
                <w:rFonts w:cstheme="minorHAnsi"/>
                <w:b w:val="0"/>
                <w:color w:val="auto"/>
                <w:sz w:val="22"/>
                <w:szCs w:val="22"/>
                <w:lang w:val="es-MX"/>
              </w:rPr>
            </w:pPr>
            <w:r w:rsidRPr="00383304">
              <w:rPr>
                <w:rFonts w:cstheme="minorHAnsi"/>
                <w:b w:val="0"/>
                <w:color w:val="auto"/>
                <w:sz w:val="22"/>
                <w:szCs w:val="22"/>
                <w:lang w:val="es-MX"/>
              </w:rPr>
              <w:t>Brasil</w:t>
            </w:r>
          </w:p>
        </w:tc>
        <w:tc>
          <w:tcPr>
            <w:tcW w:w="611" w:type="dxa"/>
            <w:tcBorders>
              <w:top w:val="single" w:sz="6" w:space="0" w:color="auto"/>
              <w:left w:val="single" w:sz="18" w:space="0" w:color="auto"/>
              <w:bottom w:val="single" w:sz="6" w:space="0" w:color="auto"/>
              <w:right w:val="nil"/>
            </w:tcBorders>
            <w:shd w:val="clear" w:color="auto" w:fill="auto"/>
            <w:noWrap/>
            <w:vAlign w:val="center"/>
            <w:hideMark/>
          </w:tcPr>
          <w:p w14:paraId="03A487DC" w14:textId="77777777" w:rsidR="006237DE" w:rsidRPr="006237DE" w:rsidRDefault="006237DE" w:rsidP="006237DE">
            <w:pPr>
              <w:pStyle w:val="Descripcin"/>
              <w:keepNext/>
              <w:spacing w:after="0"/>
              <w:jc w:val="center"/>
              <w:rPr>
                <w:rFonts w:cstheme="minorHAnsi"/>
                <w:b w:val="0"/>
                <w:color w:val="auto"/>
                <w:sz w:val="20"/>
                <w:szCs w:val="20"/>
                <w:lang w:val="es-MX"/>
              </w:rPr>
            </w:pPr>
            <w:r w:rsidRPr="006237DE">
              <w:rPr>
                <w:rFonts w:cstheme="minorHAnsi"/>
                <w:b w:val="0"/>
                <w:color w:val="auto"/>
                <w:sz w:val="20"/>
                <w:szCs w:val="20"/>
                <w:lang w:val="es-MX"/>
              </w:rPr>
              <w:t>520</w:t>
            </w:r>
          </w:p>
        </w:tc>
        <w:tc>
          <w:tcPr>
            <w:tcW w:w="587" w:type="dxa"/>
            <w:tcBorders>
              <w:top w:val="single" w:sz="6" w:space="0" w:color="auto"/>
              <w:left w:val="nil"/>
              <w:bottom w:val="single" w:sz="6" w:space="0" w:color="auto"/>
              <w:right w:val="nil"/>
            </w:tcBorders>
            <w:shd w:val="clear" w:color="auto" w:fill="auto"/>
            <w:noWrap/>
            <w:vAlign w:val="center"/>
            <w:hideMark/>
          </w:tcPr>
          <w:p w14:paraId="59FCA71C" w14:textId="77777777" w:rsidR="006237DE" w:rsidRPr="006237DE" w:rsidRDefault="006237DE" w:rsidP="006237DE">
            <w:pPr>
              <w:pStyle w:val="Descripcin"/>
              <w:keepNext/>
              <w:spacing w:after="0"/>
              <w:jc w:val="center"/>
              <w:rPr>
                <w:rFonts w:cstheme="minorHAnsi"/>
                <w:b w:val="0"/>
                <w:color w:val="auto"/>
                <w:sz w:val="20"/>
                <w:szCs w:val="20"/>
                <w:lang w:val="es-MX"/>
              </w:rPr>
            </w:pPr>
            <w:r w:rsidRPr="006237DE">
              <w:rPr>
                <w:rFonts w:cstheme="minorHAnsi"/>
                <w:b w:val="0"/>
                <w:color w:val="auto"/>
                <w:sz w:val="20"/>
                <w:szCs w:val="20"/>
                <w:lang w:val="es-MX"/>
              </w:rPr>
              <w:t>524</w:t>
            </w:r>
          </w:p>
        </w:tc>
        <w:tc>
          <w:tcPr>
            <w:tcW w:w="547" w:type="dxa"/>
            <w:tcBorders>
              <w:top w:val="single" w:sz="6" w:space="0" w:color="auto"/>
              <w:left w:val="nil"/>
              <w:bottom w:val="single" w:sz="6" w:space="0" w:color="auto"/>
            </w:tcBorders>
            <w:vAlign w:val="center"/>
          </w:tcPr>
          <w:p w14:paraId="4CA3D31C" w14:textId="77777777" w:rsidR="006237DE" w:rsidRPr="006237DE" w:rsidRDefault="006237DE" w:rsidP="006237DE">
            <w:pPr>
              <w:pStyle w:val="Descripcin"/>
              <w:keepNext/>
              <w:spacing w:after="0"/>
              <w:jc w:val="center"/>
              <w:rPr>
                <w:rFonts w:cstheme="minorHAnsi"/>
                <w:b w:val="0"/>
                <w:i/>
                <w:color w:val="auto"/>
                <w:sz w:val="20"/>
                <w:szCs w:val="20"/>
                <w:lang w:val="es-MX"/>
              </w:rPr>
            </w:pPr>
            <w:r w:rsidRPr="006237DE">
              <w:rPr>
                <w:rFonts w:cstheme="minorHAnsi"/>
                <w:b w:val="0"/>
                <w:i/>
                <w:color w:val="000000"/>
                <w:sz w:val="20"/>
                <w:szCs w:val="20"/>
              </w:rPr>
              <w:t>4</w:t>
            </w:r>
          </w:p>
        </w:tc>
        <w:tc>
          <w:tcPr>
            <w:tcW w:w="587" w:type="dxa"/>
            <w:tcBorders>
              <w:top w:val="single" w:sz="6" w:space="0" w:color="auto"/>
              <w:bottom w:val="single" w:sz="6" w:space="0" w:color="auto"/>
              <w:right w:val="nil"/>
            </w:tcBorders>
            <w:shd w:val="clear" w:color="auto" w:fill="auto"/>
            <w:noWrap/>
            <w:vAlign w:val="center"/>
            <w:hideMark/>
          </w:tcPr>
          <w:p w14:paraId="43E6AF44" w14:textId="77777777" w:rsidR="006237DE" w:rsidRPr="006237DE" w:rsidRDefault="006237DE" w:rsidP="006237DE">
            <w:pPr>
              <w:pStyle w:val="Descripcin"/>
              <w:keepNext/>
              <w:spacing w:after="0"/>
              <w:jc w:val="center"/>
              <w:rPr>
                <w:rFonts w:cstheme="minorHAnsi"/>
                <w:b w:val="0"/>
                <w:i/>
                <w:color w:val="auto"/>
                <w:sz w:val="20"/>
                <w:szCs w:val="20"/>
                <w:lang w:val="es-MX"/>
              </w:rPr>
            </w:pPr>
            <w:r w:rsidRPr="006237DE">
              <w:rPr>
                <w:rFonts w:cstheme="minorHAnsi"/>
                <w:b w:val="0"/>
                <w:i/>
                <w:color w:val="auto"/>
                <w:sz w:val="20"/>
                <w:szCs w:val="20"/>
                <w:lang w:val="es-MX"/>
              </w:rPr>
              <w:t>499</w:t>
            </w:r>
          </w:p>
        </w:tc>
        <w:tc>
          <w:tcPr>
            <w:tcW w:w="587" w:type="dxa"/>
            <w:tcBorders>
              <w:top w:val="single" w:sz="6" w:space="0" w:color="auto"/>
              <w:left w:val="nil"/>
              <w:bottom w:val="single" w:sz="6" w:space="0" w:color="auto"/>
              <w:right w:val="nil"/>
            </w:tcBorders>
            <w:shd w:val="clear" w:color="auto" w:fill="auto"/>
            <w:noWrap/>
            <w:vAlign w:val="center"/>
            <w:hideMark/>
          </w:tcPr>
          <w:p w14:paraId="03DE923B" w14:textId="77777777" w:rsidR="006237DE" w:rsidRPr="006237DE" w:rsidRDefault="006237DE" w:rsidP="006237DE">
            <w:pPr>
              <w:pStyle w:val="Descripcin"/>
              <w:keepNext/>
              <w:spacing w:after="0"/>
              <w:jc w:val="center"/>
              <w:rPr>
                <w:rFonts w:cstheme="minorHAnsi"/>
                <w:b w:val="0"/>
                <w:color w:val="auto"/>
                <w:sz w:val="20"/>
                <w:szCs w:val="20"/>
                <w:lang w:val="es-MX"/>
              </w:rPr>
            </w:pPr>
            <w:r w:rsidRPr="006237DE">
              <w:rPr>
                <w:rFonts w:cstheme="minorHAnsi"/>
                <w:b w:val="0"/>
                <w:color w:val="auto"/>
                <w:sz w:val="20"/>
                <w:szCs w:val="20"/>
                <w:lang w:val="es-MX"/>
              </w:rPr>
              <w:t>520</w:t>
            </w:r>
          </w:p>
        </w:tc>
        <w:tc>
          <w:tcPr>
            <w:tcW w:w="448" w:type="dxa"/>
            <w:tcBorders>
              <w:top w:val="single" w:sz="6" w:space="0" w:color="auto"/>
              <w:left w:val="nil"/>
              <w:bottom w:val="single" w:sz="6" w:space="0" w:color="auto"/>
              <w:right w:val="single" w:sz="18" w:space="0" w:color="auto"/>
            </w:tcBorders>
            <w:vAlign w:val="center"/>
          </w:tcPr>
          <w:p w14:paraId="0C9CA2B3" w14:textId="77777777" w:rsidR="006237DE" w:rsidRPr="006237DE" w:rsidRDefault="006237DE" w:rsidP="006237DE">
            <w:pPr>
              <w:pStyle w:val="Descripcin"/>
              <w:keepNext/>
              <w:spacing w:after="0"/>
              <w:jc w:val="center"/>
              <w:rPr>
                <w:rFonts w:cstheme="minorHAnsi"/>
                <w:b w:val="0"/>
                <w:i/>
                <w:color w:val="auto"/>
                <w:sz w:val="20"/>
                <w:szCs w:val="20"/>
                <w:lang w:val="es-MX"/>
              </w:rPr>
            </w:pPr>
            <w:r w:rsidRPr="006237DE">
              <w:rPr>
                <w:rFonts w:cstheme="minorHAnsi"/>
                <w:i/>
                <w:color w:val="000000"/>
                <w:sz w:val="20"/>
                <w:szCs w:val="20"/>
              </w:rPr>
              <w:t>20</w:t>
            </w:r>
          </w:p>
        </w:tc>
        <w:tc>
          <w:tcPr>
            <w:tcW w:w="664" w:type="dxa"/>
            <w:tcBorders>
              <w:top w:val="single" w:sz="6" w:space="0" w:color="auto"/>
              <w:left w:val="single" w:sz="18" w:space="0" w:color="auto"/>
              <w:bottom w:val="single" w:sz="6" w:space="0" w:color="auto"/>
              <w:right w:val="nil"/>
            </w:tcBorders>
            <w:vAlign w:val="center"/>
          </w:tcPr>
          <w:p w14:paraId="7BEC8CC2" w14:textId="27D88C5E" w:rsidR="006237DE" w:rsidRPr="006237DE" w:rsidRDefault="006237DE" w:rsidP="006237DE">
            <w:pPr>
              <w:pStyle w:val="Descripcin"/>
              <w:keepNext/>
              <w:spacing w:after="0"/>
              <w:jc w:val="center"/>
              <w:rPr>
                <w:rFonts w:cstheme="minorHAnsi"/>
                <w:b w:val="0"/>
                <w:color w:val="000000"/>
                <w:sz w:val="20"/>
                <w:szCs w:val="20"/>
              </w:rPr>
            </w:pPr>
            <w:r>
              <w:rPr>
                <w:rFonts w:cstheme="minorHAnsi"/>
                <w:b w:val="0"/>
                <w:color w:val="000000"/>
                <w:sz w:val="20"/>
                <w:szCs w:val="20"/>
              </w:rPr>
              <w:t>399</w:t>
            </w:r>
          </w:p>
        </w:tc>
        <w:tc>
          <w:tcPr>
            <w:tcW w:w="666" w:type="dxa"/>
            <w:tcBorders>
              <w:top w:val="single" w:sz="6" w:space="0" w:color="auto"/>
              <w:left w:val="nil"/>
              <w:bottom w:val="single" w:sz="6" w:space="0" w:color="auto"/>
              <w:right w:val="nil"/>
            </w:tcBorders>
            <w:vAlign w:val="center"/>
          </w:tcPr>
          <w:p w14:paraId="2511C562" w14:textId="398DB429" w:rsidR="006237DE" w:rsidRPr="006237DE" w:rsidRDefault="006237DE" w:rsidP="006237DE">
            <w:pPr>
              <w:pStyle w:val="Descripcin"/>
              <w:keepNext/>
              <w:spacing w:after="0"/>
              <w:jc w:val="center"/>
              <w:rPr>
                <w:rFonts w:cstheme="minorHAnsi"/>
                <w:b w:val="0"/>
                <w:color w:val="000000"/>
                <w:sz w:val="20"/>
                <w:szCs w:val="20"/>
              </w:rPr>
            </w:pPr>
            <w:r>
              <w:rPr>
                <w:rFonts w:cstheme="minorHAnsi"/>
                <w:b w:val="0"/>
                <w:color w:val="000000"/>
                <w:sz w:val="20"/>
                <w:szCs w:val="20"/>
              </w:rPr>
              <w:t>407</w:t>
            </w:r>
          </w:p>
        </w:tc>
        <w:tc>
          <w:tcPr>
            <w:tcW w:w="667" w:type="dxa"/>
            <w:tcBorders>
              <w:top w:val="single" w:sz="6" w:space="0" w:color="auto"/>
              <w:left w:val="nil"/>
              <w:bottom w:val="single" w:sz="6" w:space="0" w:color="auto"/>
            </w:tcBorders>
            <w:vAlign w:val="center"/>
          </w:tcPr>
          <w:p w14:paraId="4AACF477" w14:textId="0C4563B6" w:rsidR="006237DE" w:rsidRPr="006237DE" w:rsidRDefault="006237DE" w:rsidP="006237DE">
            <w:pPr>
              <w:pStyle w:val="Descripcin"/>
              <w:keepNext/>
              <w:spacing w:after="0"/>
              <w:jc w:val="center"/>
              <w:rPr>
                <w:rFonts w:cstheme="minorHAnsi"/>
                <w:b w:val="0"/>
                <w:i/>
                <w:color w:val="000000"/>
                <w:sz w:val="20"/>
                <w:szCs w:val="20"/>
              </w:rPr>
            </w:pPr>
            <w:r w:rsidRPr="006237DE">
              <w:rPr>
                <w:rFonts w:cstheme="minorHAnsi"/>
                <w:b w:val="0"/>
                <w:i/>
                <w:color w:val="000000"/>
                <w:sz w:val="20"/>
                <w:szCs w:val="20"/>
              </w:rPr>
              <w:t>8</w:t>
            </w:r>
          </w:p>
        </w:tc>
        <w:tc>
          <w:tcPr>
            <w:tcW w:w="667" w:type="dxa"/>
            <w:tcBorders>
              <w:top w:val="single" w:sz="6" w:space="0" w:color="auto"/>
              <w:bottom w:val="single" w:sz="6" w:space="0" w:color="auto"/>
              <w:right w:val="nil"/>
            </w:tcBorders>
            <w:vAlign w:val="center"/>
          </w:tcPr>
          <w:p w14:paraId="2F09BF6F" w14:textId="5D0EF649" w:rsidR="006237DE" w:rsidRPr="006237DE" w:rsidRDefault="006237DE" w:rsidP="006237DE">
            <w:pPr>
              <w:pStyle w:val="Descripcin"/>
              <w:keepNext/>
              <w:spacing w:after="0"/>
              <w:jc w:val="center"/>
              <w:rPr>
                <w:rFonts w:cstheme="minorHAnsi"/>
                <w:b w:val="0"/>
                <w:color w:val="000000"/>
                <w:sz w:val="20"/>
                <w:szCs w:val="20"/>
              </w:rPr>
            </w:pPr>
            <w:r>
              <w:rPr>
                <w:rFonts w:cstheme="minorHAnsi"/>
                <w:b w:val="0"/>
                <w:color w:val="000000"/>
                <w:sz w:val="20"/>
                <w:szCs w:val="20"/>
              </w:rPr>
              <w:t>371</w:t>
            </w:r>
          </w:p>
        </w:tc>
        <w:tc>
          <w:tcPr>
            <w:tcW w:w="667" w:type="dxa"/>
            <w:tcBorders>
              <w:top w:val="single" w:sz="6" w:space="0" w:color="auto"/>
              <w:left w:val="nil"/>
              <w:bottom w:val="single" w:sz="6" w:space="0" w:color="auto"/>
              <w:right w:val="nil"/>
            </w:tcBorders>
            <w:vAlign w:val="center"/>
          </w:tcPr>
          <w:p w14:paraId="4E926387" w14:textId="220B3F10" w:rsidR="006237DE" w:rsidRPr="006237DE" w:rsidRDefault="006237DE" w:rsidP="006237DE">
            <w:pPr>
              <w:pStyle w:val="Descripcin"/>
              <w:keepNext/>
              <w:spacing w:after="0"/>
              <w:jc w:val="center"/>
              <w:rPr>
                <w:rFonts w:cstheme="minorHAnsi"/>
                <w:b w:val="0"/>
                <w:color w:val="000000"/>
                <w:sz w:val="20"/>
                <w:szCs w:val="20"/>
              </w:rPr>
            </w:pPr>
            <w:r>
              <w:rPr>
                <w:rFonts w:cstheme="minorHAnsi"/>
                <w:b w:val="0"/>
                <w:color w:val="000000"/>
                <w:sz w:val="20"/>
                <w:szCs w:val="20"/>
              </w:rPr>
              <w:t>377</w:t>
            </w:r>
          </w:p>
        </w:tc>
        <w:tc>
          <w:tcPr>
            <w:tcW w:w="667" w:type="dxa"/>
            <w:tcBorders>
              <w:top w:val="single" w:sz="6" w:space="0" w:color="auto"/>
              <w:left w:val="nil"/>
              <w:bottom w:val="single" w:sz="6" w:space="0" w:color="auto"/>
              <w:right w:val="single" w:sz="18" w:space="0" w:color="auto"/>
            </w:tcBorders>
            <w:vAlign w:val="center"/>
          </w:tcPr>
          <w:p w14:paraId="67802FAF" w14:textId="247F1BE9" w:rsidR="006237DE" w:rsidRPr="006237DE" w:rsidRDefault="006237DE" w:rsidP="006237DE">
            <w:pPr>
              <w:pStyle w:val="Descripcin"/>
              <w:keepNext/>
              <w:spacing w:after="0"/>
              <w:jc w:val="center"/>
              <w:rPr>
                <w:rFonts w:cstheme="minorHAnsi"/>
                <w:b w:val="0"/>
                <w:i/>
                <w:color w:val="000000"/>
                <w:sz w:val="20"/>
                <w:szCs w:val="20"/>
              </w:rPr>
            </w:pPr>
            <w:r w:rsidRPr="006237DE">
              <w:rPr>
                <w:rFonts w:cstheme="minorHAnsi"/>
                <w:b w:val="0"/>
                <w:i/>
                <w:color w:val="000000"/>
                <w:sz w:val="20"/>
                <w:szCs w:val="20"/>
              </w:rPr>
              <w:t>6</w:t>
            </w:r>
          </w:p>
        </w:tc>
      </w:tr>
      <w:tr w:rsidR="006237DE" w:rsidRPr="00383304" w14:paraId="05D01A14" w14:textId="3BB229B6" w:rsidTr="00A65DD4">
        <w:trPr>
          <w:trHeight w:val="300"/>
          <w:jc w:val="center"/>
        </w:trPr>
        <w:tc>
          <w:tcPr>
            <w:tcW w:w="1129" w:type="dxa"/>
            <w:tcBorders>
              <w:left w:val="single" w:sz="18" w:space="0" w:color="auto"/>
              <w:right w:val="single" w:sz="18" w:space="0" w:color="auto"/>
            </w:tcBorders>
            <w:shd w:val="clear" w:color="auto" w:fill="auto"/>
            <w:noWrap/>
            <w:vAlign w:val="center"/>
            <w:hideMark/>
          </w:tcPr>
          <w:p w14:paraId="402898B3" w14:textId="77777777" w:rsidR="006237DE" w:rsidRPr="00383304" w:rsidRDefault="006237DE" w:rsidP="006237DE">
            <w:pPr>
              <w:pStyle w:val="Descripcin"/>
              <w:keepNext/>
              <w:spacing w:after="0"/>
              <w:jc w:val="center"/>
              <w:rPr>
                <w:rFonts w:cstheme="minorHAnsi"/>
                <w:b w:val="0"/>
                <w:color w:val="auto"/>
                <w:sz w:val="22"/>
                <w:szCs w:val="22"/>
                <w:lang w:val="es-MX"/>
              </w:rPr>
            </w:pPr>
            <w:r w:rsidRPr="00383304">
              <w:rPr>
                <w:rFonts w:cstheme="minorHAnsi"/>
                <w:b w:val="0"/>
                <w:color w:val="auto"/>
                <w:sz w:val="22"/>
                <w:szCs w:val="22"/>
                <w:lang w:val="es-MX"/>
              </w:rPr>
              <w:t>Chile</w:t>
            </w:r>
          </w:p>
        </w:tc>
        <w:tc>
          <w:tcPr>
            <w:tcW w:w="611" w:type="dxa"/>
            <w:tcBorders>
              <w:top w:val="single" w:sz="6" w:space="0" w:color="auto"/>
              <w:left w:val="single" w:sz="18" w:space="0" w:color="auto"/>
              <w:bottom w:val="single" w:sz="6" w:space="0" w:color="auto"/>
              <w:right w:val="nil"/>
            </w:tcBorders>
            <w:shd w:val="clear" w:color="auto" w:fill="auto"/>
            <w:noWrap/>
            <w:vAlign w:val="center"/>
            <w:hideMark/>
          </w:tcPr>
          <w:p w14:paraId="7076D188" w14:textId="77777777" w:rsidR="006237DE" w:rsidRPr="006237DE" w:rsidRDefault="006237DE" w:rsidP="006237DE">
            <w:pPr>
              <w:pStyle w:val="Descripcin"/>
              <w:keepNext/>
              <w:spacing w:after="0"/>
              <w:jc w:val="center"/>
              <w:rPr>
                <w:rFonts w:cstheme="minorHAnsi"/>
                <w:b w:val="0"/>
                <w:color w:val="auto"/>
                <w:sz w:val="20"/>
                <w:szCs w:val="20"/>
                <w:lang w:val="es-MX"/>
              </w:rPr>
            </w:pPr>
            <w:r w:rsidRPr="006237DE">
              <w:rPr>
                <w:rFonts w:cstheme="minorHAnsi"/>
                <w:b w:val="0"/>
                <w:color w:val="auto"/>
                <w:sz w:val="20"/>
                <w:szCs w:val="20"/>
                <w:lang w:val="es-MX"/>
              </w:rPr>
              <w:t>546</w:t>
            </w:r>
          </w:p>
        </w:tc>
        <w:tc>
          <w:tcPr>
            <w:tcW w:w="587" w:type="dxa"/>
            <w:tcBorders>
              <w:top w:val="single" w:sz="6" w:space="0" w:color="auto"/>
              <w:left w:val="nil"/>
              <w:bottom w:val="single" w:sz="6" w:space="0" w:color="auto"/>
              <w:right w:val="nil"/>
            </w:tcBorders>
            <w:shd w:val="clear" w:color="auto" w:fill="auto"/>
            <w:noWrap/>
            <w:vAlign w:val="center"/>
            <w:hideMark/>
          </w:tcPr>
          <w:p w14:paraId="19514BB0" w14:textId="77777777" w:rsidR="006237DE" w:rsidRPr="006237DE" w:rsidRDefault="006237DE" w:rsidP="006237DE">
            <w:pPr>
              <w:pStyle w:val="Descripcin"/>
              <w:keepNext/>
              <w:spacing w:after="0"/>
              <w:jc w:val="center"/>
              <w:rPr>
                <w:rFonts w:cstheme="minorHAnsi"/>
                <w:b w:val="0"/>
                <w:color w:val="auto"/>
                <w:sz w:val="20"/>
                <w:szCs w:val="20"/>
                <w:lang w:val="es-MX"/>
              </w:rPr>
            </w:pPr>
            <w:r w:rsidRPr="006237DE">
              <w:rPr>
                <w:rFonts w:cstheme="minorHAnsi"/>
                <w:b w:val="0"/>
                <w:color w:val="auto"/>
                <w:sz w:val="20"/>
                <w:szCs w:val="20"/>
                <w:lang w:val="es-MX"/>
              </w:rPr>
              <w:t>557</w:t>
            </w:r>
          </w:p>
        </w:tc>
        <w:tc>
          <w:tcPr>
            <w:tcW w:w="547" w:type="dxa"/>
            <w:tcBorders>
              <w:top w:val="single" w:sz="6" w:space="0" w:color="auto"/>
              <w:left w:val="nil"/>
              <w:bottom w:val="single" w:sz="6" w:space="0" w:color="auto"/>
            </w:tcBorders>
            <w:vAlign w:val="center"/>
          </w:tcPr>
          <w:p w14:paraId="5ED16D63" w14:textId="77777777" w:rsidR="006237DE" w:rsidRPr="006237DE" w:rsidRDefault="006237DE" w:rsidP="006237DE">
            <w:pPr>
              <w:pStyle w:val="Descripcin"/>
              <w:keepNext/>
              <w:spacing w:after="0"/>
              <w:jc w:val="center"/>
              <w:rPr>
                <w:rFonts w:cstheme="minorHAnsi"/>
                <w:b w:val="0"/>
                <w:i/>
                <w:color w:val="auto"/>
                <w:sz w:val="20"/>
                <w:szCs w:val="20"/>
                <w:lang w:val="es-MX"/>
              </w:rPr>
            </w:pPr>
            <w:r w:rsidRPr="006237DE">
              <w:rPr>
                <w:rFonts w:cstheme="minorHAnsi"/>
                <w:i/>
                <w:color w:val="000000"/>
                <w:sz w:val="20"/>
                <w:szCs w:val="20"/>
              </w:rPr>
              <w:t>11</w:t>
            </w:r>
          </w:p>
        </w:tc>
        <w:tc>
          <w:tcPr>
            <w:tcW w:w="587" w:type="dxa"/>
            <w:tcBorders>
              <w:top w:val="single" w:sz="6" w:space="0" w:color="auto"/>
              <w:bottom w:val="single" w:sz="6" w:space="0" w:color="auto"/>
              <w:right w:val="nil"/>
            </w:tcBorders>
            <w:shd w:val="clear" w:color="auto" w:fill="auto"/>
            <w:noWrap/>
            <w:vAlign w:val="center"/>
            <w:hideMark/>
          </w:tcPr>
          <w:p w14:paraId="235E4FA0" w14:textId="77777777" w:rsidR="006237DE" w:rsidRPr="006237DE" w:rsidRDefault="006237DE" w:rsidP="006237DE">
            <w:pPr>
              <w:pStyle w:val="Descripcin"/>
              <w:keepNext/>
              <w:spacing w:after="0"/>
              <w:jc w:val="center"/>
              <w:rPr>
                <w:rFonts w:cstheme="minorHAnsi"/>
                <w:b w:val="0"/>
                <w:i/>
                <w:color w:val="auto"/>
                <w:sz w:val="20"/>
                <w:szCs w:val="20"/>
                <w:lang w:val="es-MX"/>
              </w:rPr>
            </w:pPr>
            <w:r w:rsidRPr="006237DE">
              <w:rPr>
                <w:rFonts w:cstheme="minorHAnsi"/>
                <w:b w:val="0"/>
                <w:i/>
                <w:color w:val="auto"/>
                <w:sz w:val="20"/>
                <w:szCs w:val="20"/>
                <w:lang w:val="es-MX"/>
              </w:rPr>
              <w:t>517</w:t>
            </w:r>
          </w:p>
        </w:tc>
        <w:tc>
          <w:tcPr>
            <w:tcW w:w="587" w:type="dxa"/>
            <w:tcBorders>
              <w:top w:val="single" w:sz="6" w:space="0" w:color="auto"/>
              <w:left w:val="nil"/>
              <w:bottom w:val="single" w:sz="6" w:space="0" w:color="auto"/>
              <w:right w:val="nil"/>
            </w:tcBorders>
            <w:shd w:val="clear" w:color="auto" w:fill="auto"/>
            <w:noWrap/>
            <w:vAlign w:val="center"/>
            <w:hideMark/>
          </w:tcPr>
          <w:p w14:paraId="74216CBC" w14:textId="77777777" w:rsidR="006237DE" w:rsidRPr="006237DE" w:rsidRDefault="006237DE" w:rsidP="006237DE">
            <w:pPr>
              <w:pStyle w:val="Descripcin"/>
              <w:keepNext/>
              <w:spacing w:after="0"/>
              <w:jc w:val="center"/>
              <w:rPr>
                <w:rFonts w:cstheme="minorHAnsi"/>
                <w:b w:val="0"/>
                <w:color w:val="auto"/>
                <w:sz w:val="20"/>
                <w:szCs w:val="20"/>
                <w:lang w:val="es-MX"/>
              </w:rPr>
            </w:pPr>
            <w:r w:rsidRPr="006237DE">
              <w:rPr>
                <w:rFonts w:cstheme="minorHAnsi"/>
                <w:b w:val="0"/>
                <w:color w:val="auto"/>
                <w:sz w:val="20"/>
                <w:szCs w:val="20"/>
                <w:lang w:val="es-MX"/>
              </w:rPr>
              <w:t>581</w:t>
            </w:r>
          </w:p>
        </w:tc>
        <w:tc>
          <w:tcPr>
            <w:tcW w:w="448" w:type="dxa"/>
            <w:tcBorders>
              <w:top w:val="single" w:sz="6" w:space="0" w:color="auto"/>
              <w:left w:val="nil"/>
              <w:bottom w:val="single" w:sz="6" w:space="0" w:color="auto"/>
              <w:right w:val="single" w:sz="18" w:space="0" w:color="auto"/>
            </w:tcBorders>
            <w:vAlign w:val="center"/>
          </w:tcPr>
          <w:p w14:paraId="415570AB" w14:textId="77777777" w:rsidR="006237DE" w:rsidRPr="006237DE" w:rsidRDefault="006237DE" w:rsidP="006237DE">
            <w:pPr>
              <w:pStyle w:val="Descripcin"/>
              <w:keepNext/>
              <w:spacing w:after="0"/>
              <w:jc w:val="center"/>
              <w:rPr>
                <w:rFonts w:cstheme="minorHAnsi"/>
                <w:b w:val="0"/>
                <w:i/>
                <w:color w:val="auto"/>
                <w:sz w:val="20"/>
                <w:szCs w:val="20"/>
                <w:lang w:val="es-MX"/>
              </w:rPr>
            </w:pPr>
            <w:r w:rsidRPr="006237DE">
              <w:rPr>
                <w:rFonts w:cstheme="minorHAnsi"/>
                <w:i/>
                <w:color w:val="000000"/>
                <w:sz w:val="20"/>
                <w:szCs w:val="20"/>
              </w:rPr>
              <w:t>63</w:t>
            </w:r>
          </w:p>
        </w:tc>
        <w:tc>
          <w:tcPr>
            <w:tcW w:w="664" w:type="dxa"/>
            <w:tcBorders>
              <w:top w:val="single" w:sz="6" w:space="0" w:color="auto"/>
              <w:left w:val="single" w:sz="18" w:space="0" w:color="auto"/>
              <w:bottom w:val="single" w:sz="6" w:space="0" w:color="auto"/>
              <w:right w:val="nil"/>
            </w:tcBorders>
            <w:vAlign w:val="center"/>
          </w:tcPr>
          <w:p w14:paraId="1945FC96" w14:textId="3B5E7DFB" w:rsidR="006237DE" w:rsidRPr="006237DE" w:rsidRDefault="006237DE" w:rsidP="006237DE">
            <w:pPr>
              <w:pStyle w:val="Descripcin"/>
              <w:keepNext/>
              <w:spacing w:after="0"/>
              <w:jc w:val="center"/>
              <w:rPr>
                <w:rFonts w:cstheme="minorHAnsi"/>
                <w:b w:val="0"/>
                <w:color w:val="000000"/>
                <w:sz w:val="20"/>
                <w:szCs w:val="20"/>
              </w:rPr>
            </w:pPr>
            <w:r>
              <w:rPr>
                <w:rFonts w:cstheme="minorHAnsi"/>
                <w:b w:val="0"/>
                <w:color w:val="000000"/>
                <w:sz w:val="20"/>
                <w:szCs w:val="20"/>
              </w:rPr>
              <w:t>450</w:t>
            </w:r>
          </w:p>
        </w:tc>
        <w:tc>
          <w:tcPr>
            <w:tcW w:w="666" w:type="dxa"/>
            <w:tcBorders>
              <w:top w:val="single" w:sz="6" w:space="0" w:color="auto"/>
              <w:left w:val="nil"/>
              <w:bottom w:val="single" w:sz="6" w:space="0" w:color="auto"/>
              <w:right w:val="nil"/>
            </w:tcBorders>
            <w:vAlign w:val="center"/>
          </w:tcPr>
          <w:p w14:paraId="3CF36894" w14:textId="3313D2D6" w:rsidR="006237DE" w:rsidRPr="006237DE" w:rsidRDefault="006237DE" w:rsidP="006237DE">
            <w:pPr>
              <w:pStyle w:val="Descripcin"/>
              <w:keepNext/>
              <w:spacing w:after="0"/>
              <w:jc w:val="center"/>
              <w:rPr>
                <w:rFonts w:cstheme="minorHAnsi"/>
                <w:b w:val="0"/>
                <w:color w:val="000000"/>
                <w:sz w:val="20"/>
                <w:szCs w:val="20"/>
              </w:rPr>
            </w:pPr>
            <w:r>
              <w:rPr>
                <w:rFonts w:cstheme="minorHAnsi"/>
                <w:b w:val="0"/>
                <w:color w:val="000000"/>
                <w:sz w:val="20"/>
                <w:szCs w:val="20"/>
              </w:rPr>
              <w:t>459</w:t>
            </w:r>
          </w:p>
        </w:tc>
        <w:tc>
          <w:tcPr>
            <w:tcW w:w="667" w:type="dxa"/>
            <w:tcBorders>
              <w:top w:val="single" w:sz="6" w:space="0" w:color="auto"/>
              <w:left w:val="nil"/>
              <w:bottom w:val="single" w:sz="6" w:space="0" w:color="auto"/>
            </w:tcBorders>
            <w:vAlign w:val="center"/>
          </w:tcPr>
          <w:p w14:paraId="63469261" w14:textId="1A8C2E9E" w:rsidR="006237DE" w:rsidRPr="006237DE" w:rsidRDefault="006237DE" w:rsidP="006237DE">
            <w:pPr>
              <w:pStyle w:val="Descripcin"/>
              <w:keepNext/>
              <w:spacing w:after="0"/>
              <w:jc w:val="center"/>
              <w:rPr>
                <w:rFonts w:cstheme="minorHAnsi"/>
                <w:b w:val="0"/>
                <w:i/>
                <w:color w:val="000000"/>
                <w:sz w:val="20"/>
                <w:szCs w:val="20"/>
              </w:rPr>
            </w:pPr>
            <w:r w:rsidRPr="006237DE">
              <w:rPr>
                <w:rFonts w:cstheme="minorHAnsi"/>
                <w:b w:val="0"/>
                <w:i/>
                <w:color w:val="000000"/>
                <w:sz w:val="20"/>
                <w:szCs w:val="20"/>
              </w:rPr>
              <w:t>9</w:t>
            </w:r>
          </w:p>
        </w:tc>
        <w:tc>
          <w:tcPr>
            <w:tcW w:w="667" w:type="dxa"/>
            <w:tcBorders>
              <w:top w:val="single" w:sz="6" w:space="0" w:color="auto"/>
              <w:bottom w:val="single" w:sz="6" w:space="0" w:color="auto"/>
              <w:right w:val="nil"/>
            </w:tcBorders>
            <w:vAlign w:val="center"/>
          </w:tcPr>
          <w:p w14:paraId="745A1CC4" w14:textId="0EE512D5" w:rsidR="006237DE" w:rsidRPr="006237DE" w:rsidRDefault="006237DE" w:rsidP="006237DE">
            <w:pPr>
              <w:pStyle w:val="Descripcin"/>
              <w:keepNext/>
              <w:spacing w:after="0"/>
              <w:jc w:val="center"/>
              <w:rPr>
                <w:rFonts w:cstheme="minorHAnsi"/>
                <w:b w:val="0"/>
                <w:color w:val="000000"/>
                <w:sz w:val="20"/>
                <w:szCs w:val="20"/>
              </w:rPr>
            </w:pPr>
            <w:r>
              <w:rPr>
                <w:rFonts w:cstheme="minorHAnsi"/>
                <w:b w:val="0"/>
                <w:color w:val="000000"/>
                <w:sz w:val="20"/>
                <w:szCs w:val="20"/>
              </w:rPr>
              <w:t>417</w:t>
            </w:r>
          </w:p>
        </w:tc>
        <w:tc>
          <w:tcPr>
            <w:tcW w:w="667" w:type="dxa"/>
            <w:tcBorders>
              <w:top w:val="single" w:sz="6" w:space="0" w:color="auto"/>
              <w:left w:val="nil"/>
              <w:bottom w:val="single" w:sz="6" w:space="0" w:color="auto"/>
              <w:right w:val="nil"/>
            </w:tcBorders>
            <w:vAlign w:val="center"/>
          </w:tcPr>
          <w:p w14:paraId="029BB2F9" w14:textId="05102809" w:rsidR="006237DE" w:rsidRPr="006237DE" w:rsidRDefault="006237DE" w:rsidP="006237DE">
            <w:pPr>
              <w:pStyle w:val="Descripcin"/>
              <w:keepNext/>
              <w:spacing w:after="0"/>
              <w:jc w:val="center"/>
              <w:rPr>
                <w:rFonts w:cstheme="minorHAnsi"/>
                <w:b w:val="0"/>
                <w:color w:val="000000"/>
                <w:sz w:val="20"/>
                <w:szCs w:val="20"/>
              </w:rPr>
            </w:pPr>
            <w:r>
              <w:rPr>
                <w:rFonts w:cstheme="minorHAnsi"/>
                <w:b w:val="0"/>
                <w:color w:val="000000"/>
                <w:sz w:val="20"/>
                <w:szCs w:val="20"/>
              </w:rPr>
              <w:t>423</w:t>
            </w:r>
          </w:p>
        </w:tc>
        <w:tc>
          <w:tcPr>
            <w:tcW w:w="667" w:type="dxa"/>
            <w:tcBorders>
              <w:top w:val="single" w:sz="6" w:space="0" w:color="auto"/>
              <w:left w:val="nil"/>
              <w:bottom w:val="single" w:sz="6" w:space="0" w:color="auto"/>
              <w:right w:val="single" w:sz="18" w:space="0" w:color="auto"/>
            </w:tcBorders>
            <w:vAlign w:val="center"/>
          </w:tcPr>
          <w:p w14:paraId="3CF6FC7D" w14:textId="57DC8CA7" w:rsidR="006237DE" w:rsidRPr="006237DE" w:rsidRDefault="006237DE" w:rsidP="006237DE">
            <w:pPr>
              <w:pStyle w:val="Descripcin"/>
              <w:keepNext/>
              <w:spacing w:after="0"/>
              <w:jc w:val="center"/>
              <w:rPr>
                <w:rFonts w:cstheme="minorHAnsi"/>
                <w:b w:val="0"/>
                <w:i/>
                <w:color w:val="000000"/>
                <w:sz w:val="20"/>
                <w:szCs w:val="20"/>
              </w:rPr>
            </w:pPr>
            <w:r w:rsidRPr="006237DE">
              <w:rPr>
                <w:rFonts w:cstheme="minorHAnsi"/>
                <w:b w:val="0"/>
                <w:i/>
                <w:color w:val="000000"/>
                <w:sz w:val="20"/>
                <w:szCs w:val="20"/>
              </w:rPr>
              <w:t>6</w:t>
            </w:r>
          </w:p>
        </w:tc>
      </w:tr>
      <w:tr w:rsidR="006237DE" w:rsidRPr="00383304" w14:paraId="5E872516" w14:textId="6A412B4A" w:rsidTr="00A65DD4">
        <w:trPr>
          <w:trHeight w:val="300"/>
          <w:jc w:val="center"/>
        </w:trPr>
        <w:tc>
          <w:tcPr>
            <w:tcW w:w="1129" w:type="dxa"/>
            <w:tcBorders>
              <w:left w:val="single" w:sz="18" w:space="0" w:color="auto"/>
              <w:right w:val="single" w:sz="18" w:space="0" w:color="auto"/>
            </w:tcBorders>
            <w:shd w:val="clear" w:color="auto" w:fill="auto"/>
            <w:noWrap/>
            <w:vAlign w:val="center"/>
            <w:hideMark/>
          </w:tcPr>
          <w:p w14:paraId="1B852F75" w14:textId="77777777" w:rsidR="006237DE" w:rsidRPr="00383304" w:rsidRDefault="006237DE" w:rsidP="006237DE">
            <w:pPr>
              <w:pStyle w:val="Descripcin"/>
              <w:keepNext/>
              <w:spacing w:after="0"/>
              <w:jc w:val="center"/>
              <w:rPr>
                <w:rFonts w:cstheme="minorHAnsi"/>
                <w:b w:val="0"/>
                <w:color w:val="auto"/>
                <w:sz w:val="22"/>
                <w:szCs w:val="22"/>
                <w:lang w:val="es-MX"/>
              </w:rPr>
            </w:pPr>
            <w:r w:rsidRPr="00383304">
              <w:rPr>
                <w:rFonts w:cstheme="minorHAnsi"/>
                <w:b w:val="0"/>
                <w:color w:val="auto"/>
                <w:sz w:val="22"/>
                <w:szCs w:val="22"/>
                <w:lang w:val="es-MX"/>
              </w:rPr>
              <w:t>Colombia</w:t>
            </w:r>
          </w:p>
        </w:tc>
        <w:tc>
          <w:tcPr>
            <w:tcW w:w="611" w:type="dxa"/>
            <w:tcBorders>
              <w:top w:val="single" w:sz="6" w:space="0" w:color="auto"/>
              <w:left w:val="single" w:sz="18" w:space="0" w:color="auto"/>
              <w:bottom w:val="single" w:sz="6" w:space="0" w:color="auto"/>
              <w:right w:val="nil"/>
            </w:tcBorders>
            <w:shd w:val="clear" w:color="auto" w:fill="auto"/>
            <w:noWrap/>
            <w:vAlign w:val="center"/>
            <w:hideMark/>
          </w:tcPr>
          <w:p w14:paraId="5F7A6C33" w14:textId="77777777" w:rsidR="006237DE" w:rsidRPr="006237DE" w:rsidRDefault="006237DE" w:rsidP="006237DE">
            <w:pPr>
              <w:pStyle w:val="Descripcin"/>
              <w:keepNext/>
              <w:spacing w:after="0"/>
              <w:jc w:val="center"/>
              <w:rPr>
                <w:rFonts w:cstheme="minorHAnsi"/>
                <w:b w:val="0"/>
                <w:color w:val="auto"/>
                <w:sz w:val="20"/>
                <w:szCs w:val="20"/>
                <w:lang w:val="es-MX"/>
              </w:rPr>
            </w:pPr>
            <w:r w:rsidRPr="006237DE">
              <w:rPr>
                <w:rFonts w:cstheme="minorHAnsi"/>
                <w:b w:val="0"/>
                <w:color w:val="auto"/>
                <w:sz w:val="20"/>
                <w:szCs w:val="20"/>
                <w:lang w:val="es-MX"/>
              </w:rPr>
              <w:t>515</w:t>
            </w:r>
          </w:p>
        </w:tc>
        <w:tc>
          <w:tcPr>
            <w:tcW w:w="587" w:type="dxa"/>
            <w:tcBorders>
              <w:top w:val="single" w:sz="6" w:space="0" w:color="auto"/>
              <w:left w:val="nil"/>
              <w:bottom w:val="single" w:sz="6" w:space="0" w:color="auto"/>
              <w:right w:val="nil"/>
            </w:tcBorders>
            <w:shd w:val="clear" w:color="auto" w:fill="auto"/>
            <w:noWrap/>
            <w:vAlign w:val="center"/>
            <w:hideMark/>
          </w:tcPr>
          <w:p w14:paraId="7695D26A" w14:textId="77777777" w:rsidR="006237DE" w:rsidRPr="006237DE" w:rsidRDefault="006237DE" w:rsidP="006237DE">
            <w:pPr>
              <w:pStyle w:val="Descripcin"/>
              <w:keepNext/>
              <w:spacing w:after="0"/>
              <w:jc w:val="center"/>
              <w:rPr>
                <w:rFonts w:cstheme="minorHAnsi"/>
                <w:b w:val="0"/>
                <w:color w:val="auto"/>
                <w:sz w:val="20"/>
                <w:szCs w:val="20"/>
                <w:lang w:val="es-MX"/>
              </w:rPr>
            </w:pPr>
            <w:r w:rsidRPr="006237DE">
              <w:rPr>
                <w:rFonts w:cstheme="minorHAnsi"/>
                <w:b w:val="0"/>
                <w:color w:val="auto"/>
                <w:sz w:val="20"/>
                <w:szCs w:val="20"/>
                <w:lang w:val="es-MX"/>
              </w:rPr>
              <w:t>526</w:t>
            </w:r>
          </w:p>
        </w:tc>
        <w:tc>
          <w:tcPr>
            <w:tcW w:w="547" w:type="dxa"/>
            <w:tcBorders>
              <w:top w:val="single" w:sz="6" w:space="0" w:color="auto"/>
              <w:left w:val="nil"/>
              <w:bottom w:val="single" w:sz="6" w:space="0" w:color="auto"/>
            </w:tcBorders>
            <w:vAlign w:val="center"/>
          </w:tcPr>
          <w:p w14:paraId="6CB6304E" w14:textId="77777777" w:rsidR="006237DE" w:rsidRPr="006237DE" w:rsidRDefault="006237DE" w:rsidP="006237DE">
            <w:pPr>
              <w:pStyle w:val="Descripcin"/>
              <w:keepNext/>
              <w:spacing w:after="0"/>
              <w:jc w:val="center"/>
              <w:rPr>
                <w:rFonts w:cstheme="minorHAnsi"/>
                <w:b w:val="0"/>
                <w:i/>
                <w:color w:val="auto"/>
                <w:sz w:val="20"/>
                <w:szCs w:val="20"/>
                <w:lang w:val="es-MX"/>
              </w:rPr>
            </w:pPr>
            <w:r w:rsidRPr="006237DE">
              <w:rPr>
                <w:rFonts w:cstheme="minorHAnsi"/>
                <w:b w:val="0"/>
                <w:i/>
                <w:color w:val="000000"/>
                <w:sz w:val="20"/>
                <w:szCs w:val="20"/>
              </w:rPr>
              <w:t>11</w:t>
            </w:r>
          </w:p>
        </w:tc>
        <w:tc>
          <w:tcPr>
            <w:tcW w:w="587" w:type="dxa"/>
            <w:tcBorders>
              <w:top w:val="single" w:sz="6" w:space="0" w:color="auto"/>
              <w:bottom w:val="single" w:sz="6" w:space="0" w:color="auto"/>
              <w:right w:val="nil"/>
            </w:tcBorders>
            <w:shd w:val="clear" w:color="auto" w:fill="auto"/>
            <w:noWrap/>
            <w:vAlign w:val="center"/>
            <w:hideMark/>
          </w:tcPr>
          <w:p w14:paraId="24680DA9" w14:textId="77777777" w:rsidR="006237DE" w:rsidRPr="006237DE" w:rsidRDefault="006237DE" w:rsidP="006237DE">
            <w:pPr>
              <w:pStyle w:val="Descripcin"/>
              <w:keepNext/>
              <w:spacing w:after="0"/>
              <w:jc w:val="center"/>
              <w:rPr>
                <w:rFonts w:cstheme="minorHAnsi"/>
                <w:b w:val="0"/>
                <w:i/>
                <w:color w:val="auto"/>
                <w:sz w:val="20"/>
                <w:szCs w:val="20"/>
                <w:lang w:val="es-MX"/>
              </w:rPr>
            </w:pPr>
            <w:r w:rsidRPr="006237DE">
              <w:rPr>
                <w:rFonts w:cstheme="minorHAnsi"/>
                <w:b w:val="0"/>
                <w:i/>
                <w:color w:val="auto"/>
                <w:sz w:val="20"/>
                <w:szCs w:val="20"/>
                <w:lang w:val="es-MX"/>
              </w:rPr>
              <w:t>493</w:t>
            </w:r>
          </w:p>
        </w:tc>
        <w:tc>
          <w:tcPr>
            <w:tcW w:w="587" w:type="dxa"/>
            <w:tcBorders>
              <w:top w:val="single" w:sz="6" w:space="0" w:color="auto"/>
              <w:left w:val="nil"/>
              <w:bottom w:val="single" w:sz="6" w:space="0" w:color="auto"/>
              <w:right w:val="nil"/>
            </w:tcBorders>
            <w:shd w:val="clear" w:color="auto" w:fill="auto"/>
            <w:noWrap/>
            <w:vAlign w:val="center"/>
            <w:hideMark/>
          </w:tcPr>
          <w:p w14:paraId="46E0C078" w14:textId="77777777" w:rsidR="006237DE" w:rsidRPr="006237DE" w:rsidRDefault="006237DE" w:rsidP="006237DE">
            <w:pPr>
              <w:pStyle w:val="Descripcin"/>
              <w:keepNext/>
              <w:spacing w:after="0"/>
              <w:jc w:val="center"/>
              <w:rPr>
                <w:rFonts w:cstheme="minorHAnsi"/>
                <w:b w:val="0"/>
                <w:color w:val="auto"/>
                <w:sz w:val="20"/>
                <w:szCs w:val="20"/>
                <w:lang w:val="es-MX"/>
              </w:rPr>
            </w:pPr>
            <w:r w:rsidRPr="006237DE">
              <w:rPr>
                <w:rFonts w:cstheme="minorHAnsi"/>
                <w:b w:val="0"/>
                <w:color w:val="auto"/>
                <w:sz w:val="20"/>
                <w:szCs w:val="20"/>
                <w:lang w:val="es-MX"/>
              </w:rPr>
              <w:t>515</w:t>
            </w:r>
          </w:p>
        </w:tc>
        <w:tc>
          <w:tcPr>
            <w:tcW w:w="448" w:type="dxa"/>
            <w:tcBorders>
              <w:top w:val="single" w:sz="6" w:space="0" w:color="auto"/>
              <w:left w:val="nil"/>
              <w:bottom w:val="single" w:sz="6" w:space="0" w:color="auto"/>
              <w:right w:val="single" w:sz="18" w:space="0" w:color="auto"/>
            </w:tcBorders>
            <w:vAlign w:val="center"/>
          </w:tcPr>
          <w:p w14:paraId="37449EA6" w14:textId="77777777" w:rsidR="006237DE" w:rsidRPr="006237DE" w:rsidRDefault="006237DE" w:rsidP="006237DE">
            <w:pPr>
              <w:pStyle w:val="Descripcin"/>
              <w:keepNext/>
              <w:spacing w:after="0"/>
              <w:jc w:val="center"/>
              <w:rPr>
                <w:rFonts w:cstheme="minorHAnsi"/>
                <w:b w:val="0"/>
                <w:i/>
                <w:color w:val="auto"/>
                <w:sz w:val="20"/>
                <w:szCs w:val="20"/>
                <w:lang w:val="es-MX"/>
              </w:rPr>
            </w:pPr>
            <w:r w:rsidRPr="006237DE">
              <w:rPr>
                <w:rFonts w:cstheme="minorHAnsi"/>
                <w:i/>
                <w:color w:val="000000"/>
                <w:sz w:val="20"/>
                <w:szCs w:val="20"/>
              </w:rPr>
              <w:t>22</w:t>
            </w:r>
          </w:p>
        </w:tc>
        <w:tc>
          <w:tcPr>
            <w:tcW w:w="664" w:type="dxa"/>
            <w:tcBorders>
              <w:top w:val="single" w:sz="6" w:space="0" w:color="auto"/>
              <w:left w:val="single" w:sz="18" w:space="0" w:color="auto"/>
              <w:bottom w:val="single" w:sz="6" w:space="0" w:color="auto"/>
              <w:right w:val="nil"/>
            </w:tcBorders>
            <w:vAlign w:val="center"/>
          </w:tcPr>
          <w:p w14:paraId="3738CA2C" w14:textId="430CC307" w:rsidR="006237DE" w:rsidRPr="006237DE" w:rsidRDefault="006237DE" w:rsidP="006237DE">
            <w:pPr>
              <w:pStyle w:val="Descripcin"/>
              <w:keepNext/>
              <w:spacing w:after="0"/>
              <w:jc w:val="center"/>
              <w:rPr>
                <w:rFonts w:cstheme="minorHAnsi"/>
                <w:b w:val="0"/>
                <w:color w:val="000000"/>
                <w:sz w:val="20"/>
                <w:szCs w:val="20"/>
              </w:rPr>
            </w:pPr>
            <w:r>
              <w:rPr>
                <w:rFonts w:cstheme="minorHAnsi"/>
                <w:b w:val="0"/>
                <w:color w:val="000000"/>
                <w:sz w:val="20"/>
                <w:szCs w:val="20"/>
              </w:rPr>
              <w:t>421</w:t>
            </w:r>
          </w:p>
        </w:tc>
        <w:tc>
          <w:tcPr>
            <w:tcW w:w="666" w:type="dxa"/>
            <w:tcBorders>
              <w:top w:val="single" w:sz="6" w:space="0" w:color="auto"/>
              <w:left w:val="nil"/>
              <w:bottom w:val="single" w:sz="6" w:space="0" w:color="auto"/>
              <w:right w:val="nil"/>
            </w:tcBorders>
            <w:vAlign w:val="center"/>
          </w:tcPr>
          <w:p w14:paraId="519E158A" w14:textId="5BA2ADA5" w:rsidR="006237DE" w:rsidRPr="006237DE" w:rsidRDefault="006237DE" w:rsidP="006237DE">
            <w:pPr>
              <w:pStyle w:val="Descripcin"/>
              <w:keepNext/>
              <w:spacing w:after="0"/>
              <w:jc w:val="center"/>
              <w:rPr>
                <w:rFonts w:cstheme="minorHAnsi"/>
                <w:b w:val="0"/>
                <w:color w:val="000000"/>
                <w:sz w:val="20"/>
                <w:szCs w:val="20"/>
              </w:rPr>
            </w:pPr>
            <w:r>
              <w:rPr>
                <w:rFonts w:cstheme="minorHAnsi"/>
                <w:b w:val="0"/>
                <w:color w:val="000000"/>
                <w:sz w:val="20"/>
                <w:szCs w:val="20"/>
              </w:rPr>
              <w:t>425</w:t>
            </w:r>
          </w:p>
        </w:tc>
        <w:tc>
          <w:tcPr>
            <w:tcW w:w="667" w:type="dxa"/>
            <w:tcBorders>
              <w:top w:val="single" w:sz="6" w:space="0" w:color="auto"/>
              <w:left w:val="nil"/>
              <w:bottom w:val="single" w:sz="6" w:space="0" w:color="auto"/>
            </w:tcBorders>
            <w:vAlign w:val="center"/>
          </w:tcPr>
          <w:p w14:paraId="00FE11E3" w14:textId="0AEC856F" w:rsidR="006237DE" w:rsidRPr="006237DE" w:rsidRDefault="006237DE" w:rsidP="006237DE">
            <w:pPr>
              <w:pStyle w:val="Descripcin"/>
              <w:keepNext/>
              <w:spacing w:after="0"/>
              <w:jc w:val="center"/>
              <w:rPr>
                <w:rFonts w:cstheme="minorHAnsi"/>
                <w:b w:val="0"/>
                <w:i/>
                <w:color w:val="000000"/>
                <w:sz w:val="20"/>
                <w:szCs w:val="20"/>
              </w:rPr>
            </w:pPr>
            <w:r w:rsidRPr="006237DE">
              <w:rPr>
                <w:rFonts w:cstheme="minorHAnsi"/>
                <w:b w:val="0"/>
                <w:i/>
                <w:color w:val="000000"/>
                <w:sz w:val="20"/>
                <w:szCs w:val="20"/>
              </w:rPr>
              <w:t>4</w:t>
            </w:r>
          </w:p>
        </w:tc>
        <w:tc>
          <w:tcPr>
            <w:tcW w:w="667" w:type="dxa"/>
            <w:tcBorders>
              <w:top w:val="single" w:sz="6" w:space="0" w:color="auto"/>
              <w:bottom w:val="single" w:sz="6" w:space="0" w:color="auto"/>
              <w:right w:val="nil"/>
            </w:tcBorders>
            <w:vAlign w:val="center"/>
          </w:tcPr>
          <w:p w14:paraId="08B38A5B" w14:textId="2EC7BBC8" w:rsidR="006237DE" w:rsidRPr="006237DE" w:rsidRDefault="006237DE" w:rsidP="006237DE">
            <w:pPr>
              <w:pStyle w:val="Descripcin"/>
              <w:keepNext/>
              <w:spacing w:after="0"/>
              <w:jc w:val="center"/>
              <w:rPr>
                <w:rFonts w:cstheme="minorHAnsi"/>
                <w:b w:val="0"/>
                <w:color w:val="000000"/>
                <w:sz w:val="20"/>
                <w:szCs w:val="20"/>
              </w:rPr>
            </w:pPr>
            <w:r>
              <w:rPr>
                <w:rFonts w:cstheme="minorHAnsi"/>
                <w:b w:val="0"/>
                <w:color w:val="000000"/>
                <w:sz w:val="20"/>
                <w:szCs w:val="20"/>
              </w:rPr>
              <w:t>385</w:t>
            </w:r>
          </w:p>
        </w:tc>
        <w:tc>
          <w:tcPr>
            <w:tcW w:w="667" w:type="dxa"/>
            <w:tcBorders>
              <w:top w:val="single" w:sz="6" w:space="0" w:color="auto"/>
              <w:left w:val="nil"/>
              <w:bottom w:val="single" w:sz="6" w:space="0" w:color="auto"/>
              <w:right w:val="nil"/>
            </w:tcBorders>
            <w:vAlign w:val="center"/>
          </w:tcPr>
          <w:p w14:paraId="34D8629D" w14:textId="3F7BB3EF" w:rsidR="006237DE" w:rsidRPr="006237DE" w:rsidRDefault="006237DE" w:rsidP="006237DE">
            <w:pPr>
              <w:pStyle w:val="Descripcin"/>
              <w:keepNext/>
              <w:spacing w:after="0"/>
              <w:jc w:val="center"/>
              <w:rPr>
                <w:rFonts w:cstheme="minorHAnsi"/>
                <w:b w:val="0"/>
                <w:color w:val="000000"/>
                <w:sz w:val="20"/>
                <w:szCs w:val="20"/>
              </w:rPr>
            </w:pPr>
            <w:r>
              <w:rPr>
                <w:rFonts w:cstheme="minorHAnsi"/>
                <w:b w:val="0"/>
                <w:color w:val="000000"/>
                <w:sz w:val="20"/>
                <w:szCs w:val="20"/>
              </w:rPr>
              <w:t>390</w:t>
            </w:r>
          </w:p>
        </w:tc>
        <w:tc>
          <w:tcPr>
            <w:tcW w:w="667" w:type="dxa"/>
            <w:tcBorders>
              <w:top w:val="single" w:sz="6" w:space="0" w:color="auto"/>
              <w:left w:val="nil"/>
              <w:bottom w:val="single" w:sz="6" w:space="0" w:color="auto"/>
              <w:right w:val="single" w:sz="18" w:space="0" w:color="auto"/>
            </w:tcBorders>
            <w:vAlign w:val="center"/>
          </w:tcPr>
          <w:p w14:paraId="61269497" w14:textId="07B2AE38" w:rsidR="006237DE" w:rsidRPr="006237DE" w:rsidRDefault="006237DE" w:rsidP="006237DE">
            <w:pPr>
              <w:pStyle w:val="Descripcin"/>
              <w:keepNext/>
              <w:spacing w:after="0"/>
              <w:jc w:val="center"/>
              <w:rPr>
                <w:rFonts w:cstheme="minorHAnsi"/>
                <w:b w:val="0"/>
                <w:i/>
                <w:color w:val="000000"/>
                <w:sz w:val="20"/>
                <w:szCs w:val="20"/>
              </w:rPr>
            </w:pPr>
            <w:r w:rsidRPr="006237DE">
              <w:rPr>
                <w:rFonts w:cstheme="minorHAnsi"/>
                <w:b w:val="0"/>
                <w:i/>
                <w:color w:val="000000"/>
                <w:sz w:val="20"/>
                <w:szCs w:val="20"/>
              </w:rPr>
              <w:t>5</w:t>
            </w:r>
          </w:p>
        </w:tc>
      </w:tr>
      <w:tr w:rsidR="006237DE" w:rsidRPr="00383304" w14:paraId="2D43D51C" w14:textId="201F557A" w:rsidTr="00A65DD4">
        <w:trPr>
          <w:trHeight w:val="300"/>
          <w:jc w:val="center"/>
        </w:trPr>
        <w:tc>
          <w:tcPr>
            <w:tcW w:w="1129" w:type="dxa"/>
            <w:tcBorders>
              <w:left w:val="single" w:sz="18" w:space="0" w:color="auto"/>
              <w:right w:val="single" w:sz="18" w:space="0" w:color="auto"/>
            </w:tcBorders>
            <w:shd w:val="clear" w:color="auto" w:fill="auto"/>
            <w:noWrap/>
            <w:vAlign w:val="center"/>
            <w:hideMark/>
          </w:tcPr>
          <w:p w14:paraId="01A6B495" w14:textId="77777777" w:rsidR="006237DE" w:rsidRPr="00383304" w:rsidRDefault="006237DE" w:rsidP="006237DE">
            <w:pPr>
              <w:pStyle w:val="Descripcin"/>
              <w:keepNext/>
              <w:spacing w:after="0"/>
              <w:jc w:val="center"/>
              <w:rPr>
                <w:rFonts w:cstheme="minorHAnsi"/>
                <w:b w:val="0"/>
                <w:color w:val="auto"/>
                <w:sz w:val="22"/>
                <w:szCs w:val="22"/>
                <w:lang w:val="es-MX"/>
              </w:rPr>
            </w:pPr>
            <w:r w:rsidRPr="00383304">
              <w:rPr>
                <w:rFonts w:cstheme="minorHAnsi"/>
                <w:b w:val="0"/>
                <w:color w:val="auto"/>
                <w:sz w:val="22"/>
                <w:szCs w:val="22"/>
                <w:lang w:val="es-MX"/>
              </w:rPr>
              <w:t>México</w:t>
            </w:r>
          </w:p>
        </w:tc>
        <w:tc>
          <w:tcPr>
            <w:tcW w:w="611" w:type="dxa"/>
            <w:tcBorders>
              <w:top w:val="single" w:sz="6" w:space="0" w:color="auto"/>
              <w:left w:val="single" w:sz="18" w:space="0" w:color="auto"/>
              <w:bottom w:val="single" w:sz="6" w:space="0" w:color="auto"/>
              <w:right w:val="nil"/>
            </w:tcBorders>
            <w:shd w:val="clear" w:color="auto" w:fill="auto"/>
            <w:noWrap/>
            <w:vAlign w:val="center"/>
            <w:hideMark/>
          </w:tcPr>
          <w:p w14:paraId="736A67B5" w14:textId="77777777" w:rsidR="006237DE" w:rsidRPr="006237DE" w:rsidRDefault="006237DE" w:rsidP="006237DE">
            <w:pPr>
              <w:pStyle w:val="Descripcin"/>
              <w:keepNext/>
              <w:spacing w:after="0"/>
              <w:jc w:val="center"/>
              <w:rPr>
                <w:rFonts w:cstheme="minorHAnsi"/>
                <w:b w:val="0"/>
                <w:color w:val="auto"/>
                <w:sz w:val="20"/>
                <w:szCs w:val="20"/>
                <w:lang w:val="es-MX"/>
              </w:rPr>
            </w:pPr>
            <w:r w:rsidRPr="006237DE">
              <w:rPr>
                <w:rFonts w:cstheme="minorHAnsi"/>
                <w:b w:val="0"/>
                <w:color w:val="auto"/>
                <w:sz w:val="20"/>
                <w:szCs w:val="20"/>
                <w:lang w:val="es-MX"/>
              </w:rPr>
              <w:t>530</w:t>
            </w:r>
          </w:p>
        </w:tc>
        <w:tc>
          <w:tcPr>
            <w:tcW w:w="587" w:type="dxa"/>
            <w:tcBorders>
              <w:top w:val="single" w:sz="6" w:space="0" w:color="auto"/>
              <w:left w:val="nil"/>
              <w:bottom w:val="single" w:sz="6" w:space="0" w:color="auto"/>
              <w:right w:val="nil"/>
            </w:tcBorders>
            <w:shd w:val="clear" w:color="auto" w:fill="auto"/>
            <w:noWrap/>
            <w:vAlign w:val="center"/>
            <w:hideMark/>
          </w:tcPr>
          <w:p w14:paraId="541971B5" w14:textId="77777777" w:rsidR="006237DE" w:rsidRPr="006237DE" w:rsidRDefault="006237DE" w:rsidP="006237DE">
            <w:pPr>
              <w:pStyle w:val="Descripcin"/>
              <w:keepNext/>
              <w:spacing w:after="0"/>
              <w:jc w:val="center"/>
              <w:rPr>
                <w:rFonts w:cstheme="minorHAnsi"/>
                <w:b w:val="0"/>
                <w:color w:val="auto"/>
                <w:sz w:val="20"/>
                <w:szCs w:val="20"/>
                <w:lang w:val="es-MX"/>
              </w:rPr>
            </w:pPr>
            <w:r w:rsidRPr="006237DE">
              <w:rPr>
                <w:rFonts w:cstheme="minorHAnsi"/>
                <w:b w:val="0"/>
                <w:color w:val="auto"/>
                <w:sz w:val="20"/>
                <w:szCs w:val="20"/>
                <w:lang w:val="es-MX"/>
              </w:rPr>
              <w:t>529</w:t>
            </w:r>
          </w:p>
        </w:tc>
        <w:tc>
          <w:tcPr>
            <w:tcW w:w="547" w:type="dxa"/>
            <w:tcBorders>
              <w:top w:val="single" w:sz="6" w:space="0" w:color="auto"/>
              <w:left w:val="nil"/>
              <w:bottom w:val="single" w:sz="6" w:space="0" w:color="auto"/>
            </w:tcBorders>
            <w:vAlign w:val="center"/>
          </w:tcPr>
          <w:p w14:paraId="6F2C01CC" w14:textId="77777777" w:rsidR="006237DE" w:rsidRPr="006237DE" w:rsidRDefault="006237DE" w:rsidP="006237DE">
            <w:pPr>
              <w:pStyle w:val="Descripcin"/>
              <w:keepNext/>
              <w:spacing w:after="0"/>
              <w:jc w:val="center"/>
              <w:rPr>
                <w:rFonts w:cstheme="minorHAnsi"/>
                <w:b w:val="0"/>
                <w:i/>
                <w:color w:val="auto"/>
                <w:sz w:val="20"/>
                <w:szCs w:val="20"/>
                <w:lang w:val="es-MX"/>
              </w:rPr>
            </w:pPr>
            <w:r w:rsidRPr="006237DE">
              <w:rPr>
                <w:rFonts w:cstheme="minorHAnsi"/>
                <w:b w:val="0"/>
                <w:i/>
                <w:color w:val="000000"/>
                <w:sz w:val="20"/>
                <w:szCs w:val="20"/>
              </w:rPr>
              <w:t>-1</w:t>
            </w:r>
          </w:p>
        </w:tc>
        <w:tc>
          <w:tcPr>
            <w:tcW w:w="587" w:type="dxa"/>
            <w:tcBorders>
              <w:top w:val="single" w:sz="6" w:space="0" w:color="auto"/>
              <w:bottom w:val="single" w:sz="6" w:space="0" w:color="auto"/>
              <w:right w:val="nil"/>
            </w:tcBorders>
            <w:shd w:val="clear" w:color="auto" w:fill="auto"/>
            <w:noWrap/>
            <w:vAlign w:val="center"/>
            <w:hideMark/>
          </w:tcPr>
          <w:p w14:paraId="064DCF2C" w14:textId="77777777" w:rsidR="006237DE" w:rsidRPr="006237DE" w:rsidRDefault="006237DE" w:rsidP="006237DE">
            <w:pPr>
              <w:pStyle w:val="Descripcin"/>
              <w:keepNext/>
              <w:spacing w:after="0"/>
              <w:jc w:val="center"/>
              <w:rPr>
                <w:rFonts w:cstheme="minorHAnsi"/>
                <w:b w:val="0"/>
                <w:i/>
                <w:color w:val="auto"/>
                <w:sz w:val="20"/>
                <w:szCs w:val="20"/>
                <w:lang w:val="es-MX"/>
              </w:rPr>
            </w:pPr>
            <w:r w:rsidRPr="006237DE">
              <w:rPr>
                <w:rFonts w:cstheme="minorHAnsi"/>
                <w:b w:val="0"/>
                <w:i/>
                <w:color w:val="auto"/>
                <w:sz w:val="20"/>
                <w:szCs w:val="20"/>
                <w:lang w:val="es-MX"/>
              </w:rPr>
              <w:t>542</w:t>
            </w:r>
          </w:p>
        </w:tc>
        <w:tc>
          <w:tcPr>
            <w:tcW w:w="587" w:type="dxa"/>
            <w:tcBorders>
              <w:top w:val="single" w:sz="6" w:space="0" w:color="auto"/>
              <w:left w:val="nil"/>
              <w:bottom w:val="single" w:sz="6" w:space="0" w:color="auto"/>
              <w:right w:val="nil"/>
            </w:tcBorders>
            <w:shd w:val="clear" w:color="auto" w:fill="auto"/>
            <w:noWrap/>
            <w:vAlign w:val="center"/>
            <w:hideMark/>
          </w:tcPr>
          <w:p w14:paraId="7211795D" w14:textId="77777777" w:rsidR="006237DE" w:rsidRPr="006237DE" w:rsidRDefault="006237DE" w:rsidP="006237DE">
            <w:pPr>
              <w:pStyle w:val="Descripcin"/>
              <w:keepNext/>
              <w:spacing w:after="0"/>
              <w:jc w:val="center"/>
              <w:rPr>
                <w:rFonts w:cstheme="minorHAnsi"/>
                <w:b w:val="0"/>
                <w:color w:val="auto"/>
                <w:sz w:val="20"/>
                <w:szCs w:val="20"/>
                <w:lang w:val="es-MX"/>
              </w:rPr>
            </w:pPr>
            <w:r w:rsidRPr="006237DE">
              <w:rPr>
                <w:rFonts w:cstheme="minorHAnsi"/>
                <w:b w:val="0"/>
                <w:color w:val="auto"/>
                <w:sz w:val="20"/>
                <w:szCs w:val="20"/>
                <w:lang w:val="es-MX"/>
              </w:rPr>
              <w:t>566</w:t>
            </w:r>
          </w:p>
        </w:tc>
        <w:tc>
          <w:tcPr>
            <w:tcW w:w="448" w:type="dxa"/>
            <w:tcBorders>
              <w:top w:val="single" w:sz="6" w:space="0" w:color="auto"/>
              <w:left w:val="nil"/>
              <w:bottom w:val="single" w:sz="6" w:space="0" w:color="auto"/>
              <w:right w:val="single" w:sz="18" w:space="0" w:color="auto"/>
            </w:tcBorders>
            <w:vAlign w:val="center"/>
          </w:tcPr>
          <w:p w14:paraId="2369CF56" w14:textId="77777777" w:rsidR="006237DE" w:rsidRPr="006237DE" w:rsidRDefault="006237DE" w:rsidP="006237DE">
            <w:pPr>
              <w:pStyle w:val="Descripcin"/>
              <w:keepNext/>
              <w:spacing w:after="0"/>
              <w:jc w:val="center"/>
              <w:rPr>
                <w:rFonts w:cstheme="minorHAnsi"/>
                <w:b w:val="0"/>
                <w:i/>
                <w:color w:val="auto"/>
                <w:sz w:val="20"/>
                <w:szCs w:val="20"/>
                <w:lang w:val="es-MX"/>
              </w:rPr>
            </w:pPr>
            <w:r w:rsidRPr="006237DE">
              <w:rPr>
                <w:rFonts w:cstheme="minorHAnsi"/>
                <w:i/>
                <w:color w:val="000000"/>
                <w:sz w:val="20"/>
                <w:szCs w:val="20"/>
              </w:rPr>
              <w:t>24</w:t>
            </w:r>
          </w:p>
        </w:tc>
        <w:tc>
          <w:tcPr>
            <w:tcW w:w="664" w:type="dxa"/>
            <w:tcBorders>
              <w:top w:val="single" w:sz="6" w:space="0" w:color="auto"/>
              <w:left w:val="single" w:sz="18" w:space="0" w:color="auto"/>
              <w:bottom w:val="single" w:sz="6" w:space="0" w:color="auto"/>
              <w:right w:val="nil"/>
            </w:tcBorders>
            <w:vAlign w:val="center"/>
          </w:tcPr>
          <w:p w14:paraId="4FE997C9" w14:textId="6CD25E60" w:rsidR="006237DE" w:rsidRPr="006237DE" w:rsidRDefault="006237DE" w:rsidP="006237DE">
            <w:pPr>
              <w:pStyle w:val="Descripcin"/>
              <w:keepNext/>
              <w:spacing w:after="0"/>
              <w:jc w:val="center"/>
              <w:rPr>
                <w:rFonts w:cstheme="minorHAnsi"/>
                <w:b w:val="0"/>
                <w:color w:val="000000"/>
                <w:sz w:val="20"/>
                <w:szCs w:val="20"/>
              </w:rPr>
            </w:pPr>
            <w:r>
              <w:rPr>
                <w:rFonts w:cstheme="minorHAnsi"/>
                <w:b w:val="0"/>
                <w:color w:val="000000"/>
                <w:sz w:val="20"/>
                <w:szCs w:val="20"/>
              </w:rPr>
              <w:t>417</w:t>
            </w:r>
          </w:p>
        </w:tc>
        <w:tc>
          <w:tcPr>
            <w:tcW w:w="666" w:type="dxa"/>
            <w:tcBorders>
              <w:top w:val="single" w:sz="6" w:space="0" w:color="auto"/>
              <w:left w:val="nil"/>
              <w:bottom w:val="single" w:sz="6" w:space="0" w:color="auto"/>
              <w:right w:val="nil"/>
            </w:tcBorders>
            <w:vAlign w:val="center"/>
          </w:tcPr>
          <w:p w14:paraId="66E1406D" w14:textId="5D7B8661" w:rsidR="006237DE" w:rsidRPr="006237DE" w:rsidRDefault="006237DE" w:rsidP="006237DE">
            <w:pPr>
              <w:pStyle w:val="Descripcin"/>
              <w:keepNext/>
              <w:spacing w:after="0"/>
              <w:jc w:val="center"/>
              <w:rPr>
                <w:rFonts w:cstheme="minorHAnsi"/>
                <w:b w:val="0"/>
                <w:color w:val="000000"/>
                <w:sz w:val="20"/>
                <w:szCs w:val="20"/>
              </w:rPr>
            </w:pPr>
            <w:r>
              <w:rPr>
                <w:rFonts w:cstheme="minorHAnsi"/>
                <w:b w:val="0"/>
                <w:color w:val="000000"/>
                <w:sz w:val="20"/>
                <w:szCs w:val="20"/>
              </w:rPr>
              <w:t>423</w:t>
            </w:r>
          </w:p>
        </w:tc>
        <w:tc>
          <w:tcPr>
            <w:tcW w:w="667" w:type="dxa"/>
            <w:tcBorders>
              <w:top w:val="single" w:sz="6" w:space="0" w:color="auto"/>
              <w:left w:val="nil"/>
              <w:bottom w:val="single" w:sz="6" w:space="0" w:color="auto"/>
            </w:tcBorders>
            <w:vAlign w:val="center"/>
          </w:tcPr>
          <w:p w14:paraId="736742B4" w14:textId="66DF1AAB" w:rsidR="006237DE" w:rsidRPr="006237DE" w:rsidRDefault="006237DE" w:rsidP="006237DE">
            <w:pPr>
              <w:pStyle w:val="Descripcin"/>
              <w:keepNext/>
              <w:spacing w:after="0"/>
              <w:jc w:val="center"/>
              <w:rPr>
                <w:rFonts w:cstheme="minorHAnsi"/>
                <w:b w:val="0"/>
                <w:i/>
                <w:color w:val="000000"/>
                <w:sz w:val="20"/>
                <w:szCs w:val="20"/>
              </w:rPr>
            </w:pPr>
            <w:r w:rsidRPr="006237DE">
              <w:rPr>
                <w:rFonts w:cstheme="minorHAnsi"/>
                <w:b w:val="0"/>
                <w:i/>
                <w:color w:val="000000"/>
                <w:sz w:val="20"/>
                <w:szCs w:val="20"/>
              </w:rPr>
              <w:t>6</w:t>
            </w:r>
          </w:p>
        </w:tc>
        <w:tc>
          <w:tcPr>
            <w:tcW w:w="667" w:type="dxa"/>
            <w:tcBorders>
              <w:top w:val="single" w:sz="6" w:space="0" w:color="auto"/>
              <w:bottom w:val="single" w:sz="6" w:space="0" w:color="auto"/>
              <w:right w:val="nil"/>
            </w:tcBorders>
            <w:vAlign w:val="center"/>
          </w:tcPr>
          <w:p w14:paraId="36FEF289" w14:textId="180EED63" w:rsidR="006237DE" w:rsidRPr="006237DE" w:rsidRDefault="006237DE" w:rsidP="006237DE">
            <w:pPr>
              <w:pStyle w:val="Descripcin"/>
              <w:keepNext/>
              <w:spacing w:after="0"/>
              <w:jc w:val="center"/>
              <w:rPr>
                <w:rFonts w:cstheme="minorHAnsi"/>
                <w:b w:val="0"/>
                <w:color w:val="000000"/>
                <w:sz w:val="20"/>
                <w:szCs w:val="20"/>
              </w:rPr>
            </w:pPr>
            <w:r>
              <w:rPr>
                <w:rFonts w:cstheme="minorHAnsi"/>
                <w:b w:val="0"/>
                <w:color w:val="000000"/>
                <w:sz w:val="20"/>
                <w:szCs w:val="20"/>
              </w:rPr>
              <w:t>407</w:t>
            </w:r>
          </w:p>
        </w:tc>
        <w:tc>
          <w:tcPr>
            <w:tcW w:w="667" w:type="dxa"/>
            <w:tcBorders>
              <w:top w:val="single" w:sz="6" w:space="0" w:color="auto"/>
              <w:left w:val="nil"/>
              <w:bottom w:val="single" w:sz="6" w:space="0" w:color="auto"/>
              <w:right w:val="nil"/>
            </w:tcBorders>
            <w:vAlign w:val="center"/>
          </w:tcPr>
          <w:p w14:paraId="36FE966A" w14:textId="0FB5AB96" w:rsidR="006237DE" w:rsidRPr="006237DE" w:rsidRDefault="006237DE" w:rsidP="006237DE">
            <w:pPr>
              <w:pStyle w:val="Descripcin"/>
              <w:keepNext/>
              <w:spacing w:after="0"/>
              <w:jc w:val="center"/>
              <w:rPr>
                <w:rFonts w:cstheme="minorHAnsi"/>
                <w:b w:val="0"/>
                <w:color w:val="000000"/>
                <w:sz w:val="20"/>
                <w:szCs w:val="20"/>
              </w:rPr>
            </w:pPr>
            <w:r>
              <w:rPr>
                <w:rFonts w:cstheme="minorHAnsi"/>
                <w:b w:val="0"/>
                <w:color w:val="000000"/>
                <w:sz w:val="20"/>
                <w:szCs w:val="20"/>
              </w:rPr>
              <w:t>408</w:t>
            </w:r>
          </w:p>
        </w:tc>
        <w:tc>
          <w:tcPr>
            <w:tcW w:w="667" w:type="dxa"/>
            <w:tcBorders>
              <w:top w:val="single" w:sz="6" w:space="0" w:color="auto"/>
              <w:left w:val="nil"/>
              <w:bottom w:val="single" w:sz="6" w:space="0" w:color="auto"/>
              <w:right w:val="single" w:sz="18" w:space="0" w:color="auto"/>
            </w:tcBorders>
            <w:vAlign w:val="center"/>
          </w:tcPr>
          <w:p w14:paraId="6D1EDD05" w14:textId="47844AF2" w:rsidR="006237DE" w:rsidRPr="006237DE" w:rsidRDefault="006237DE" w:rsidP="006237DE">
            <w:pPr>
              <w:pStyle w:val="Descripcin"/>
              <w:keepNext/>
              <w:spacing w:after="0"/>
              <w:jc w:val="center"/>
              <w:rPr>
                <w:rFonts w:cstheme="minorHAnsi"/>
                <w:b w:val="0"/>
                <w:i/>
                <w:color w:val="000000"/>
                <w:sz w:val="20"/>
                <w:szCs w:val="20"/>
              </w:rPr>
            </w:pPr>
            <w:r w:rsidRPr="006237DE">
              <w:rPr>
                <w:rFonts w:cstheme="minorHAnsi"/>
                <w:b w:val="0"/>
                <w:i/>
                <w:color w:val="000000"/>
                <w:sz w:val="20"/>
                <w:szCs w:val="20"/>
              </w:rPr>
              <w:t>1</w:t>
            </w:r>
          </w:p>
        </w:tc>
      </w:tr>
      <w:tr w:rsidR="006237DE" w:rsidRPr="00383304" w14:paraId="78005269" w14:textId="5411EF64" w:rsidTr="00A65DD4">
        <w:trPr>
          <w:trHeight w:val="300"/>
          <w:jc w:val="center"/>
        </w:trPr>
        <w:tc>
          <w:tcPr>
            <w:tcW w:w="1129" w:type="dxa"/>
            <w:tcBorders>
              <w:left w:val="single" w:sz="18" w:space="0" w:color="auto"/>
              <w:right w:val="single" w:sz="18" w:space="0" w:color="auto"/>
            </w:tcBorders>
            <w:shd w:val="clear" w:color="auto" w:fill="auto"/>
            <w:noWrap/>
            <w:vAlign w:val="center"/>
            <w:hideMark/>
          </w:tcPr>
          <w:p w14:paraId="1E5355DC" w14:textId="6A5B2BE9" w:rsidR="006237DE" w:rsidRPr="00383304" w:rsidRDefault="006237DE" w:rsidP="006237DE">
            <w:pPr>
              <w:pStyle w:val="Descripcin"/>
              <w:keepNext/>
              <w:spacing w:after="0"/>
              <w:jc w:val="center"/>
              <w:rPr>
                <w:rFonts w:cstheme="minorHAnsi"/>
                <w:b w:val="0"/>
                <w:color w:val="auto"/>
                <w:sz w:val="22"/>
                <w:szCs w:val="22"/>
                <w:lang w:val="es-MX"/>
              </w:rPr>
            </w:pPr>
            <w:r w:rsidRPr="00383304">
              <w:rPr>
                <w:rFonts w:cstheme="minorHAnsi"/>
                <w:b w:val="0"/>
                <w:color w:val="auto"/>
                <w:sz w:val="22"/>
                <w:szCs w:val="22"/>
                <w:lang w:val="es-MX"/>
              </w:rPr>
              <w:t>Perú</w:t>
            </w:r>
            <w:r>
              <w:rPr>
                <w:rFonts w:cstheme="minorHAnsi"/>
                <w:b w:val="0"/>
                <w:color w:val="auto"/>
                <w:sz w:val="22"/>
                <w:szCs w:val="22"/>
                <w:lang w:val="es-MX"/>
              </w:rPr>
              <w:t>**</w:t>
            </w:r>
          </w:p>
        </w:tc>
        <w:tc>
          <w:tcPr>
            <w:tcW w:w="611" w:type="dxa"/>
            <w:tcBorders>
              <w:top w:val="single" w:sz="6" w:space="0" w:color="auto"/>
              <w:left w:val="single" w:sz="18" w:space="0" w:color="auto"/>
              <w:bottom w:val="single" w:sz="6" w:space="0" w:color="auto"/>
              <w:right w:val="nil"/>
            </w:tcBorders>
            <w:shd w:val="clear" w:color="auto" w:fill="auto"/>
            <w:noWrap/>
            <w:vAlign w:val="center"/>
            <w:hideMark/>
          </w:tcPr>
          <w:p w14:paraId="7E11A5B8" w14:textId="77777777" w:rsidR="006237DE" w:rsidRPr="006237DE" w:rsidRDefault="006237DE" w:rsidP="006237DE">
            <w:pPr>
              <w:pStyle w:val="Descripcin"/>
              <w:keepNext/>
              <w:spacing w:after="0"/>
              <w:jc w:val="center"/>
              <w:rPr>
                <w:rFonts w:cstheme="minorHAnsi"/>
                <w:b w:val="0"/>
                <w:color w:val="auto"/>
                <w:sz w:val="20"/>
                <w:szCs w:val="20"/>
                <w:lang w:val="es-MX"/>
              </w:rPr>
            </w:pPr>
            <w:r w:rsidRPr="006237DE">
              <w:rPr>
                <w:rFonts w:cstheme="minorHAnsi"/>
                <w:b w:val="0"/>
                <w:color w:val="auto"/>
                <w:sz w:val="20"/>
                <w:szCs w:val="20"/>
                <w:lang w:val="es-MX"/>
              </w:rPr>
              <w:t>476</w:t>
            </w:r>
          </w:p>
        </w:tc>
        <w:tc>
          <w:tcPr>
            <w:tcW w:w="587" w:type="dxa"/>
            <w:tcBorders>
              <w:top w:val="single" w:sz="6" w:space="0" w:color="auto"/>
              <w:left w:val="nil"/>
              <w:bottom w:val="single" w:sz="6" w:space="0" w:color="auto"/>
              <w:right w:val="nil"/>
            </w:tcBorders>
            <w:shd w:val="clear" w:color="auto" w:fill="auto"/>
            <w:noWrap/>
            <w:vAlign w:val="center"/>
            <w:hideMark/>
          </w:tcPr>
          <w:p w14:paraId="060F8B05" w14:textId="77777777" w:rsidR="006237DE" w:rsidRPr="006237DE" w:rsidRDefault="006237DE" w:rsidP="006237DE">
            <w:pPr>
              <w:pStyle w:val="Descripcin"/>
              <w:keepNext/>
              <w:spacing w:after="0"/>
              <w:jc w:val="center"/>
              <w:rPr>
                <w:rFonts w:cstheme="minorHAnsi"/>
                <w:b w:val="0"/>
                <w:color w:val="auto"/>
                <w:sz w:val="20"/>
                <w:szCs w:val="20"/>
                <w:lang w:val="es-MX"/>
              </w:rPr>
            </w:pPr>
            <w:r w:rsidRPr="006237DE">
              <w:rPr>
                <w:rFonts w:cstheme="minorHAnsi"/>
                <w:b w:val="0"/>
                <w:color w:val="auto"/>
                <w:sz w:val="20"/>
                <w:szCs w:val="20"/>
                <w:lang w:val="es-MX"/>
              </w:rPr>
              <w:t>505</w:t>
            </w:r>
          </w:p>
        </w:tc>
        <w:tc>
          <w:tcPr>
            <w:tcW w:w="547" w:type="dxa"/>
            <w:tcBorders>
              <w:top w:val="single" w:sz="6" w:space="0" w:color="auto"/>
              <w:left w:val="nil"/>
              <w:bottom w:val="single" w:sz="6" w:space="0" w:color="auto"/>
            </w:tcBorders>
            <w:vAlign w:val="center"/>
          </w:tcPr>
          <w:p w14:paraId="1D54E602" w14:textId="77777777" w:rsidR="006237DE" w:rsidRPr="006237DE" w:rsidRDefault="006237DE" w:rsidP="006237DE">
            <w:pPr>
              <w:pStyle w:val="Descripcin"/>
              <w:keepNext/>
              <w:spacing w:after="0"/>
              <w:jc w:val="center"/>
              <w:rPr>
                <w:rFonts w:cstheme="minorHAnsi"/>
                <w:b w:val="0"/>
                <w:i/>
                <w:color w:val="auto"/>
                <w:sz w:val="20"/>
                <w:szCs w:val="20"/>
                <w:lang w:val="es-MX"/>
              </w:rPr>
            </w:pPr>
            <w:r w:rsidRPr="006237DE">
              <w:rPr>
                <w:rFonts w:cstheme="minorHAnsi"/>
                <w:i/>
                <w:color w:val="000000"/>
                <w:sz w:val="20"/>
                <w:szCs w:val="20"/>
              </w:rPr>
              <w:t>29</w:t>
            </w:r>
          </w:p>
        </w:tc>
        <w:tc>
          <w:tcPr>
            <w:tcW w:w="587" w:type="dxa"/>
            <w:tcBorders>
              <w:top w:val="single" w:sz="6" w:space="0" w:color="auto"/>
              <w:bottom w:val="single" w:sz="6" w:space="0" w:color="auto"/>
              <w:right w:val="nil"/>
            </w:tcBorders>
            <w:shd w:val="clear" w:color="auto" w:fill="auto"/>
            <w:noWrap/>
            <w:vAlign w:val="center"/>
            <w:hideMark/>
          </w:tcPr>
          <w:p w14:paraId="5D088E20" w14:textId="77777777" w:rsidR="006237DE" w:rsidRPr="006237DE" w:rsidRDefault="006237DE" w:rsidP="006237DE">
            <w:pPr>
              <w:pStyle w:val="Descripcin"/>
              <w:keepNext/>
              <w:spacing w:after="0"/>
              <w:jc w:val="center"/>
              <w:rPr>
                <w:rFonts w:cstheme="minorHAnsi"/>
                <w:b w:val="0"/>
                <w:i/>
                <w:color w:val="auto"/>
                <w:sz w:val="20"/>
                <w:szCs w:val="20"/>
                <w:lang w:val="es-MX"/>
              </w:rPr>
            </w:pPr>
            <w:r w:rsidRPr="006237DE">
              <w:rPr>
                <w:rFonts w:cstheme="minorHAnsi"/>
                <w:b w:val="0"/>
                <w:i/>
                <w:color w:val="auto"/>
                <w:sz w:val="20"/>
                <w:szCs w:val="20"/>
                <w:lang w:val="es-MX"/>
              </w:rPr>
              <w:t>490</w:t>
            </w:r>
          </w:p>
        </w:tc>
        <w:tc>
          <w:tcPr>
            <w:tcW w:w="587" w:type="dxa"/>
            <w:tcBorders>
              <w:top w:val="single" w:sz="6" w:space="0" w:color="auto"/>
              <w:left w:val="nil"/>
              <w:bottom w:val="single" w:sz="6" w:space="0" w:color="auto"/>
              <w:right w:val="nil"/>
            </w:tcBorders>
            <w:shd w:val="clear" w:color="auto" w:fill="auto"/>
            <w:noWrap/>
            <w:vAlign w:val="center"/>
            <w:hideMark/>
          </w:tcPr>
          <w:p w14:paraId="2C4152B1" w14:textId="77777777" w:rsidR="006237DE" w:rsidRPr="006237DE" w:rsidRDefault="006237DE" w:rsidP="006237DE">
            <w:pPr>
              <w:pStyle w:val="Descripcin"/>
              <w:keepNext/>
              <w:spacing w:after="0"/>
              <w:jc w:val="center"/>
              <w:rPr>
                <w:rFonts w:cstheme="minorHAnsi"/>
                <w:b w:val="0"/>
                <w:color w:val="auto"/>
                <w:sz w:val="20"/>
                <w:szCs w:val="20"/>
                <w:lang w:val="es-MX"/>
              </w:rPr>
            </w:pPr>
            <w:r w:rsidRPr="006237DE">
              <w:rPr>
                <w:rFonts w:cstheme="minorHAnsi"/>
                <w:b w:val="0"/>
                <w:color w:val="auto"/>
                <w:sz w:val="20"/>
                <w:szCs w:val="20"/>
                <w:lang w:val="es-MX"/>
              </w:rPr>
              <w:t>527</w:t>
            </w:r>
          </w:p>
        </w:tc>
        <w:tc>
          <w:tcPr>
            <w:tcW w:w="448" w:type="dxa"/>
            <w:tcBorders>
              <w:top w:val="single" w:sz="6" w:space="0" w:color="auto"/>
              <w:left w:val="nil"/>
              <w:bottom w:val="single" w:sz="6" w:space="0" w:color="auto"/>
              <w:right w:val="single" w:sz="18" w:space="0" w:color="auto"/>
            </w:tcBorders>
            <w:vAlign w:val="center"/>
          </w:tcPr>
          <w:p w14:paraId="610E2DCF" w14:textId="77777777" w:rsidR="006237DE" w:rsidRPr="006237DE" w:rsidRDefault="006237DE" w:rsidP="006237DE">
            <w:pPr>
              <w:pStyle w:val="Descripcin"/>
              <w:keepNext/>
              <w:spacing w:after="0"/>
              <w:jc w:val="center"/>
              <w:rPr>
                <w:rFonts w:cstheme="minorHAnsi"/>
                <w:b w:val="0"/>
                <w:i/>
                <w:color w:val="auto"/>
                <w:sz w:val="20"/>
                <w:szCs w:val="20"/>
                <w:lang w:val="es-MX"/>
              </w:rPr>
            </w:pPr>
            <w:r w:rsidRPr="006237DE">
              <w:rPr>
                <w:rFonts w:cstheme="minorHAnsi"/>
                <w:i/>
                <w:color w:val="000000"/>
                <w:sz w:val="20"/>
                <w:szCs w:val="20"/>
              </w:rPr>
              <w:t>37</w:t>
            </w:r>
          </w:p>
        </w:tc>
        <w:tc>
          <w:tcPr>
            <w:tcW w:w="664" w:type="dxa"/>
            <w:tcBorders>
              <w:top w:val="single" w:sz="6" w:space="0" w:color="auto"/>
              <w:left w:val="single" w:sz="18" w:space="0" w:color="auto"/>
              <w:bottom w:val="single" w:sz="6" w:space="0" w:color="auto"/>
              <w:right w:val="nil"/>
            </w:tcBorders>
            <w:vAlign w:val="center"/>
          </w:tcPr>
          <w:p w14:paraId="363493D4" w14:textId="393BFB42" w:rsidR="006237DE" w:rsidRPr="006237DE" w:rsidRDefault="006237DE" w:rsidP="006237DE">
            <w:pPr>
              <w:pStyle w:val="Descripcin"/>
              <w:keepNext/>
              <w:spacing w:after="0"/>
              <w:jc w:val="center"/>
              <w:rPr>
                <w:rFonts w:cstheme="minorHAnsi"/>
                <w:b w:val="0"/>
                <w:color w:val="000000"/>
                <w:sz w:val="20"/>
                <w:szCs w:val="20"/>
              </w:rPr>
            </w:pPr>
            <w:r>
              <w:rPr>
                <w:rFonts w:cstheme="minorHAnsi"/>
                <w:b w:val="0"/>
                <w:color w:val="000000"/>
                <w:sz w:val="20"/>
                <w:szCs w:val="20"/>
              </w:rPr>
              <w:t>383</w:t>
            </w:r>
          </w:p>
        </w:tc>
        <w:tc>
          <w:tcPr>
            <w:tcW w:w="666" w:type="dxa"/>
            <w:tcBorders>
              <w:top w:val="single" w:sz="6" w:space="0" w:color="auto"/>
              <w:left w:val="nil"/>
              <w:bottom w:val="single" w:sz="6" w:space="0" w:color="auto"/>
              <w:right w:val="nil"/>
            </w:tcBorders>
            <w:vAlign w:val="center"/>
          </w:tcPr>
          <w:p w14:paraId="22280FAC" w14:textId="4D22E88B" w:rsidR="006237DE" w:rsidRPr="006237DE" w:rsidRDefault="006237DE" w:rsidP="006237DE">
            <w:pPr>
              <w:pStyle w:val="Descripcin"/>
              <w:keepNext/>
              <w:spacing w:after="0"/>
              <w:jc w:val="center"/>
              <w:rPr>
                <w:rFonts w:cstheme="minorHAnsi"/>
                <w:b w:val="0"/>
                <w:color w:val="000000"/>
                <w:sz w:val="20"/>
                <w:szCs w:val="20"/>
              </w:rPr>
            </w:pPr>
            <w:r>
              <w:rPr>
                <w:rFonts w:cstheme="minorHAnsi"/>
                <w:b w:val="0"/>
                <w:color w:val="000000"/>
                <w:sz w:val="20"/>
                <w:szCs w:val="20"/>
              </w:rPr>
              <w:t>398</w:t>
            </w:r>
          </w:p>
        </w:tc>
        <w:tc>
          <w:tcPr>
            <w:tcW w:w="667" w:type="dxa"/>
            <w:tcBorders>
              <w:top w:val="single" w:sz="6" w:space="0" w:color="auto"/>
              <w:left w:val="nil"/>
              <w:bottom w:val="single" w:sz="6" w:space="0" w:color="auto"/>
            </w:tcBorders>
            <w:vAlign w:val="center"/>
          </w:tcPr>
          <w:p w14:paraId="7C9B7960" w14:textId="4F4006F8" w:rsidR="006237DE" w:rsidRPr="006237DE" w:rsidRDefault="006237DE" w:rsidP="006237DE">
            <w:pPr>
              <w:pStyle w:val="Descripcin"/>
              <w:keepNext/>
              <w:spacing w:after="0"/>
              <w:jc w:val="center"/>
              <w:rPr>
                <w:rFonts w:cstheme="minorHAnsi"/>
                <w:b w:val="0"/>
                <w:i/>
                <w:color w:val="000000"/>
                <w:sz w:val="20"/>
                <w:szCs w:val="20"/>
              </w:rPr>
            </w:pPr>
            <w:r w:rsidRPr="006237DE">
              <w:rPr>
                <w:rFonts w:cstheme="minorHAnsi"/>
                <w:i/>
                <w:color w:val="000000"/>
                <w:sz w:val="20"/>
                <w:szCs w:val="20"/>
              </w:rPr>
              <w:t>15</w:t>
            </w:r>
          </w:p>
        </w:tc>
        <w:tc>
          <w:tcPr>
            <w:tcW w:w="667" w:type="dxa"/>
            <w:tcBorders>
              <w:top w:val="single" w:sz="6" w:space="0" w:color="auto"/>
              <w:bottom w:val="single" w:sz="6" w:space="0" w:color="auto"/>
              <w:right w:val="nil"/>
            </w:tcBorders>
            <w:vAlign w:val="center"/>
          </w:tcPr>
          <w:p w14:paraId="5B925E9B" w14:textId="47EFC84B" w:rsidR="006237DE" w:rsidRPr="006237DE" w:rsidRDefault="006237DE" w:rsidP="006237DE">
            <w:pPr>
              <w:pStyle w:val="Descripcin"/>
              <w:keepNext/>
              <w:spacing w:after="0"/>
              <w:jc w:val="center"/>
              <w:rPr>
                <w:rFonts w:cstheme="minorHAnsi"/>
                <w:b w:val="0"/>
                <w:color w:val="000000"/>
                <w:sz w:val="20"/>
                <w:szCs w:val="20"/>
              </w:rPr>
            </w:pPr>
            <w:r>
              <w:rPr>
                <w:rFonts w:cstheme="minorHAnsi"/>
                <w:b w:val="0"/>
                <w:color w:val="000000"/>
                <w:sz w:val="20"/>
                <w:szCs w:val="20"/>
              </w:rPr>
              <w:t>371</w:t>
            </w:r>
          </w:p>
        </w:tc>
        <w:tc>
          <w:tcPr>
            <w:tcW w:w="667" w:type="dxa"/>
            <w:tcBorders>
              <w:top w:val="single" w:sz="6" w:space="0" w:color="auto"/>
              <w:left w:val="nil"/>
              <w:bottom w:val="single" w:sz="6" w:space="0" w:color="auto"/>
              <w:right w:val="nil"/>
            </w:tcBorders>
            <w:vAlign w:val="center"/>
          </w:tcPr>
          <w:p w14:paraId="435F4DA9" w14:textId="54E3C8D3" w:rsidR="006237DE" w:rsidRPr="006237DE" w:rsidRDefault="006237DE" w:rsidP="006237DE">
            <w:pPr>
              <w:pStyle w:val="Descripcin"/>
              <w:keepNext/>
              <w:spacing w:after="0"/>
              <w:jc w:val="center"/>
              <w:rPr>
                <w:rFonts w:cstheme="minorHAnsi"/>
                <w:b w:val="0"/>
                <w:color w:val="000000"/>
                <w:sz w:val="20"/>
                <w:szCs w:val="20"/>
              </w:rPr>
            </w:pPr>
            <w:r>
              <w:rPr>
                <w:rFonts w:cstheme="minorHAnsi"/>
                <w:b w:val="0"/>
                <w:color w:val="000000"/>
                <w:sz w:val="20"/>
                <w:szCs w:val="20"/>
              </w:rPr>
              <w:t>390</w:t>
            </w:r>
          </w:p>
        </w:tc>
        <w:tc>
          <w:tcPr>
            <w:tcW w:w="667" w:type="dxa"/>
            <w:tcBorders>
              <w:top w:val="single" w:sz="6" w:space="0" w:color="auto"/>
              <w:left w:val="nil"/>
              <w:bottom w:val="single" w:sz="6" w:space="0" w:color="auto"/>
              <w:right w:val="single" w:sz="18" w:space="0" w:color="auto"/>
            </w:tcBorders>
            <w:vAlign w:val="center"/>
          </w:tcPr>
          <w:p w14:paraId="4F19C2CB" w14:textId="419C2FDA" w:rsidR="006237DE" w:rsidRPr="006237DE" w:rsidRDefault="006237DE" w:rsidP="006237DE">
            <w:pPr>
              <w:pStyle w:val="Descripcin"/>
              <w:keepNext/>
              <w:spacing w:after="0"/>
              <w:jc w:val="center"/>
              <w:rPr>
                <w:rFonts w:cstheme="minorHAnsi"/>
                <w:i/>
                <w:color w:val="000000"/>
                <w:sz w:val="20"/>
                <w:szCs w:val="20"/>
              </w:rPr>
            </w:pPr>
            <w:r w:rsidRPr="006237DE">
              <w:rPr>
                <w:rFonts w:cstheme="minorHAnsi"/>
                <w:i/>
                <w:color w:val="000000"/>
                <w:sz w:val="20"/>
                <w:szCs w:val="20"/>
              </w:rPr>
              <w:t>19</w:t>
            </w:r>
          </w:p>
        </w:tc>
      </w:tr>
      <w:tr w:rsidR="006237DE" w:rsidRPr="00383304" w14:paraId="3CD5EC02" w14:textId="2A52BC11" w:rsidTr="00A65DD4">
        <w:trPr>
          <w:trHeight w:val="300"/>
          <w:jc w:val="center"/>
        </w:trPr>
        <w:tc>
          <w:tcPr>
            <w:tcW w:w="1129" w:type="dxa"/>
            <w:tcBorders>
              <w:left w:val="single" w:sz="18" w:space="0" w:color="auto"/>
              <w:bottom w:val="single" w:sz="18" w:space="0" w:color="auto"/>
              <w:right w:val="single" w:sz="18" w:space="0" w:color="auto"/>
            </w:tcBorders>
            <w:shd w:val="clear" w:color="auto" w:fill="auto"/>
            <w:noWrap/>
            <w:vAlign w:val="center"/>
            <w:hideMark/>
          </w:tcPr>
          <w:p w14:paraId="3F667BC8" w14:textId="77777777" w:rsidR="006237DE" w:rsidRPr="00383304" w:rsidRDefault="006237DE" w:rsidP="006237DE">
            <w:pPr>
              <w:pStyle w:val="Descripcin"/>
              <w:keepNext/>
              <w:spacing w:after="0"/>
              <w:jc w:val="center"/>
              <w:rPr>
                <w:rFonts w:cstheme="minorHAnsi"/>
                <w:b w:val="0"/>
                <w:color w:val="auto"/>
                <w:sz w:val="22"/>
                <w:szCs w:val="22"/>
                <w:lang w:val="es-MX"/>
              </w:rPr>
            </w:pPr>
            <w:r w:rsidRPr="00383304">
              <w:rPr>
                <w:rFonts w:cstheme="minorHAnsi"/>
                <w:b w:val="0"/>
                <w:color w:val="auto"/>
                <w:sz w:val="22"/>
                <w:szCs w:val="22"/>
                <w:lang w:val="es-MX"/>
              </w:rPr>
              <w:t>Uruguay</w:t>
            </w:r>
          </w:p>
        </w:tc>
        <w:tc>
          <w:tcPr>
            <w:tcW w:w="611" w:type="dxa"/>
            <w:tcBorders>
              <w:top w:val="single" w:sz="6" w:space="0" w:color="auto"/>
              <w:left w:val="single" w:sz="18" w:space="0" w:color="auto"/>
              <w:bottom w:val="single" w:sz="18" w:space="0" w:color="auto"/>
              <w:right w:val="nil"/>
            </w:tcBorders>
            <w:shd w:val="clear" w:color="auto" w:fill="auto"/>
            <w:noWrap/>
            <w:vAlign w:val="center"/>
            <w:hideMark/>
          </w:tcPr>
          <w:p w14:paraId="59A78863" w14:textId="77777777" w:rsidR="006237DE" w:rsidRPr="006237DE" w:rsidRDefault="006237DE" w:rsidP="006237DE">
            <w:pPr>
              <w:pStyle w:val="Descripcin"/>
              <w:keepNext/>
              <w:spacing w:after="0"/>
              <w:jc w:val="center"/>
              <w:rPr>
                <w:rFonts w:cstheme="minorHAnsi"/>
                <w:b w:val="0"/>
                <w:color w:val="auto"/>
                <w:sz w:val="20"/>
                <w:szCs w:val="20"/>
                <w:lang w:val="es-MX"/>
              </w:rPr>
            </w:pPr>
            <w:r w:rsidRPr="006237DE">
              <w:rPr>
                <w:rFonts w:cstheme="minorHAnsi"/>
                <w:b w:val="0"/>
                <w:color w:val="auto"/>
                <w:sz w:val="20"/>
                <w:szCs w:val="20"/>
                <w:lang w:val="es-MX"/>
              </w:rPr>
              <w:t>542</w:t>
            </w:r>
          </w:p>
        </w:tc>
        <w:tc>
          <w:tcPr>
            <w:tcW w:w="587" w:type="dxa"/>
            <w:tcBorders>
              <w:top w:val="single" w:sz="6" w:space="0" w:color="auto"/>
              <w:left w:val="nil"/>
              <w:bottom w:val="single" w:sz="18" w:space="0" w:color="auto"/>
              <w:right w:val="nil"/>
            </w:tcBorders>
            <w:shd w:val="clear" w:color="auto" w:fill="auto"/>
            <w:noWrap/>
            <w:vAlign w:val="center"/>
            <w:hideMark/>
          </w:tcPr>
          <w:p w14:paraId="0B282AEA" w14:textId="77777777" w:rsidR="006237DE" w:rsidRPr="006237DE" w:rsidRDefault="006237DE" w:rsidP="006237DE">
            <w:pPr>
              <w:pStyle w:val="Descripcin"/>
              <w:keepNext/>
              <w:spacing w:after="0"/>
              <w:jc w:val="center"/>
              <w:rPr>
                <w:rFonts w:cstheme="minorHAnsi"/>
                <w:b w:val="0"/>
                <w:color w:val="auto"/>
                <w:sz w:val="20"/>
                <w:szCs w:val="20"/>
                <w:lang w:val="es-MX"/>
              </w:rPr>
            </w:pPr>
            <w:r w:rsidRPr="006237DE">
              <w:rPr>
                <w:rFonts w:cstheme="minorHAnsi"/>
                <w:b w:val="0"/>
                <w:color w:val="auto"/>
                <w:sz w:val="20"/>
                <w:szCs w:val="20"/>
                <w:lang w:val="es-MX"/>
              </w:rPr>
              <w:t>532</w:t>
            </w:r>
          </w:p>
        </w:tc>
        <w:tc>
          <w:tcPr>
            <w:tcW w:w="547" w:type="dxa"/>
            <w:tcBorders>
              <w:top w:val="single" w:sz="6" w:space="0" w:color="auto"/>
              <w:left w:val="nil"/>
              <w:bottom w:val="single" w:sz="18" w:space="0" w:color="auto"/>
            </w:tcBorders>
            <w:vAlign w:val="center"/>
          </w:tcPr>
          <w:p w14:paraId="1F030A88" w14:textId="77777777" w:rsidR="006237DE" w:rsidRPr="006237DE" w:rsidRDefault="006237DE" w:rsidP="006237DE">
            <w:pPr>
              <w:pStyle w:val="Descripcin"/>
              <w:keepNext/>
              <w:spacing w:after="0"/>
              <w:jc w:val="center"/>
              <w:rPr>
                <w:rFonts w:cstheme="minorHAnsi"/>
                <w:b w:val="0"/>
                <w:i/>
                <w:color w:val="auto"/>
                <w:sz w:val="20"/>
                <w:szCs w:val="20"/>
                <w:lang w:val="es-MX"/>
              </w:rPr>
            </w:pPr>
            <w:r w:rsidRPr="006237DE">
              <w:rPr>
                <w:rFonts w:cstheme="minorHAnsi"/>
                <w:b w:val="0"/>
                <w:i/>
                <w:color w:val="000000"/>
                <w:sz w:val="20"/>
                <w:szCs w:val="20"/>
              </w:rPr>
              <w:t>-10</w:t>
            </w:r>
          </w:p>
        </w:tc>
        <w:tc>
          <w:tcPr>
            <w:tcW w:w="587" w:type="dxa"/>
            <w:tcBorders>
              <w:top w:val="single" w:sz="6" w:space="0" w:color="auto"/>
              <w:bottom w:val="single" w:sz="18" w:space="0" w:color="auto"/>
              <w:right w:val="nil"/>
            </w:tcBorders>
            <w:shd w:val="clear" w:color="auto" w:fill="auto"/>
            <w:noWrap/>
            <w:vAlign w:val="center"/>
            <w:hideMark/>
          </w:tcPr>
          <w:p w14:paraId="52B7CDBC" w14:textId="77777777" w:rsidR="006237DE" w:rsidRPr="006237DE" w:rsidRDefault="006237DE" w:rsidP="006237DE">
            <w:pPr>
              <w:pStyle w:val="Descripcin"/>
              <w:keepNext/>
              <w:spacing w:after="0"/>
              <w:jc w:val="center"/>
              <w:rPr>
                <w:rFonts w:cstheme="minorHAnsi"/>
                <w:b w:val="0"/>
                <w:i/>
                <w:color w:val="auto"/>
                <w:sz w:val="20"/>
                <w:szCs w:val="20"/>
                <w:lang w:val="es-MX"/>
              </w:rPr>
            </w:pPr>
            <w:r w:rsidRPr="006237DE">
              <w:rPr>
                <w:rFonts w:cstheme="minorHAnsi"/>
                <w:b w:val="0"/>
                <w:i/>
                <w:color w:val="auto"/>
                <w:sz w:val="20"/>
                <w:szCs w:val="20"/>
                <w:lang w:val="es-MX"/>
              </w:rPr>
              <w:t>578</w:t>
            </w:r>
          </w:p>
        </w:tc>
        <w:tc>
          <w:tcPr>
            <w:tcW w:w="587" w:type="dxa"/>
            <w:tcBorders>
              <w:top w:val="single" w:sz="6" w:space="0" w:color="auto"/>
              <w:left w:val="nil"/>
              <w:bottom w:val="single" w:sz="18" w:space="0" w:color="auto"/>
              <w:right w:val="nil"/>
            </w:tcBorders>
            <w:shd w:val="clear" w:color="auto" w:fill="auto"/>
            <w:noWrap/>
            <w:vAlign w:val="center"/>
            <w:hideMark/>
          </w:tcPr>
          <w:p w14:paraId="705C8654" w14:textId="77777777" w:rsidR="006237DE" w:rsidRPr="006237DE" w:rsidRDefault="006237DE" w:rsidP="006237DE">
            <w:pPr>
              <w:pStyle w:val="Descripcin"/>
              <w:keepNext/>
              <w:spacing w:after="0"/>
              <w:jc w:val="center"/>
              <w:rPr>
                <w:rFonts w:cstheme="minorHAnsi"/>
                <w:b w:val="0"/>
                <w:color w:val="auto"/>
                <w:sz w:val="20"/>
                <w:szCs w:val="20"/>
                <w:lang w:val="es-MX"/>
              </w:rPr>
            </w:pPr>
            <w:r w:rsidRPr="006237DE">
              <w:rPr>
                <w:rFonts w:cstheme="minorHAnsi"/>
                <w:b w:val="0"/>
                <w:color w:val="auto"/>
                <w:sz w:val="20"/>
                <w:szCs w:val="20"/>
                <w:lang w:val="es-MX"/>
              </w:rPr>
              <w:t>567</w:t>
            </w:r>
          </w:p>
        </w:tc>
        <w:tc>
          <w:tcPr>
            <w:tcW w:w="448" w:type="dxa"/>
            <w:tcBorders>
              <w:top w:val="single" w:sz="6" w:space="0" w:color="auto"/>
              <w:left w:val="nil"/>
              <w:bottom w:val="single" w:sz="18" w:space="0" w:color="auto"/>
              <w:right w:val="single" w:sz="18" w:space="0" w:color="auto"/>
            </w:tcBorders>
            <w:vAlign w:val="center"/>
          </w:tcPr>
          <w:p w14:paraId="289A26F9" w14:textId="77777777" w:rsidR="006237DE" w:rsidRPr="006237DE" w:rsidRDefault="006237DE" w:rsidP="006237DE">
            <w:pPr>
              <w:pStyle w:val="Descripcin"/>
              <w:keepNext/>
              <w:spacing w:after="0"/>
              <w:jc w:val="center"/>
              <w:rPr>
                <w:rFonts w:cstheme="minorHAnsi"/>
                <w:b w:val="0"/>
                <w:i/>
                <w:color w:val="auto"/>
                <w:sz w:val="20"/>
                <w:szCs w:val="20"/>
                <w:lang w:val="es-MX"/>
              </w:rPr>
            </w:pPr>
            <w:r w:rsidRPr="006237DE">
              <w:rPr>
                <w:rFonts w:cstheme="minorHAnsi"/>
                <w:b w:val="0"/>
                <w:i/>
                <w:color w:val="000000"/>
                <w:sz w:val="20"/>
                <w:szCs w:val="20"/>
              </w:rPr>
              <w:t>-12</w:t>
            </w:r>
          </w:p>
        </w:tc>
        <w:tc>
          <w:tcPr>
            <w:tcW w:w="664" w:type="dxa"/>
            <w:tcBorders>
              <w:top w:val="single" w:sz="6" w:space="0" w:color="auto"/>
              <w:left w:val="single" w:sz="18" w:space="0" w:color="auto"/>
              <w:bottom w:val="single" w:sz="18" w:space="0" w:color="auto"/>
              <w:right w:val="nil"/>
            </w:tcBorders>
            <w:vAlign w:val="center"/>
          </w:tcPr>
          <w:p w14:paraId="24C569D4" w14:textId="1FE498F0" w:rsidR="006237DE" w:rsidRPr="006237DE" w:rsidRDefault="006237DE" w:rsidP="006237DE">
            <w:pPr>
              <w:pStyle w:val="Descripcin"/>
              <w:keepNext/>
              <w:spacing w:after="0"/>
              <w:jc w:val="center"/>
              <w:rPr>
                <w:rFonts w:cstheme="minorHAnsi"/>
                <w:b w:val="0"/>
                <w:color w:val="000000"/>
                <w:sz w:val="20"/>
                <w:szCs w:val="20"/>
              </w:rPr>
            </w:pPr>
            <w:r>
              <w:rPr>
                <w:rFonts w:cstheme="minorHAnsi"/>
                <w:b w:val="0"/>
                <w:color w:val="000000"/>
                <w:sz w:val="20"/>
                <w:szCs w:val="20"/>
              </w:rPr>
              <w:t>427</w:t>
            </w:r>
          </w:p>
        </w:tc>
        <w:tc>
          <w:tcPr>
            <w:tcW w:w="666" w:type="dxa"/>
            <w:tcBorders>
              <w:top w:val="single" w:sz="6" w:space="0" w:color="auto"/>
              <w:left w:val="nil"/>
              <w:bottom w:val="single" w:sz="18" w:space="0" w:color="auto"/>
              <w:right w:val="nil"/>
            </w:tcBorders>
            <w:vAlign w:val="center"/>
          </w:tcPr>
          <w:p w14:paraId="47F55982" w14:textId="1FCBE164" w:rsidR="006237DE" w:rsidRPr="006237DE" w:rsidRDefault="006237DE" w:rsidP="006237DE">
            <w:pPr>
              <w:pStyle w:val="Descripcin"/>
              <w:keepNext/>
              <w:spacing w:after="0"/>
              <w:jc w:val="center"/>
              <w:rPr>
                <w:rFonts w:cstheme="minorHAnsi"/>
                <w:b w:val="0"/>
                <w:color w:val="000000"/>
                <w:sz w:val="20"/>
                <w:szCs w:val="20"/>
              </w:rPr>
            </w:pPr>
            <w:r>
              <w:rPr>
                <w:rFonts w:cstheme="minorHAnsi"/>
                <w:b w:val="0"/>
                <w:color w:val="000000"/>
                <w:sz w:val="20"/>
                <w:szCs w:val="20"/>
              </w:rPr>
              <w:t>437</w:t>
            </w:r>
          </w:p>
        </w:tc>
        <w:tc>
          <w:tcPr>
            <w:tcW w:w="667" w:type="dxa"/>
            <w:tcBorders>
              <w:top w:val="single" w:sz="6" w:space="0" w:color="auto"/>
              <w:left w:val="nil"/>
              <w:bottom w:val="single" w:sz="18" w:space="0" w:color="auto"/>
            </w:tcBorders>
            <w:vAlign w:val="center"/>
          </w:tcPr>
          <w:p w14:paraId="6A63A5B4" w14:textId="6B9287A0" w:rsidR="006237DE" w:rsidRPr="006237DE" w:rsidRDefault="006237DE" w:rsidP="006237DE">
            <w:pPr>
              <w:pStyle w:val="Descripcin"/>
              <w:keepNext/>
              <w:spacing w:after="0"/>
              <w:jc w:val="center"/>
              <w:rPr>
                <w:rFonts w:cstheme="minorHAnsi"/>
                <w:b w:val="0"/>
                <w:i/>
                <w:color w:val="000000"/>
                <w:sz w:val="20"/>
                <w:szCs w:val="20"/>
              </w:rPr>
            </w:pPr>
            <w:r w:rsidRPr="006237DE">
              <w:rPr>
                <w:rFonts w:cstheme="minorHAnsi"/>
                <w:b w:val="0"/>
                <w:i/>
                <w:color w:val="000000"/>
                <w:sz w:val="20"/>
                <w:szCs w:val="20"/>
              </w:rPr>
              <w:t>10</w:t>
            </w:r>
          </w:p>
        </w:tc>
        <w:tc>
          <w:tcPr>
            <w:tcW w:w="667" w:type="dxa"/>
            <w:tcBorders>
              <w:top w:val="single" w:sz="6" w:space="0" w:color="auto"/>
              <w:bottom w:val="single" w:sz="18" w:space="0" w:color="auto"/>
              <w:right w:val="nil"/>
            </w:tcBorders>
            <w:vAlign w:val="center"/>
          </w:tcPr>
          <w:p w14:paraId="6CD5EEAD" w14:textId="6F69FE35" w:rsidR="006237DE" w:rsidRPr="006237DE" w:rsidRDefault="006237DE" w:rsidP="006237DE">
            <w:pPr>
              <w:pStyle w:val="Descripcin"/>
              <w:keepNext/>
              <w:spacing w:after="0"/>
              <w:jc w:val="center"/>
              <w:rPr>
                <w:rFonts w:cstheme="minorHAnsi"/>
                <w:b w:val="0"/>
                <w:color w:val="000000"/>
                <w:sz w:val="20"/>
                <w:szCs w:val="20"/>
              </w:rPr>
            </w:pPr>
            <w:r>
              <w:rPr>
                <w:rFonts w:cstheme="minorHAnsi"/>
                <w:b w:val="0"/>
                <w:color w:val="000000"/>
                <w:sz w:val="20"/>
                <w:szCs w:val="20"/>
              </w:rPr>
              <w:t>437</w:t>
            </w:r>
          </w:p>
        </w:tc>
        <w:tc>
          <w:tcPr>
            <w:tcW w:w="667" w:type="dxa"/>
            <w:tcBorders>
              <w:top w:val="single" w:sz="6" w:space="0" w:color="auto"/>
              <w:left w:val="nil"/>
              <w:bottom w:val="single" w:sz="18" w:space="0" w:color="auto"/>
              <w:right w:val="nil"/>
            </w:tcBorders>
            <w:vAlign w:val="center"/>
          </w:tcPr>
          <w:p w14:paraId="59204884" w14:textId="504A2579" w:rsidR="006237DE" w:rsidRPr="006237DE" w:rsidRDefault="006237DE" w:rsidP="006237DE">
            <w:pPr>
              <w:pStyle w:val="Descripcin"/>
              <w:keepNext/>
              <w:spacing w:after="0"/>
              <w:jc w:val="center"/>
              <w:rPr>
                <w:rFonts w:cstheme="minorHAnsi"/>
                <w:b w:val="0"/>
                <w:color w:val="000000"/>
                <w:sz w:val="20"/>
                <w:szCs w:val="20"/>
              </w:rPr>
            </w:pPr>
            <w:r>
              <w:rPr>
                <w:rFonts w:cstheme="minorHAnsi"/>
                <w:b w:val="0"/>
                <w:color w:val="000000"/>
                <w:sz w:val="20"/>
                <w:szCs w:val="20"/>
              </w:rPr>
              <w:t>418</w:t>
            </w:r>
          </w:p>
        </w:tc>
        <w:tc>
          <w:tcPr>
            <w:tcW w:w="667" w:type="dxa"/>
            <w:tcBorders>
              <w:top w:val="single" w:sz="6" w:space="0" w:color="auto"/>
              <w:left w:val="nil"/>
              <w:bottom w:val="single" w:sz="18" w:space="0" w:color="auto"/>
              <w:right w:val="single" w:sz="18" w:space="0" w:color="auto"/>
            </w:tcBorders>
            <w:vAlign w:val="center"/>
          </w:tcPr>
          <w:p w14:paraId="4305953E" w14:textId="2F25EA58" w:rsidR="006237DE" w:rsidRPr="006237DE" w:rsidRDefault="006237DE" w:rsidP="006237DE">
            <w:pPr>
              <w:pStyle w:val="Descripcin"/>
              <w:keepNext/>
              <w:spacing w:after="0"/>
              <w:jc w:val="center"/>
              <w:rPr>
                <w:rFonts w:cstheme="minorHAnsi"/>
                <w:i/>
                <w:color w:val="000000"/>
                <w:sz w:val="20"/>
                <w:szCs w:val="20"/>
              </w:rPr>
            </w:pPr>
            <w:r w:rsidRPr="006237DE">
              <w:rPr>
                <w:rFonts w:cstheme="minorHAnsi"/>
                <w:i/>
                <w:color w:val="000000"/>
                <w:sz w:val="20"/>
                <w:szCs w:val="20"/>
              </w:rPr>
              <w:t>-19</w:t>
            </w:r>
          </w:p>
        </w:tc>
      </w:tr>
    </w:tbl>
    <w:p w14:paraId="75CBE27D" w14:textId="26D69166" w:rsidR="007B386A" w:rsidRDefault="007B386A" w:rsidP="007B386A">
      <w:pPr>
        <w:spacing w:line="240" w:lineRule="auto"/>
        <w:jc w:val="both"/>
        <w:rPr>
          <w:rFonts w:eastAsia="Calibri" w:cstheme="minorHAnsi"/>
          <w:lang w:val="es-MX"/>
        </w:rPr>
      </w:pPr>
      <w:r w:rsidRPr="00383304">
        <w:rPr>
          <w:rFonts w:eastAsia="Calibri" w:cstheme="minorHAnsi"/>
          <w:lang w:val="es-MX"/>
        </w:rPr>
        <w:t>Las diferencias que son estadísticamente significativas</w:t>
      </w:r>
      <w:r w:rsidR="00BE3137">
        <w:rPr>
          <w:rFonts w:eastAsia="Calibri" w:cstheme="minorHAnsi"/>
          <w:lang w:val="es-MX"/>
        </w:rPr>
        <w:t xml:space="preserve">, considerando un nivel de </w:t>
      </w:r>
      <w:r w:rsidR="009F2729">
        <w:rPr>
          <w:rFonts w:eastAsia="Calibri" w:cstheme="minorHAnsi"/>
          <w:lang w:val="es-MX"/>
        </w:rPr>
        <w:t xml:space="preserve">significación </w:t>
      </w:r>
      <w:r w:rsidR="00BE3137">
        <w:rPr>
          <w:rFonts w:eastAsia="Calibri" w:cstheme="minorHAnsi"/>
          <w:lang w:val="es-MX"/>
        </w:rPr>
        <w:t>de 0,05,</w:t>
      </w:r>
      <w:r w:rsidRPr="00383304">
        <w:rPr>
          <w:rFonts w:eastAsia="Calibri" w:cstheme="minorHAnsi"/>
          <w:lang w:val="es-MX"/>
        </w:rPr>
        <w:t xml:space="preserve"> aparecen en negrita.</w:t>
      </w:r>
    </w:p>
    <w:p w14:paraId="608A89F3" w14:textId="47713AF2" w:rsidR="006237DE" w:rsidRDefault="006237DE" w:rsidP="006237DE">
      <w:r>
        <w:rPr>
          <w:noProof/>
          <w:lang w:val="es-ES" w:eastAsia="es-ES"/>
        </w:rPr>
        <mc:AlternateContent>
          <mc:Choice Requires="wps">
            <w:drawing>
              <wp:anchor distT="0" distB="0" distL="114300" distR="114300" simplePos="0" relativeHeight="251659264" behindDoc="0" locked="0" layoutInCell="1" allowOverlap="1" wp14:anchorId="0DA2C6C6" wp14:editId="22C700AA">
                <wp:simplePos x="0" y="0"/>
                <wp:positionH relativeFrom="column">
                  <wp:posOffset>81280</wp:posOffset>
                </wp:positionH>
                <wp:positionV relativeFrom="paragraph">
                  <wp:posOffset>276860</wp:posOffset>
                </wp:positionV>
                <wp:extent cx="50800" cy="0"/>
                <wp:effectExtent l="0" t="0" r="0" b="0"/>
                <wp:wrapNone/>
                <wp:docPr id="164" name="Conector recto 164"/>
                <wp:cNvGraphicFramePr/>
                <a:graphic xmlns:a="http://schemas.openxmlformats.org/drawingml/2006/main">
                  <a:graphicData uri="http://schemas.microsoft.com/office/word/2010/wordprocessingShape">
                    <wps:wsp>
                      <wps:cNvCnPr/>
                      <wps:spPr>
                        <a:xfrm>
                          <a:off x="0" y="0"/>
                          <a:ext cx="50165"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F74EA0A" id="Conector recto 16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21.8pt" to="10.4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" stroked="f" strokeweight=".5pt">
                <v:stroke joinstyle="miter"/>
              </v:line>
            </w:pict>
          </mc:Fallback>
        </mc:AlternateContent>
      </w:r>
      <w:r>
        <w:t>* Los resultados de Argentina de PISA corresponden al período 2006 – 2012, debido a la baja cantidad de estudiantes representados en la muestra de 2015</w:t>
      </w:r>
    </w:p>
    <w:p w14:paraId="3DDB1482" w14:textId="48F1278F" w:rsidR="006237DE" w:rsidRDefault="006237DE" w:rsidP="006237DE">
      <w:r>
        <w:rPr>
          <w:noProof/>
          <w:lang w:val="es-ES" w:eastAsia="es-ES"/>
        </w:rPr>
        <mc:AlternateContent>
          <mc:Choice Requires="wps">
            <w:drawing>
              <wp:anchor distT="0" distB="0" distL="114300" distR="114300" simplePos="0" relativeHeight="251658240" behindDoc="0" locked="0" layoutInCell="1" allowOverlap="1" wp14:anchorId="38B05A72" wp14:editId="3311B247">
                <wp:simplePos x="0" y="0"/>
                <wp:positionH relativeFrom="column">
                  <wp:posOffset>81280</wp:posOffset>
                </wp:positionH>
                <wp:positionV relativeFrom="paragraph">
                  <wp:posOffset>276860</wp:posOffset>
                </wp:positionV>
                <wp:extent cx="50800" cy="0"/>
                <wp:effectExtent l="0" t="0" r="0" b="0"/>
                <wp:wrapNone/>
                <wp:docPr id="165" name="Conector recto 165"/>
                <wp:cNvGraphicFramePr/>
                <a:graphic xmlns:a="http://schemas.openxmlformats.org/drawingml/2006/main">
                  <a:graphicData uri="http://schemas.microsoft.com/office/word/2010/wordprocessingShape">
                    <wps:wsp>
                      <wps:cNvCnPr/>
                      <wps:spPr>
                        <a:xfrm>
                          <a:off x="0" y="0"/>
                          <a:ext cx="50165"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312E95" id="Conector recto 16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21.8pt" to="10.4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" stroked="f" strokeweight=".5pt">
                <v:stroke joinstyle="miter"/>
              </v:line>
            </w:pict>
          </mc:Fallback>
        </mc:AlternateContent>
      </w:r>
      <w:r>
        <w:t>** Los resultados de Perú de PISA corresponden al período 2009 – 2015, debido a que el país no participó en la edición 2006.</w:t>
      </w:r>
    </w:p>
    <w:p w14:paraId="1EC86A84" w14:textId="29C2DA21" w:rsidR="009C38B2" w:rsidRDefault="009C38B2" w:rsidP="006237DE">
      <w:r>
        <w:t>*** Grado que corresponde teóricamente a la población de 11 años de edad. Debido a los altos niveles de sobreedad existentes en estos países, también asisten a estos grados estudiantes de edad superior</w:t>
      </w:r>
    </w:p>
    <w:p w14:paraId="29BCC67B" w14:textId="1094CFE6" w:rsidR="007B386A" w:rsidRPr="00383304" w:rsidRDefault="007B386A" w:rsidP="007B386A">
      <w:pPr>
        <w:spacing w:after="0" w:line="480" w:lineRule="auto"/>
        <w:jc w:val="both"/>
        <w:rPr>
          <w:rFonts w:eastAsia="Calibri" w:cstheme="minorHAnsi"/>
          <w:lang w:val="es-MX"/>
        </w:rPr>
      </w:pPr>
      <w:r>
        <w:rPr>
          <w:rFonts w:eastAsia="Calibri" w:cstheme="minorHAnsi"/>
          <w:lang w:val="es-MX"/>
        </w:rPr>
        <w:t>Fuente</w:t>
      </w:r>
      <w:r w:rsidRPr="00383304">
        <w:rPr>
          <w:rFonts w:eastAsia="Calibri" w:cstheme="minorHAnsi"/>
          <w:lang w:val="es-MX"/>
        </w:rPr>
        <w:t xml:space="preserve">: </w:t>
      </w:r>
      <w:r w:rsidRPr="00383304">
        <w:rPr>
          <w:rFonts w:cstheme="minorHAnsi"/>
          <w:lang w:val="es-MX"/>
        </w:rPr>
        <w:t xml:space="preserve">Elaboración propia en base a datos de </w:t>
      </w:r>
      <w:r>
        <w:rPr>
          <w:rFonts w:eastAsia="Calibri" w:cstheme="minorHAnsi"/>
          <w:lang w:val="es-MX"/>
        </w:rPr>
        <w:t>OREALC/UNESCO SERCE Y TERCE</w:t>
      </w:r>
      <w:r w:rsidR="006237DE">
        <w:rPr>
          <w:rFonts w:eastAsia="Calibri" w:cstheme="minorHAnsi"/>
          <w:lang w:val="es-MX"/>
        </w:rPr>
        <w:t xml:space="preserve">, </w:t>
      </w:r>
      <w:r w:rsidR="002F69CC">
        <w:t xml:space="preserve">y </w:t>
      </w:r>
      <w:r w:rsidR="007D53E2">
        <w:t>OECD</w:t>
      </w:r>
      <w:r w:rsidR="002F69CC">
        <w:t>-PISA.</w:t>
      </w:r>
    </w:p>
    <w:p w14:paraId="72638019" w14:textId="4D02D8AD" w:rsidR="007B386A" w:rsidRDefault="007B386A" w:rsidP="007B386A">
      <w:pPr>
        <w:pStyle w:val="Descripcin"/>
        <w:keepNext/>
        <w:jc w:val="both"/>
        <w:rPr>
          <w:rFonts w:cstheme="minorHAnsi"/>
          <w:b w:val="0"/>
          <w:color w:val="auto"/>
          <w:sz w:val="22"/>
          <w:szCs w:val="22"/>
          <w:lang w:val="es-MX"/>
        </w:rPr>
      </w:pPr>
      <w:r w:rsidRPr="00383304">
        <w:rPr>
          <w:rFonts w:cstheme="minorHAnsi"/>
          <w:b w:val="0"/>
          <w:color w:val="auto"/>
          <w:sz w:val="22"/>
          <w:szCs w:val="22"/>
          <w:lang w:val="es-MX"/>
        </w:rPr>
        <w:t xml:space="preserve">Tabla </w:t>
      </w:r>
      <w:r>
        <w:rPr>
          <w:rFonts w:cstheme="minorHAnsi"/>
          <w:b w:val="0"/>
          <w:color w:val="auto"/>
          <w:sz w:val="22"/>
          <w:szCs w:val="22"/>
          <w:lang w:val="es-MX"/>
        </w:rPr>
        <w:t>3</w:t>
      </w:r>
      <w:r w:rsidRPr="00383304">
        <w:rPr>
          <w:rFonts w:cstheme="minorHAnsi"/>
          <w:b w:val="0"/>
          <w:color w:val="auto"/>
          <w:sz w:val="22"/>
          <w:szCs w:val="22"/>
          <w:lang w:val="es-MX"/>
        </w:rPr>
        <w:t xml:space="preserve">: Resultados </w:t>
      </w:r>
      <w:r>
        <w:rPr>
          <w:rFonts w:cstheme="minorHAnsi"/>
          <w:b w:val="0"/>
          <w:color w:val="auto"/>
          <w:sz w:val="22"/>
          <w:szCs w:val="22"/>
          <w:lang w:val="es-MX"/>
        </w:rPr>
        <w:t>de las evaluaciones nacionales</w:t>
      </w:r>
      <w:r w:rsidRPr="00383304">
        <w:rPr>
          <w:rFonts w:cstheme="minorHAnsi"/>
          <w:b w:val="0"/>
          <w:color w:val="auto"/>
          <w:sz w:val="22"/>
          <w:szCs w:val="22"/>
          <w:lang w:val="es-MX"/>
        </w:rPr>
        <w:t>, por área</w:t>
      </w:r>
      <w:r>
        <w:rPr>
          <w:rFonts w:cstheme="minorHAnsi"/>
          <w:b w:val="0"/>
          <w:color w:val="auto"/>
          <w:sz w:val="22"/>
          <w:szCs w:val="22"/>
          <w:lang w:val="es-MX"/>
        </w:rPr>
        <w:t>. Años de estudio seleccionados</w:t>
      </w:r>
      <w:r w:rsidRPr="00383304">
        <w:rPr>
          <w:rFonts w:cstheme="minorHAnsi"/>
          <w:b w:val="0"/>
          <w:color w:val="auto"/>
          <w:sz w:val="22"/>
          <w:szCs w:val="22"/>
          <w:lang w:val="es-MX"/>
        </w:rPr>
        <w:t xml:space="preserve">. Países de América Latina. 2006 </w:t>
      </w:r>
      <w:r>
        <w:rPr>
          <w:rFonts w:cstheme="minorHAnsi"/>
          <w:b w:val="0"/>
          <w:color w:val="auto"/>
          <w:sz w:val="22"/>
          <w:szCs w:val="22"/>
          <w:lang w:val="es-MX"/>
        </w:rPr>
        <w:t>–</w:t>
      </w:r>
      <w:r w:rsidRPr="00383304">
        <w:rPr>
          <w:rFonts w:cstheme="minorHAnsi"/>
          <w:b w:val="0"/>
          <w:color w:val="auto"/>
          <w:sz w:val="22"/>
          <w:szCs w:val="22"/>
          <w:lang w:val="es-MX"/>
        </w:rPr>
        <w:t xml:space="preserve"> 201</w:t>
      </w:r>
      <w:r>
        <w:rPr>
          <w:rFonts w:cstheme="minorHAnsi"/>
          <w:b w:val="0"/>
          <w:color w:val="auto"/>
          <w:sz w:val="22"/>
          <w:szCs w:val="22"/>
          <w:lang w:val="es-MX"/>
        </w:rPr>
        <w:t>5</w:t>
      </w:r>
    </w:p>
    <w:tbl>
      <w:tblPr>
        <w:tblW w:w="7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0"/>
        <w:gridCol w:w="1919"/>
        <w:gridCol w:w="1323"/>
        <w:gridCol w:w="1323"/>
        <w:gridCol w:w="1323"/>
      </w:tblGrid>
      <w:tr w:rsidR="007B386A" w:rsidRPr="00C862FF" w14:paraId="21B5EF91" w14:textId="77777777" w:rsidTr="006237DE">
        <w:trPr>
          <w:trHeight w:val="300"/>
        </w:trPr>
        <w:tc>
          <w:tcPr>
            <w:tcW w:w="3119" w:type="dxa"/>
            <w:gridSpan w:val="2"/>
            <w:vMerge w:val="restart"/>
            <w:shd w:val="clear" w:color="auto" w:fill="auto"/>
            <w:noWrap/>
            <w:vAlign w:val="center"/>
            <w:hideMark/>
          </w:tcPr>
          <w:p w14:paraId="6E363099" w14:textId="013F3314" w:rsidR="007B386A" w:rsidRPr="00C862FF" w:rsidRDefault="007B386A" w:rsidP="006237DE">
            <w:pPr>
              <w:spacing w:after="0" w:line="240" w:lineRule="auto"/>
              <w:rPr>
                <w:rFonts w:ascii="Times New Roman" w:eastAsia="Times New Roman" w:hAnsi="Times New Roman" w:cs="Times New Roman"/>
                <w:b/>
                <w:sz w:val="20"/>
                <w:szCs w:val="20"/>
                <w:lang w:val="es-MX" w:eastAsia="es-MX"/>
              </w:rPr>
            </w:pPr>
            <w:r w:rsidRPr="00C862FF">
              <w:rPr>
                <w:rFonts w:ascii="Calibri" w:eastAsia="Times New Roman" w:hAnsi="Calibri" w:cs="Calibri"/>
                <w:b/>
                <w:color w:val="000000"/>
                <w:lang w:val="es-MX" w:eastAsia="es-MX"/>
              </w:rPr>
              <w:t xml:space="preserve">Argentina </w:t>
            </w:r>
            <w:r w:rsidR="00D244C3">
              <w:rPr>
                <w:rFonts w:ascii="Calibri" w:eastAsia="Times New Roman" w:hAnsi="Calibri" w:cs="Calibri"/>
                <w:b/>
                <w:color w:val="000000"/>
                <w:lang w:val="es-MX" w:eastAsia="es-MX"/>
              </w:rPr>
              <w:t>–</w:t>
            </w:r>
            <w:r w:rsidRPr="00C862FF">
              <w:rPr>
                <w:rFonts w:ascii="Calibri" w:eastAsia="Times New Roman" w:hAnsi="Calibri" w:cs="Calibri"/>
                <w:b/>
                <w:color w:val="000000"/>
                <w:lang w:val="es-MX" w:eastAsia="es-MX"/>
              </w:rPr>
              <w:t xml:space="preserve"> ONE</w:t>
            </w:r>
          </w:p>
        </w:tc>
        <w:tc>
          <w:tcPr>
            <w:tcW w:w="3969" w:type="dxa"/>
            <w:gridSpan w:val="3"/>
            <w:shd w:val="clear" w:color="auto" w:fill="auto"/>
            <w:noWrap/>
            <w:vAlign w:val="bottom"/>
            <w:hideMark/>
          </w:tcPr>
          <w:p w14:paraId="2FF33E9E" w14:textId="77777777" w:rsidR="007B386A" w:rsidRPr="00C862FF" w:rsidRDefault="007B386A" w:rsidP="006237DE">
            <w:pPr>
              <w:spacing w:after="0" w:line="240" w:lineRule="auto"/>
              <w:rPr>
                <w:rFonts w:ascii="Calibri" w:eastAsia="Times New Roman" w:hAnsi="Calibri" w:cs="Calibri"/>
                <w:i/>
                <w:color w:val="000000"/>
                <w:lang w:val="es-MX" w:eastAsia="es-MX"/>
              </w:rPr>
            </w:pPr>
            <w:r w:rsidRPr="00C862FF">
              <w:rPr>
                <w:rFonts w:ascii="Calibri" w:eastAsia="Times New Roman" w:hAnsi="Calibri" w:cs="Calibri"/>
                <w:i/>
                <w:color w:val="000000"/>
                <w:lang w:val="es-MX" w:eastAsia="es-MX"/>
              </w:rPr>
              <w:t>% de estudiantes con logro medios y altos</w:t>
            </w:r>
          </w:p>
        </w:tc>
      </w:tr>
      <w:tr w:rsidR="007B386A" w:rsidRPr="00C862FF" w14:paraId="42E58387" w14:textId="77777777" w:rsidTr="006237DE">
        <w:trPr>
          <w:trHeight w:val="300"/>
        </w:trPr>
        <w:tc>
          <w:tcPr>
            <w:tcW w:w="3119" w:type="dxa"/>
            <w:gridSpan w:val="2"/>
            <w:vMerge/>
            <w:shd w:val="clear" w:color="auto" w:fill="auto"/>
            <w:noWrap/>
            <w:vAlign w:val="bottom"/>
            <w:hideMark/>
          </w:tcPr>
          <w:p w14:paraId="5BB4620B" w14:textId="77777777" w:rsidR="007B386A" w:rsidRPr="00C862FF" w:rsidRDefault="007B386A" w:rsidP="006237DE">
            <w:pPr>
              <w:spacing w:after="0" w:line="240" w:lineRule="auto"/>
              <w:rPr>
                <w:rFonts w:ascii="Calibri" w:eastAsia="Times New Roman" w:hAnsi="Calibri" w:cs="Calibri"/>
                <w:color w:val="000000"/>
                <w:lang w:val="es-MX" w:eastAsia="es-MX"/>
              </w:rPr>
            </w:pPr>
          </w:p>
        </w:tc>
        <w:tc>
          <w:tcPr>
            <w:tcW w:w="1323" w:type="dxa"/>
            <w:shd w:val="clear" w:color="auto" w:fill="auto"/>
            <w:noWrap/>
            <w:vAlign w:val="center"/>
            <w:hideMark/>
          </w:tcPr>
          <w:p w14:paraId="32222E11" w14:textId="77777777" w:rsidR="007B386A" w:rsidRPr="00C862FF" w:rsidRDefault="007B386A" w:rsidP="006237DE">
            <w:pPr>
              <w:spacing w:after="0" w:line="240" w:lineRule="auto"/>
              <w:jc w:val="center"/>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2007</w:t>
            </w:r>
          </w:p>
        </w:tc>
        <w:tc>
          <w:tcPr>
            <w:tcW w:w="1323" w:type="dxa"/>
            <w:shd w:val="clear" w:color="auto" w:fill="auto"/>
            <w:noWrap/>
            <w:vAlign w:val="center"/>
            <w:hideMark/>
          </w:tcPr>
          <w:p w14:paraId="644E157F" w14:textId="77777777" w:rsidR="007B386A" w:rsidRPr="00C862FF" w:rsidRDefault="007B386A" w:rsidP="006237DE">
            <w:pPr>
              <w:spacing w:after="0" w:line="240" w:lineRule="auto"/>
              <w:jc w:val="center"/>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2010</w:t>
            </w:r>
          </w:p>
        </w:tc>
        <w:tc>
          <w:tcPr>
            <w:tcW w:w="1323" w:type="dxa"/>
            <w:shd w:val="clear" w:color="auto" w:fill="auto"/>
            <w:noWrap/>
            <w:vAlign w:val="center"/>
            <w:hideMark/>
          </w:tcPr>
          <w:p w14:paraId="229B8261" w14:textId="77777777" w:rsidR="007B386A" w:rsidRPr="00C862FF" w:rsidRDefault="007B386A" w:rsidP="006237DE">
            <w:pPr>
              <w:spacing w:after="0" w:line="240" w:lineRule="auto"/>
              <w:jc w:val="center"/>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2013</w:t>
            </w:r>
          </w:p>
        </w:tc>
      </w:tr>
      <w:tr w:rsidR="007B386A" w:rsidRPr="00C862FF" w14:paraId="5C9FAA87" w14:textId="77777777" w:rsidTr="006237DE">
        <w:trPr>
          <w:trHeight w:val="300"/>
        </w:trPr>
        <w:tc>
          <w:tcPr>
            <w:tcW w:w="1200" w:type="dxa"/>
            <w:vMerge w:val="restart"/>
            <w:shd w:val="clear" w:color="auto" w:fill="auto"/>
            <w:noWrap/>
            <w:vAlign w:val="bottom"/>
            <w:hideMark/>
          </w:tcPr>
          <w:p w14:paraId="79F3A609" w14:textId="70972BA7" w:rsidR="007B386A" w:rsidRPr="00C862FF" w:rsidRDefault="007B386A" w:rsidP="009C38B2">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6</w:t>
            </w:r>
            <w:r w:rsidR="005E3D27">
              <w:rPr>
                <w:rFonts w:ascii="Calibri" w:eastAsia="Times New Roman" w:hAnsi="Calibri" w:cs="Calibri"/>
                <w:color w:val="000000"/>
                <w:lang w:val="es-MX" w:eastAsia="es-MX"/>
              </w:rPr>
              <w:t>º</w:t>
            </w:r>
            <w:r w:rsidRPr="00C862FF">
              <w:rPr>
                <w:rFonts w:ascii="Calibri" w:eastAsia="Times New Roman" w:hAnsi="Calibri" w:cs="Calibri"/>
                <w:color w:val="000000"/>
                <w:lang w:val="es-MX" w:eastAsia="es-MX"/>
              </w:rPr>
              <w:t xml:space="preserve"> primaria</w:t>
            </w:r>
            <w:r w:rsidR="009C38B2" w:rsidRPr="009C38B2">
              <w:rPr>
                <w:rFonts w:ascii="Calibri" w:eastAsia="Times New Roman" w:hAnsi="Calibri" w:cs="Calibri"/>
                <w:color w:val="000000"/>
                <w:vertAlign w:val="superscript"/>
                <w:lang w:val="es-MX" w:eastAsia="es-MX"/>
              </w:rPr>
              <w:t>IV</w:t>
            </w:r>
          </w:p>
        </w:tc>
        <w:tc>
          <w:tcPr>
            <w:tcW w:w="1919" w:type="dxa"/>
            <w:shd w:val="clear" w:color="auto" w:fill="auto"/>
            <w:noWrap/>
            <w:vAlign w:val="center"/>
            <w:hideMark/>
          </w:tcPr>
          <w:p w14:paraId="133598DD" w14:textId="77777777" w:rsidR="007B386A" w:rsidRPr="00C862FF" w:rsidRDefault="007B386A" w:rsidP="006237DE">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Lengua</w:t>
            </w:r>
          </w:p>
        </w:tc>
        <w:tc>
          <w:tcPr>
            <w:tcW w:w="1323" w:type="dxa"/>
            <w:shd w:val="clear" w:color="auto" w:fill="auto"/>
            <w:noWrap/>
            <w:vAlign w:val="center"/>
            <w:hideMark/>
          </w:tcPr>
          <w:p w14:paraId="0A3617DA"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66,3%</w:t>
            </w:r>
          </w:p>
        </w:tc>
        <w:tc>
          <w:tcPr>
            <w:tcW w:w="1323" w:type="dxa"/>
            <w:shd w:val="clear" w:color="auto" w:fill="auto"/>
            <w:noWrap/>
            <w:vAlign w:val="center"/>
            <w:hideMark/>
          </w:tcPr>
          <w:p w14:paraId="583DB733"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72,3%</w:t>
            </w:r>
          </w:p>
        </w:tc>
        <w:tc>
          <w:tcPr>
            <w:tcW w:w="1323" w:type="dxa"/>
            <w:shd w:val="clear" w:color="auto" w:fill="auto"/>
            <w:noWrap/>
            <w:vAlign w:val="center"/>
            <w:hideMark/>
          </w:tcPr>
          <w:p w14:paraId="52A9F16C"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72,0%</w:t>
            </w:r>
          </w:p>
        </w:tc>
      </w:tr>
      <w:tr w:rsidR="007B386A" w:rsidRPr="00C862FF" w14:paraId="44F66A6A" w14:textId="77777777" w:rsidTr="006237DE">
        <w:trPr>
          <w:trHeight w:val="300"/>
        </w:trPr>
        <w:tc>
          <w:tcPr>
            <w:tcW w:w="1200" w:type="dxa"/>
            <w:vMerge/>
            <w:shd w:val="clear" w:color="auto" w:fill="auto"/>
            <w:noWrap/>
            <w:vAlign w:val="bottom"/>
            <w:hideMark/>
          </w:tcPr>
          <w:p w14:paraId="745DE544" w14:textId="77777777" w:rsidR="007B386A" w:rsidRPr="00C862FF" w:rsidRDefault="007B386A" w:rsidP="006237DE">
            <w:pPr>
              <w:spacing w:after="0" w:line="240" w:lineRule="auto"/>
              <w:jc w:val="right"/>
              <w:rPr>
                <w:rFonts w:ascii="Calibri" w:eastAsia="Times New Roman" w:hAnsi="Calibri" w:cs="Calibri"/>
                <w:color w:val="000000"/>
                <w:lang w:val="es-MX" w:eastAsia="es-MX"/>
              </w:rPr>
            </w:pPr>
          </w:p>
        </w:tc>
        <w:tc>
          <w:tcPr>
            <w:tcW w:w="1919" w:type="dxa"/>
            <w:shd w:val="clear" w:color="auto" w:fill="auto"/>
            <w:noWrap/>
            <w:vAlign w:val="center"/>
            <w:hideMark/>
          </w:tcPr>
          <w:p w14:paraId="513154F1" w14:textId="77777777" w:rsidR="007B386A" w:rsidRPr="00C862FF" w:rsidRDefault="007B386A" w:rsidP="006237DE">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Matemática</w:t>
            </w:r>
          </w:p>
        </w:tc>
        <w:tc>
          <w:tcPr>
            <w:tcW w:w="1323" w:type="dxa"/>
            <w:shd w:val="clear" w:color="auto" w:fill="auto"/>
            <w:noWrap/>
            <w:vAlign w:val="center"/>
            <w:hideMark/>
          </w:tcPr>
          <w:p w14:paraId="6C948979"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63,8%</w:t>
            </w:r>
          </w:p>
        </w:tc>
        <w:tc>
          <w:tcPr>
            <w:tcW w:w="1323" w:type="dxa"/>
            <w:shd w:val="clear" w:color="auto" w:fill="auto"/>
            <w:noWrap/>
            <w:vAlign w:val="center"/>
            <w:hideMark/>
          </w:tcPr>
          <w:p w14:paraId="196AE4B0"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64,3%</w:t>
            </w:r>
          </w:p>
        </w:tc>
        <w:tc>
          <w:tcPr>
            <w:tcW w:w="1323" w:type="dxa"/>
            <w:shd w:val="clear" w:color="auto" w:fill="auto"/>
            <w:noWrap/>
            <w:vAlign w:val="center"/>
            <w:hideMark/>
          </w:tcPr>
          <w:p w14:paraId="34D405FC"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64,4%</w:t>
            </w:r>
          </w:p>
        </w:tc>
      </w:tr>
      <w:tr w:rsidR="007B386A" w:rsidRPr="00C862FF" w14:paraId="63B777CD" w14:textId="77777777" w:rsidTr="006237DE">
        <w:trPr>
          <w:trHeight w:val="300"/>
        </w:trPr>
        <w:tc>
          <w:tcPr>
            <w:tcW w:w="1200" w:type="dxa"/>
            <w:vMerge w:val="restart"/>
            <w:shd w:val="clear" w:color="auto" w:fill="auto"/>
            <w:noWrap/>
            <w:vAlign w:val="bottom"/>
            <w:hideMark/>
          </w:tcPr>
          <w:p w14:paraId="3C5D447E" w14:textId="72729802" w:rsidR="007B386A" w:rsidRPr="00C862FF" w:rsidRDefault="007B386A" w:rsidP="009C38B2">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5</w:t>
            </w:r>
            <w:r w:rsidR="005E3D27">
              <w:rPr>
                <w:rFonts w:ascii="Calibri" w:eastAsia="Times New Roman" w:hAnsi="Calibri" w:cs="Calibri"/>
                <w:color w:val="000000"/>
                <w:lang w:val="es-MX" w:eastAsia="es-MX"/>
              </w:rPr>
              <w:t>º</w:t>
            </w:r>
            <w:r w:rsidRPr="00C862FF">
              <w:rPr>
                <w:rFonts w:ascii="Calibri" w:eastAsia="Times New Roman" w:hAnsi="Calibri" w:cs="Calibri"/>
                <w:color w:val="000000"/>
                <w:lang w:val="es-MX" w:eastAsia="es-MX"/>
              </w:rPr>
              <w:t xml:space="preserve"> secundaria</w:t>
            </w:r>
            <w:r w:rsidR="001E1612">
              <w:rPr>
                <w:rFonts w:ascii="Calibri" w:eastAsia="Times New Roman" w:hAnsi="Calibri" w:cs="Calibri"/>
                <w:color w:val="000000"/>
                <w:lang w:val="es-MX" w:eastAsia="es-MX"/>
              </w:rPr>
              <w:t xml:space="preserve"> </w:t>
            </w:r>
            <w:r w:rsidR="009C38B2" w:rsidRPr="009C38B2">
              <w:rPr>
                <w:rFonts w:ascii="Calibri" w:eastAsia="Times New Roman" w:hAnsi="Calibri" w:cs="Calibri"/>
                <w:color w:val="000000"/>
                <w:vertAlign w:val="superscript"/>
                <w:lang w:val="es-MX" w:eastAsia="es-MX"/>
              </w:rPr>
              <w:t>V</w:t>
            </w:r>
            <w:r w:rsidR="009C38B2">
              <w:rPr>
                <w:rFonts w:ascii="Calibri" w:eastAsia="Times New Roman" w:hAnsi="Calibri" w:cs="Calibri"/>
                <w:color w:val="000000"/>
                <w:vertAlign w:val="superscript"/>
                <w:lang w:val="es-MX" w:eastAsia="es-MX"/>
              </w:rPr>
              <w:t>II</w:t>
            </w:r>
          </w:p>
        </w:tc>
        <w:tc>
          <w:tcPr>
            <w:tcW w:w="1919" w:type="dxa"/>
            <w:shd w:val="clear" w:color="auto" w:fill="auto"/>
            <w:noWrap/>
            <w:vAlign w:val="center"/>
            <w:hideMark/>
          </w:tcPr>
          <w:p w14:paraId="61196366" w14:textId="77777777" w:rsidR="007B386A" w:rsidRPr="00C862FF" w:rsidRDefault="007B386A" w:rsidP="006237DE">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Lengua</w:t>
            </w:r>
          </w:p>
        </w:tc>
        <w:tc>
          <w:tcPr>
            <w:tcW w:w="1323" w:type="dxa"/>
            <w:shd w:val="clear" w:color="auto" w:fill="auto"/>
            <w:noWrap/>
            <w:vAlign w:val="center"/>
            <w:hideMark/>
          </w:tcPr>
          <w:p w14:paraId="260720CA"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70,8%</w:t>
            </w:r>
          </w:p>
        </w:tc>
        <w:tc>
          <w:tcPr>
            <w:tcW w:w="1323" w:type="dxa"/>
            <w:shd w:val="clear" w:color="auto" w:fill="auto"/>
            <w:noWrap/>
            <w:vAlign w:val="center"/>
            <w:hideMark/>
          </w:tcPr>
          <w:p w14:paraId="7A81ABF6"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75,6%</w:t>
            </w:r>
          </w:p>
        </w:tc>
        <w:tc>
          <w:tcPr>
            <w:tcW w:w="1323" w:type="dxa"/>
            <w:shd w:val="clear" w:color="auto" w:fill="auto"/>
            <w:noWrap/>
            <w:vAlign w:val="center"/>
            <w:hideMark/>
          </w:tcPr>
          <w:p w14:paraId="5BAF009D"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75,6%</w:t>
            </w:r>
          </w:p>
        </w:tc>
      </w:tr>
      <w:tr w:rsidR="007B386A" w:rsidRPr="00C862FF" w14:paraId="372C012B" w14:textId="77777777" w:rsidTr="006237DE">
        <w:trPr>
          <w:trHeight w:val="300"/>
        </w:trPr>
        <w:tc>
          <w:tcPr>
            <w:tcW w:w="1200" w:type="dxa"/>
            <w:vMerge/>
            <w:shd w:val="clear" w:color="auto" w:fill="auto"/>
            <w:noWrap/>
            <w:vAlign w:val="bottom"/>
            <w:hideMark/>
          </w:tcPr>
          <w:p w14:paraId="107BDB7A" w14:textId="77777777" w:rsidR="007B386A" w:rsidRPr="00C862FF" w:rsidRDefault="007B386A" w:rsidP="006237DE">
            <w:pPr>
              <w:spacing w:after="0" w:line="240" w:lineRule="auto"/>
              <w:jc w:val="right"/>
              <w:rPr>
                <w:rFonts w:ascii="Calibri" w:eastAsia="Times New Roman" w:hAnsi="Calibri" w:cs="Calibri"/>
                <w:color w:val="000000"/>
                <w:lang w:val="es-MX" w:eastAsia="es-MX"/>
              </w:rPr>
            </w:pPr>
          </w:p>
        </w:tc>
        <w:tc>
          <w:tcPr>
            <w:tcW w:w="1919" w:type="dxa"/>
            <w:shd w:val="clear" w:color="auto" w:fill="auto"/>
            <w:noWrap/>
            <w:vAlign w:val="center"/>
            <w:hideMark/>
          </w:tcPr>
          <w:p w14:paraId="7A9F8F4A" w14:textId="77777777" w:rsidR="007B386A" w:rsidRPr="00C862FF" w:rsidRDefault="007B386A" w:rsidP="006237DE">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Matemática</w:t>
            </w:r>
          </w:p>
        </w:tc>
        <w:tc>
          <w:tcPr>
            <w:tcW w:w="1323" w:type="dxa"/>
            <w:shd w:val="clear" w:color="auto" w:fill="auto"/>
            <w:noWrap/>
            <w:vAlign w:val="center"/>
            <w:hideMark/>
          </w:tcPr>
          <w:p w14:paraId="5648FE05"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35,0%</w:t>
            </w:r>
          </w:p>
        </w:tc>
        <w:tc>
          <w:tcPr>
            <w:tcW w:w="1323" w:type="dxa"/>
            <w:shd w:val="clear" w:color="auto" w:fill="auto"/>
            <w:noWrap/>
            <w:vAlign w:val="center"/>
            <w:hideMark/>
          </w:tcPr>
          <w:p w14:paraId="4945F4A3"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44,1%</w:t>
            </w:r>
          </w:p>
        </w:tc>
        <w:tc>
          <w:tcPr>
            <w:tcW w:w="1323" w:type="dxa"/>
            <w:shd w:val="clear" w:color="auto" w:fill="auto"/>
            <w:noWrap/>
            <w:vAlign w:val="center"/>
            <w:hideMark/>
          </w:tcPr>
          <w:p w14:paraId="1BC6DD7F"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45,8%</w:t>
            </w:r>
          </w:p>
        </w:tc>
      </w:tr>
    </w:tbl>
    <w:p w14:paraId="2E3592A8" w14:textId="77777777" w:rsidR="007B386A" w:rsidRPr="00D3116E" w:rsidRDefault="007B386A" w:rsidP="007B386A">
      <w:pPr>
        <w:spacing w:after="0" w:line="240" w:lineRule="auto"/>
        <w:rPr>
          <w:rFonts w:ascii="Times New Roman" w:eastAsia="Calibri" w:hAnsi="Times New Roman" w:cs="Times New Roman"/>
          <w:b/>
          <w:sz w:val="14"/>
          <w:szCs w:val="24"/>
          <w:lang w:val="es-MX"/>
        </w:rPr>
      </w:pPr>
    </w:p>
    <w:tbl>
      <w:tblPr>
        <w:tblW w:w="8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1221"/>
        <w:gridCol w:w="1162"/>
        <w:gridCol w:w="1162"/>
        <w:gridCol w:w="1162"/>
        <w:gridCol w:w="1162"/>
        <w:gridCol w:w="1162"/>
      </w:tblGrid>
      <w:tr w:rsidR="007B386A" w:rsidRPr="00C862FF" w14:paraId="4A588AE6" w14:textId="77777777" w:rsidTr="006237DE">
        <w:trPr>
          <w:trHeight w:val="300"/>
        </w:trPr>
        <w:tc>
          <w:tcPr>
            <w:tcW w:w="2917" w:type="dxa"/>
            <w:gridSpan w:val="2"/>
            <w:vMerge w:val="restart"/>
            <w:shd w:val="clear" w:color="auto" w:fill="auto"/>
            <w:noWrap/>
            <w:vAlign w:val="center"/>
            <w:hideMark/>
          </w:tcPr>
          <w:p w14:paraId="58480E2C" w14:textId="313E7126" w:rsidR="007B386A" w:rsidRPr="00C862FF" w:rsidRDefault="007B386A" w:rsidP="006237DE">
            <w:pPr>
              <w:spacing w:after="0" w:line="240" w:lineRule="auto"/>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 xml:space="preserve">Brasil </w:t>
            </w:r>
            <w:r w:rsidR="00D244C3">
              <w:rPr>
                <w:rFonts w:ascii="Calibri" w:eastAsia="Times New Roman" w:hAnsi="Calibri" w:cs="Calibri"/>
                <w:b/>
                <w:color w:val="000000"/>
                <w:lang w:val="es-MX" w:eastAsia="es-MX"/>
              </w:rPr>
              <w:t>–</w:t>
            </w:r>
            <w:r w:rsidRPr="00C862FF">
              <w:rPr>
                <w:rFonts w:ascii="Calibri" w:eastAsia="Times New Roman" w:hAnsi="Calibri" w:cs="Calibri"/>
                <w:b/>
                <w:color w:val="000000"/>
                <w:lang w:val="es-MX" w:eastAsia="es-MX"/>
              </w:rPr>
              <w:t xml:space="preserve"> SAEB</w:t>
            </w:r>
          </w:p>
        </w:tc>
        <w:tc>
          <w:tcPr>
            <w:tcW w:w="5810" w:type="dxa"/>
            <w:gridSpan w:val="5"/>
            <w:shd w:val="clear" w:color="auto" w:fill="auto"/>
            <w:noWrap/>
            <w:vAlign w:val="bottom"/>
            <w:hideMark/>
          </w:tcPr>
          <w:p w14:paraId="5F549156" w14:textId="77777777" w:rsidR="007B386A" w:rsidRPr="00C862FF" w:rsidRDefault="007B386A" w:rsidP="006237DE">
            <w:pPr>
              <w:spacing w:after="0" w:line="240" w:lineRule="auto"/>
              <w:rPr>
                <w:rFonts w:ascii="Calibri" w:eastAsia="Times New Roman" w:hAnsi="Calibri" w:cs="Calibri"/>
                <w:i/>
                <w:color w:val="000000"/>
                <w:lang w:val="es-MX" w:eastAsia="es-MX"/>
              </w:rPr>
            </w:pPr>
            <w:r w:rsidRPr="00C862FF">
              <w:rPr>
                <w:rFonts w:ascii="Calibri" w:eastAsia="Times New Roman" w:hAnsi="Calibri" w:cs="Calibri"/>
                <w:i/>
                <w:color w:val="000000"/>
                <w:lang w:val="es-MX" w:eastAsia="es-MX"/>
              </w:rPr>
              <w:t>Puntaje promedio estandarizado. Media = 250 y desv. est. = 50</w:t>
            </w:r>
          </w:p>
        </w:tc>
      </w:tr>
      <w:tr w:rsidR="007B386A" w:rsidRPr="00C862FF" w14:paraId="7E85ADE0" w14:textId="77777777" w:rsidTr="006237DE">
        <w:trPr>
          <w:trHeight w:val="300"/>
        </w:trPr>
        <w:tc>
          <w:tcPr>
            <w:tcW w:w="2917" w:type="dxa"/>
            <w:gridSpan w:val="2"/>
            <w:vMerge/>
            <w:vAlign w:val="center"/>
            <w:hideMark/>
          </w:tcPr>
          <w:p w14:paraId="41D580A8" w14:textId="77777777" w:rsidR="007B386A" w:rsidRPr="00C862FF" w:rsidRDefault="007B386A" w:rsidP="006237DE">
            <w:pPr>
              <w:spacing w:after="0" w:line="240" w:lineRule="auto"/>
              <w:rPr>
                <w:rFonts w:ascii="Calibri" w:eastAsia="Times New Roman" w:hAnsi="Calibri" w:cs="Calibri"/>
                <w:color w:val="000000"/>
                <w:lang w:val="es-MX" w:eastAsia="es-MX"/>
              </w:rPr>
            </w:pPr>
          </w:p>
        </w:tc>
        <w:tc>
          <w:tcPr>
            <w:tcW w:w="1162" w:type="dxa"/>
            <w:shd w:val="clear" w:color="auto" w:fill="auto"/>
            <w:noWrap/>
            <w:vAlign w:val="bottom"/>
            <w:hideMark/>
          </w:tcPr>
          <w:p w14:paraId="36B58479" w14:textId="77777777" w:rsidR="007B386A" w:rsidRPr="00C862FF" w:rsidRDefault="007B386A" w:rsidP="006237DE">
            <w:pPr>
              <w:spacing w:after="0" w:line="240" w:lineRule="auto"/>
              <w:jc w:val="center"/>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2007</w:t>
            </w:r>
          </w:p>
        </w:tc>
        <w:tc>
          <w:tcPr>
            <w:tcW w:w="1162" w:type="dxa"/>
            <w:shd w:val="clear" w:color="auto" w:fill="auto"/>
            <w:noWrap/>
            <w:vAlign w:val="bottom"/>
            <w:hideMark/>
          </w:tcPr>
          <w:p w14:paraId="6CA7EED2" w14:textId="77777777" w:rsidR="007B386A" w:rsidRPr="00C862FF" w:rsidRDefault="007B386A" w:rsidP="006237DE">
            <w:pPr>
              <w:spacing w:after="0" w:line="240" w:lineRule="auto"/>
              <w:jc w:val="center"/>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2009</w:t>
            </w:r>
          </w:p>
        </w:tc>
        <w:tc>
          <w:tcPr>
            <w:tcW w:w="1162" w:type="dxa"/>
            <w:shd w:val="clear" w:color="auto" w:fill="auto"/>
            <w:noWrap/>
            <w:vAlign w:val="bottom"/>
            <w:hideMark/>
          </w:tcPr>
          <w:p w14:paraId="0181D877" w14:textId="77777777" w:rsidR="007B386A" w:rsidRPr="00C862FF" w:rsidRDefault="007B386A" w:rsidP="006237DE">
            <w:pPr>
              <w:spacing w:after="0" w:line="240" w:lineRule="auto"/>
              <w:jc w:val="center"/>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2011</w:t>
            </w:r>
          </w:p>
        </w:tc>
        <w:tc>
          <w:tcPr>
            <w:tcW w:w="1162" w:type="dxa"/>
            <w:shd w:val="clear" w:color="auto" w:fill="auto"/>
            <w:noWrap/>
            <w:vAlign w:val="bottom"/>
            <w:hideMark/>
          </w:tcPr>
          <w:p w14:paraId="6D5A0F8A" w14:textId="77777777" w:rsidR="007B386A" w:rsidRPr="00C862FF" w:rsidRDefault="007B386A" w:rsidP="006237DE">
            <w:pPr>
              <w:spacing w:after="0" w:line="240" w:lineRule="auto"/>
              <w:jc w:val="center"/>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2013</w:t>
            </w:r>
          </w:p>
        </w:tc>
        <w:tc>
          <w:tcPr>
            <w:tcW w:w="1162" w:type="dxa"/>
            <w:shd w:val="clear" w:color="auto" w:fill="auto"/>
            <w:noWrap/>
            <w:vAlign w:val="bottom"/>
            <w:hideMark/>
          </w:tcPr>
          <w:p w14:paraId="331317D2" w14:textId="77777777" w:rsidR="007B386A" w:rsidRPr="00C862FF" w:rsidRDefault="007B386A" w:rsidP="006237DE">
            <w:pPr>
              <w:spacing w:after="0" w:line="240" w:lineRule="auto"/>
              <w:jc w:val="center"/>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2015</w:t>
            </w:r>
          </w:p>
        </w:tc>
      </w:tr>
      <w:tr w:rsidR="007B386A" w:rsidRPr="00C862FF" w14:paraId="7A8C26E4" w14:textId="77777777" w:rsidTr="006237DE">
        <w:trPr>
          <w:trHeight w:val="176"/>
        </w:trPr>
        <w:tc>
          <w:tcPr>
            <w:tcW w:w="1696" w:type="dxa"/>
            <w:vMerge w:val="restart"/>
            <w:shd w:val="clear" w:color="auto" w:fill="auto"/>
            <w:noWrap/>
            <w:vAlign w:val="center"/>
            <w:hideMark/>
          </w:tcPr>
          <w:p w14:paraId="696C5B5D" w14:textId="4387925A" w:rsidR="007B386A" w:rsidRPr="00C862FF" w:rsidRDefault="007B386A" w:rsidP="009C38B2">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5</w:t>
            </w:r>
            <w:r w:rsidR="005E3D27">
              <w:rPr>
                <w:rFonts w:ascii="Calibri" w:eastAsia="Times New Roman" w:hAnsi="Calibri" w:cs="Calibri"/>
                <w:color w:val="000000"/>
                <w:lang w:val="es-MX" w:eastAsia="es-MX"/>
              </w:rPr>
              <w:t>º</w:t>
            </w:r>
            <w:r w:rsidRPr="00C862FF">
              <w:rPr>
                <w:rFonts w:ascii="Calibri" w:eastAsia="Times New Roman" w:hAnsi="Calibri" w:cs="Calibri"/>
                <w:color w:val="000000"/>
                <w:lang w:val="es-MX" w:eastAsia="es-MX"/>
              </w:rPr>
              <w:t xml:space="preserve"> Enseñanza fundamental</w:t>
            </w:r>
            <w:r w:rsidR="009C38B2" w:rsidRPr="009C38B2">
              <w:rPr>
                <w:rFonts w:ascii="Calibri" w:eastAsia="Times New Roman" w:hAnsi="Calibri" w:cs="Calibri"/>
                <w:color w:val="000000"/>
                <w:vertAlign w:val="superscript"/>
                <w:lang w:val="es-MX" w:eastAsia="es-MX"/>
              </w:rPr>
              <w:t>I</w:t>
            </w:r>
            <w:r w:rsidR="009C38B2">
              <w:rPr>
                <w:rFonts w:ascii="Calibri" w:eastAsia="Times New Roman" w:hAnsi="Calibri" w:cs="Calibri"/>
                <w:color w:val="000000"/>
                <w:vertAlign w:val="superscript"/>
                <w:lang w:val="es-MX" w:eastAsia="es-MX"/>
              </w:rPr>
              <w:t>II</w:t>
            </w:r>
          </w:p>
        </w:tc>
        <w:tc>
          <w:tcPr>
            <w:tcW w:w="1221" w:type="dxa"/>
            <w:shd w:val="clear" w:color="auto" w:fill="auto"/>
            <w:noWrap/>
            <w:vAlign w:val="center"/>
            <w:hideMark/>
          </w:tcPr>
          <w:p w14:paraId="7CF9FBB0" w14:textId="77777777" w:rsidR="007B386A" w:rsidRPr="00C862FF" w:rsidRDefault="007B386A" w:rsidP="006237DE">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Lengua</w:t>
            </w:r>
          </w:p>
        </w:tc>
        <w:tc>
          <w:tcPr>
            <w:tcW w:w="1162" w:type="dxa"/>
            <w:shd w:val="clear" w:color="auto" w:fill="auto"/>
            <w:noWrap/>
            <w:vAlign w:val="center"/>
            <w:hideMark/>
          </w:tcPr>
          <w:p w14:paraId="1D398746"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176</w:t>
            </w:r>
          </w:p>
        </w:tc>
        <w:tc>
          <w:tcPr>
            <w:tcW w:w="1162" w:type="dxa"/>
            <w:shd w:val="clear" w:color="auto" w:fill="auto"/>
            <w:noWrap/>
            <w:vAlign w:val="center"/>
            <w:hideMark/>
          </w:tcPr>
          <w:p w14:paraId="4307577B"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184</w:t>
            </w:r>
          </w:p>
        </w:tc>
        <w:tc>
          <w:tcPr>
            <w:tcW w:w="1162" w:type="dxa"/>
            <w:shd w:val="clear" w:color="auto" w:fill="auto"/>
            <w:noWrap/>
            <w:vAlign w:val="center"/>
            <w:hideMark/>
          </w:tcPr>
          <w:p w14:paraId="0BB3D55D"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191</w:t>
            </w:r>
          </w:p>
        </w:tc>
        <w:tc>
          <w:tcPr>
            <w:tcW w:w="1162" w:type="dxa"/>
            <w:shd w:val="clear" w:color="auto" w:fill="auto"/>
            <w:noWrap/>
            <w:vAlign w:val="center"/>
            <w:hideMark/>
          </w:tcPr>
          <w:p w14:paraId="0D0D15CC"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196</w:t>
            </w:r>
          </w:p>
        </w:tc>
        <w:tc>
          <w:tcPr>
            <w:tcW w:w="1162" w:type="dxa"/>
            <w:shd w:val="clear" w:color="auto" w:fill="auto"/>
            <w:noWrap/>
            <w:vAlign w:val="center"/>
            <w:hideMark/>
          </w:tcPr>
          <w:p w14:paraId="4A09F1C0"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196</w:t>
            </w:r>
          </w:p>
        </w:tc>
      </w:tr>
      <w:tr w:rsidR="007B386A" w:rsidRPr="00C862FF" w14:paraId="00932BDD" w14:textId="77777777" w:rsidTr="006237DE">
        <w:trPr>
          <w:trHeight w:val="300"/>
        </w:trPr>
        <w:tc>
          <w:tcPr>
            <w:tcW w:w="1696" w:type="dxa"/>
            <w:vMerge/>
            <w:shd w:val="clear" w:color="auto" w:fill="auto"/>
            <w:noWrap/>
            <w:vAlign w:val="center"/>
            <w:hideMark/>
          </w:tcPr>
          <w:p w14:paraId="6DBCF85B" w14:textId="77777777" w:rsidR="007B386A" w:rsidRPr="00C862FF" w:rsidRDefault="007B386A" w:rsidP="006237DE">
            <w:pPr>
              <w:spacing w:after="0" w:line="240" w:lineRule="auto"/>
              <w:rPr>
                <w:rFonts w:ascii="Calibri" w:eastAsia="Times New Roman" w:hAnsi="Calibri" w:cs="Calibri"/>
                <w:color w:val="000000"/>
                <w:lang w:val="es-MX" w:eastAsia="es-MX"/>
              </w:rPr>
            </w:pPr>
          </w:p>
        </w:tc>
        <w:tc>
          <w:tcPr>
            <w:tcW w:w="1221" w:type="dxa"/>
            <w:shd w:val="clear" w:color="auto" w:fill="auto"/>
            <w:noWrap/>
            <w:vAlign w:val="center"/>
            <w:hideMark/>
          </w:tcPr>
          <w:p w14:paraId="05909AE5" w14:textId="77777777" w:rsidR="007B386A" w:rsidRPr="00C862FF" w:rsidRDefault="007B386A" w:rsidP="006237DE">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Matemática</w:t>
            </w:r>
          </w:p>
        </w:tc>
        <w:tc>
          <w:tcPr>
            <w:tcW w:w="1162" w:type="dxa"/>
            <w:shd w:val="clear" w:color="auto" w:fill="auto"/>
            <w:noWrap/>
            <w:vAlign w:val="center"/>
            <w:hideMark/>
          </w:tcPr>
          <w:p w14:paraId="179302F5"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193</w:t>
            </w:r>
          </w:p>
        </w:tc>
        <w:tc>
          <w:tcPr>
            <w:tcW w:w="1162" w:type="dxa"/>
            <w:shd w:val="clear" w:color="auto" w:fill="auto"/>
            <w:noWrap/>
            <w:vAlign w:val="center"/>
            <w:hideMark/>
          </w:tcPr>
          <w:p w14:paraId="7DE53A94"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204</w:t>
            </w:r>
          </w:p>
        </w:tc>
        <w:tc>
          <w:tcPr>
            <w:tcW w:w="1162" w:type="dxa"/>
            <w:shd w:val="clear" w:color="auto" w:fill="auto"/>
            <w:noWrap/>
            <w:vAlign w:val="center"/>
            <w:hideMark/>
          </w:tcPr>
          <w:p w14:paraId="5E054E34"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210</w:t>
            </w:r>
          </w:p>
        </w:tc>
        <w:tc>
          <w:tcPr>
            <w:tcW w:w="1162" w:type="dxa"/>
            <w:shd w:val="clear" w:color="auto" w:fill="auto"/>
            <w:noWrap/>
            <w:vAlign w:val="center"/>
            <w:hideMark/>
          </w:tcPr>
          <w:p w14:paraId="0C960646"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211</w:t>
            </w:r>
          </w:p>
        </w:tc>
        <w:tc>
          <w:tcPr>
            <w:tcW w:w="1162" w:type="dxa"/>
            <w:shd w:val="clear" w:color="auto" w:fill="auto"/>
            <w:noWrap/>
            <w:vAlign w:val="center"/>
            <w:hideMark/>
          </w:tcPr>
          <w:p w14:paraId="727B55B0"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219</w:t>
            </w:r>
          </w:p>
        </w:tc>
      </w:tr>
      <w:tr w:rsidR="007B386A" w:rsidRPr="00C862FF" w14:paraId="42643B99" w14:textId="77777777" w:rsidTr="006237DE">
        <w:trPr>
          <w:trHeight w:val="300"/>
        </w:trPr>
        <w:tc>
          <w:tcPr>
            <w:tcW w:w="1696" w:type="dxa"/>
            <w:vMerge w:val="restart"/>
            <w:shd w:val="clear" w:color="auto" w:fill="auto"/>
            <w:noWrap/>
            <w:vAlign w:val="center"/>
            <w:hideMark/>
          </w:tcPr>
          <w:p w14:paraId="2906788E" w14:textId="43064E7A" w:rsidR="007B386A" w:rsidRPr="00C862FF" w:rsidRDefault="007B386A" w:rsidP="009C38B2">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9</w:t>
            </w:r>
            <w:r w:rsidR="005E3D27">
              <w:rPr>
                <w:rFonts w:ascii="Calibri" w:eastAsia="Times New Roman" w:hAnsi="Calibri" w:cs="Calibri"/>
                <w:color w:val="000000"/>
                <w:lang w:val="es-MX" w:eastAsia="es-MX"/>
              </w:rPr>
              <w:t>º</w:t>
            </w:r>
            <w:r w:rsidRPr="00C862FF">
              <w:rPr>
                <w:rFonts w:ascii="Calibri" w:eastAsia="Times New Roman" w:hAnsi="Calibri" w:cs="Calibri"/>
                <w:color w:val="000000"/>
                <w:lang w:val="es-MX" w:eastAsia="es-MX"/>
              </w:rPr>
              <w:t xml:space="preserve"> Enseñanza Fundamental</w:t>
            </w:r>
            <w:r w:rsidR="009C38B2" w:rsidRPr="009C38B2">
              <w:rPr>
                <w:rFonts w:ascii="Calibri" w:eastAsia="Times New Roman" w:hAnsi="Calibri" w:cs="Calibri"/>
                <w:color w:val="000000"/>
                <w:vertAlign w:val="superscript"/>
                <w:lang w:val="es-MX" w:eastAsia="es-MX"/>
              </w:rPr>
              <w:t>V</w:t>
            </w:r>
          </w:p>
        </w:tc>
        <w:tc>
          <w:tcPr>
            <w:tcW w:w="1221" w:type="dxa"/>
            <w:shd w:val="clear" w:color="auto" w:fill="auto"/>
            <w:noWrap/>
            <w:vAlign w:val="center"/>
            <w:hideMark/>
          </w:tcPr>
          <w:p w14:paraId="784BAD0F" w14:textId="77777777" w:rsidR="007B386A" w:rsidRPr="00C862FF" w:rsidRDefault="007B386A" w:rsidP="006237DE">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Lengua</w:t>
            </w:r>
          </w:p>
        </w:tc>
        <w:tc>
          <w:tcPr>
            <w:tcW w:w="1162" w:type="dxa"/>
            <w:shd w:val="clear" w:color="auto" w:fill="auto"/>
            <w:noWrap/>
            <w:vAlign w:val="center"/>
            <w:hideMark/>
          </w:tcPr>
          <w:p w14:paraId="0A3B1D1D"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235</w:t>
            </w:r>
          </w:p>
        </w:tc>
        <w:tc>
          <w:tcPr>
            <w:tcW w:w="1162" w:type="dxa"/>
            <w:shd w:val="clear" w:color="auto" w:fill="auto"/>
            <w:noWrap/>
            <w:vAlign w:val="center"/>
            <w:hideMark/>
          </w:tcPr>
          <w:p w14:paraId="18D898C3"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244</w:t>
            </w:r>
          </w:p>
        </w:tc>
        <w:tc>
          <w:tcPr>
            <w:tcW w:w="1162" w:type="dxa"/>
            <w:shd w:val="clear" w:color="auto" w:fill="auto"/>
            <w:noWrap/>
            <w:vAlign w:val="center"/>
            <w:hideMark/>
          </w:tcPr>
          <w:p w14:paraId="48691F4C"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245</w:t>
            </w:r>
          </w:p>
        </w:tc>
        <w:tc>
          <w:tcPr>
            <w:tcW w:w="1162" w:type="dxa"/>
            <w:shd w:val="clear" w:color="auto" w:fill="auto"/>
            <w:noWrap/>
            <w:vAlign w:val="center"/>
            <w:hideMark/>
          </w:tcPr>
          <w:p w14:paraId="03E271C4"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245</w:t>
            </w:r>
          </w:p>
        </w:tc>
        <w:tc>
          <w:tcPr>
            <w:tcW w:w="1162" w:type="dxa"/>
            <w:shd w:val="clear" w:color="auto" w:fill="auto"/>
            <w:noWrap/>
            <w:vAlign w:val="center"/>
            <w:hideMark/>
          </w:tcPr>
          <w:p w14:paraId="213326CD"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252</w:t>
            </w:r>
          </w:p>
        </w:tc>
      </w:tr>
      <w:tr w:rsidR="007B386A" w:rsidRPr="00C862FF" w14:paraId="6A6EFDCC" w14:textId="77777777" w:rsidTr="006237DE">
        <w:trPr>
          <w:trHeight w:val="300"/>
        </w:trPr>
        <w:tc>
          <w:tcPr>
            <w:tcW w:w="1696" w:type="dxa"/>
            <w:vMerge/>
            <w:shd w:val="clear" w:color="auto" w:fill="auto"/>
            <w:noWrap/>
            <w:vAlign w:val="bottom"/>
            <w:hideMark/>
          </w:tcPr>
          <w:p w14:paraId="1A4F2E1B" w14:textId="77777777" w:rsidR="007B386A" w:rsidRPr="00C862FF" w:rsidRDefault="007B386A" w:rsidP="006237DE">
            <w:pPr>
              <w:spacing w:after="0" w:line="240" w:lineRule="auto"/>
              <w:rPr>
                <w:rFonts w:ascii="Calibri" w:eastAsia="Times New Roman" w:hAnsi="Calibri" w:cs="Calibri"/>
                <w:color w:val="000000"/>
                <w:lang w:val="es-MX" w:eastAsia="es-MX"/>
              </w:rPr>
            </w:pPr>
          </w:p>
        </w:tc>
        <w:tc>
          <w:tcPr>
            <w:tcW w:w="1221" w:type="dxa"/>
            <w:shd w:val="clear" w:color="auto" w:fill="auto"/>
            <w:noWrap/>
            <w:vAlign w:val="center"/>
            <w:hideMark/>
          </w:tcPr>
          <w:p w14:paraId="6AA88D42" w14:textId="77777777" w:rsidR="007B386A" w:rsidRPr="00C862FF" w:rsidRDefault="007B386A" w:rsidP="006237DE">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Matemática</w:t>
            </w:r>
          </w:p>
        </w:tc>
        <w:tc>
          <w:tcPr>
            <w:tcW w:w="1162" w:type="dxa"/>
            <w:shd w:val="clear" w:color="auto" w:fill="auto"/>
            <w:noWrap/>
            <w:vAlign w:val="center"/>
            <w:hideMark/>
          </w:tcPr>
          <w:p w14:paraId="5F4019CE"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247</w:t>
            </w:r>
          </w:p>
        </w:tc>
        <w:tc>
          <w:tcPr>
            <w:tcW w:w="1162" w:type="dxa"/>
            <w:shd w:val="clear" w:color="auto" w:fill="auto"/>
            <w:noWrap/>
            <w:vAlign w:val="center"/>
            <w:hideMark/>
          </w:tcPr>
          <w:p w14:paraId="392AE534"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249</w:t>
            </w:r>
          </w:p>
        </w:tc>
        <w:tc>
          <w:tcPr>
            <w:tcW w:w="1162" w:type="dxa"/>
            <w:shd w:val="clear" w:color="auto" w:fill="auto"/>
            <w:noWrap/>
            <w:vAlign w:val="center"/>
            <w:hideMark/>
          </w:tcPr>
          <w:p w14:paraId="3DA7CEE9"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253</w:t>
            </w:r>
          </w:p>
        </w:tc>
        <w:tc>
          <w:tcPr>
            <w:tcW w:w="1162" w:type="dxa"/>
            <w:shd w:val="clear" w:color="auto" w:fill="auto"/>
            <w:noWrap/>
            <w:vAlign w:val="center"/>
            <w:hideMark/>
          </w:tcPr>
          <w:p w14:paraId="69B9A45F"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252</w:t>
            </w:r>
          </w:p>
        </w:tc>
        <w:tc>
          <w:tcPr>
            <w:tcW w:w="1162" w:type="dxa"/>
            <w:shd w:val="clear" w:color="auto" w:fill="auto"/>
            <w:noWrap/>
            <w:vAlign w:val="center"/>
            <w:hideMark/>
          </w:tcPr>
          <w:p w14:paraId="11E3C7A7"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256</w:t>
            </w:r>
          </w:p>
        </w:tc>
      </w:tr>
      <w:tr w:rsidR="00073461" w:rsidRPr="00C862FF" w14:paraId="01D00924" w14:textId="77777777" w:rsidTr="00073461">
        <w:trPr>
          <w:trHeight w:val="300"/>
        </w:trPr>
        <w:tc>
          <w:tcPr>
            <w:tcW w:w="1696" w:type="dxa"/>
            <w:vMerge w:val="restart"/>
            <w:shd w:val="clear" w:color="auto" w:fill="auto"/>
            <w:noWrap/>
            <w:vAlign w:val="center"/>
          </w:tcPr>
          <w:p w14:paraId="3D88847D" w14:textId="63FD789B" w:rsidR="00073461" w:rsidRPr="00C862FF" w:rsidRDefault="00073461" w:rsidP="00073461">
            <w:pPr>
              <w:spacing w:after="0" w:line="240" w:lineRule="auto"/>
              <w:rPr>
                <w:rFonts w:ascii="Calibri" w:eastAsia="Times New Roman" w:hAnsi="Calibri" w:cs="Calibri"/>
                <w:color w:val="000000"/>
                <w:lang w:val="es-MX" w:eastAsia="es-MX"/>
              </w:rPr>
            </w:pPr>
            <w:r w:rsidRPr="00073461">
              <w:rPr>
                <w:rFonts w:ascii="Calibri" w:eastAsia="Times New Roman" w:hAnsi="Calibri" w:cs="Calibri"/>
                <w:color w:val="000000"/>
                <w:lang w:val="es-MX" w:eastAsia="es-MX"/>
              </w:rPr>
              <w:lastRenderedPageBreak/>
              <w:t>3</w:t>
            </w:r>
            <w:r w:rsidR="005E3D27">
              <w:rPr>
                <w:rFonts w:ascii="Calibri" w:eastAsia="Times New Roman" w:hAnsi="Calibri" w:cs="Calibri"/>
                <w:color w:val="000000"/>
                <w:lang w:val="es-MX" w:eastAsia="es-MX"/>
              </w:rPr>
              <w:t>ª</w:t>
            </w:r>
            <w:r w:rsidRPr="00073461">
              <w:rPr>
                <w:rFonts w:ascii="Calibri" w:eastAsia="Times New Roman" w:hAnsi="Calibri" w:cs="Calibri"/>
                <w:color w:val="000000"/>
                <w:lang w:val="es-MX" w:eastAsia="es-MX"/>
              </w:rPr>
              <w:t xml:space="preserve"> serie  Enseñanza media</w:t>
            </w:r>
            <w:r w:rsidR="009C38B2" w:rsidRPr="009C38B2">
              <w:rPr>
                <w:rFonts w:ascii="Calibri" w:eastAsia="Times New Roman" w:hAnsi="Calibri" w:cs="Calibri"/>
                <w:color w:val="000000"/>
                <w:vertAlign w:val="superscript"/>
                <w:lang w:val="es-MX" w:eastAsia="es-MX"/>
              </w:rPr>
              <w:t>V</w:t>
            </w:r>
            <w:r w:rsidR="009C38B2">
              <w:rPr>
                <w:rFonts w:ascii="Calibri" w:eastAsia="Times New Roman" w:hAnsi="Calibri" w:cs="Calibri"/>
                <w:color w:val="000000"/>
                <w:vertAlign w:val="superscript"/>
                <w:lang w:val="es-MX" w:eastAsia="es-MX"/>
              </w:rPr>
              <w:t>II</w:t>
            </w:r>
          </w:p>
        </w:tc>
        <w:tc>
          <w:tcPr>
            <w:tcW w:w="1221" w:type="dxa"/>
            <w:shd w:val="clear" w:color="auto" w:fill="auto"/>
            <w:noWrap/>
            <w:vAlign w:val="center"/>
          </w:tcPr>
          <w:p w14:paraId="394F95B0" w14:textId="1EB98981" w:rsidR="00073461" w:rsidRPr="00C862FF" w:rsidRDefault="00073461" w:rsidP="00073461">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Lengua</w:t>
            </w:r>
          </w:p>
        </w:tc>
        <w:tc>
          <w:tcPr>
            <w:tcW w:w="1162" w:type="dxa"/>
            <w:shd w:val="clear" w:color="auto" w:fill="auto"/>
            <w:noWrap/>
            <w:vAlign w:val="center"/>
          </w:tcPr>
          <w:p w14:paraId="3D2E5874" w14:textId="54E0B1B5" w:rsidR="00073461" w:rsidRPr="00C862FF" w:rsidRDefault="00073461" w:rsidP="00073461">
            <w:pPr>
              <w:spacing w:after="0" w:line="240" w:lineRule="auto"/>
              <w:jc w:val="center"/>
              <w:rPr>
                <w:rFonts w:ascii="Calibri" w:eastAsia="Times New Roman" w:hAnsi="Calibri" w:cs="Calibri"/>
                <w:color w:val="000000"/>
                <w:lang w:val="es-MX" w:eastAsia="es-MX"/>
              </w:rPr>
            </w:pPr>
            <w:r w:rsidRPr="00073461">
              <w:rPr>
                <w:rFonts w:ascii="Calibri" w:eastAsia="Times New Roman" w:hAnsi="Calibri" w:cs="Calibri"/>
                <w:color w:val="000000"/>
                <w:lang w:val="es-MX" w:eastAsia="es-MX"/>
              </w:rPr>
              <w:t>261</w:t>
            </w:r>
          </w:p>
        </w:tc>
        <w:tc>
          <w:tcPr>
            <w:tcW w:w="1162" w:type="dxa"/>
            <w:shd w:val="clear" w:color="auto" w:fill="auto"/>
            <w:noWrap/>
            <w:vAlign w:val="center"/>
          </w:tcPr>
          <w:p w14:paraId="360439FA" w14:textId="00F001C7" w:rsidR="00073461" w:rsidRPr="00C862FF" w:rsidRDefault="00073461" w:rsidP="00073461">
            <w:pPr>
              <w:spacing w:after="0" w:line="240" w:lineRule="auto"/>
              <w:jc w:val="center"/>
              <w:rPr>
                <w:rFonts w:ascii="Calibri" w:eastAsia="Times New Roman" w:hAnsi="Calibri" w:cs="Calibri"/>
                <w:color w:val="000000"/>
                <w:lang w:val="es-MX" w:eastAsia="es-MX"/>
              </w:rPr>
            </w:pPr>
            <w:r w:rsidRPr="00073461">
              <w:rPr>
                <w:rFonts w:ascii="Calibri" w:eastAsia="Times New Roman" w:hAnsi="Calibri" w:cs="Calibri"/>
                <w:color w:val="000000"/>
                <w:lang w:val="es-MX" w:eastAsia="es-MX"/>
              </w:rPr>
              <w:t>265</w:t>
            </w:r>
          </w:p>
        </w:tc>
        <w:tc>
          <w:tcPr>
            <w:tcW w:w="1162" w:type="dxa"/>
            <w:shd w:val="clear" w:color="auto" w:fill="auto"/>
            <w:noWrap/>
            <w:vAlign w:val="center"/>
          </w:tcPr>
          <w:p w14:paraId="5B30EB82" w14:textId="767146C3" w:rsidR="00073461" w:rsidRPr="00C862FF" w:rsidRDefault="00073461" w:rsidP="00073461">
            <w:pPr>
              <w:spacing w:after="0" w:line="240" w:lineRule="auto"/>
              <w:jc w:val="center"/>
              <w:rPr>
                <w:rFonts w:ascii="Calibri" w:eastAsia="Times New Roman" w:hAnsi="Calibri" w:cs="Calibri"/>
                <w:color w:val="000000"/>
                <w:lang w:val="es-MX" w:eastAsia="es-MX"/>
              </w:rPr>
            </w:pPr>
            <w:r w:rsidRPr="00073461">
              <w:rPr>
                <w:rFonts w:ascii="Calibri" w:eastAsia="Times New Roman" w:hAnsi="Calibri" w:cs="Calibri"/>
                <w:color w:val="000000"/>
                <w:lang w:val="es-MX" w:eastAsia="es-MX"/>
              </w:rPr>
              <w:t>269</w:t>
            </w:r>
          </w:p>
        </w:tc>
        <w:tc>
          <w:tcPr>
            <w:tcW w:w="1162" w:type="dxa"/>
            <w:shd w:val="clear" w:color="auto" w:fill="auto"/>
            <w:noWrap/>
            <w:vAlign w:val="center"/>
          </w:tcPr>
          <w:p w14:paraId="7EC7C333" w14:textId="15192E10" w:rsidR="00073461" w:rsidRPr="00C862FF" w:rsidRDefault="00073461" w:rsidP="00073461">
            <w:pPr>
              <w:spacing w:after="0" w:line="240" w:lineRule="auto"/>
              <w:jc w:val="center"/>
              <w:rPr>
                <w:rFonts w:ascii="Calibri" w:eastAsia="Times New Roman" w:hAnsi="Calibri" w:cs="Calibri"/>
                <w:color w:val="000000"/>
                <w:lang w:val="es-MX" w:eastAsia="es-MX"/>
              </w:rPr>
            </w:pPr>
            <w:r w:rsidRPr="00073461">
              <w:rPr>
                <w:rFonts w:ascii="Calibri" w:eastAsia="Times New Roman" w:hAnsi="Calibri" w:cs="Calibri"/>
                <w:color w:val="000000"/>
                <w:lang w:val="es-MX" w:eastAsia="es-MX"/>
              </w:rPr>
              <w:t>269</w:t>
            </w:r>
          </w:p>
        </w:tc>
        <w:tc>
          <w:tcPr>
            <w:tcW w:w="1162" w:type="dxa"/>
            <w:shd w:val="clear" w:color="auto" w:fill="auto"/>
            <w:noWrap/>
            <w:vAlign w:val="center"/>
          </w:tcPr>
          <w:p w14:paraId="509867B9" w14:textId="25DFE8BF" w:rsidR="00073461" w:rsidRPr="00C862FF" w:rsidRDefault="00073461" w:rsidP="00073461">
            <w:pPr>
              <w:spacing w:after="0" w:line="240" w:lineRule="auto"/>
              <w:jc w:val="center"/>
              <w:rPr>
                <w:rFonts w:ascii="Calibri" w:eastAsia="Times New Roman" w:hAnsi="Calibri" w:cs="Calibri"/>
                <w:color w:val="000000"/>
                <w:lang w:val="es-MX" w:eastAsia="es-MX"/>
              </w:rPr>
            </w:pPr>
            <w:r w:rsidRPr="00073461">
              <w:rPr>
                <w:rFonts w:ascii="Calibri" w:eastAsia="Times New Roman" w:hAnsi="Calibri" w:cs="Calibri"/>
                <w:color w:val="000000"/>
                <w:lang w:val="es-MX" w:eastAsia="es-MX"/>
              </w:rPr>
              <w:t>269</w:t>
            </w:r>
          </w:p>
        </w:tc>
      </w:tr>
      <w:tr w:rsidR="00073461" w:rsidRPr="00C862FF" w14:paraId="4CD13A18" w14:textId="77777777" w:rsidTr="00073461">
        <w:trPr>
          <w:trHeight w:val="300"/>
        </w:trPr>
        <w:tc>
          <w:tcPr>
            <w:tcW w:w="1696" w:type="dxa"/>
            <w:vMerge/>
            <w:shd w:val="clear" w:color="auto" w:fill="auto"/>
            <w:noWrap/>
            <w:vAlign w:val="bottom"/>
          </w:tcPr>
          <w:p w14:paraId="3EB6C054" w14:textId="77777777" w:rsidR="00073461" w:rsidRPr="00C862FF" w:rsidRDefault="00073461" w:rsidP="00073461">
            <w:pPr>
              <w:spacing w:after="0" w:line="240" w:lineRule="auto"/>
              <w:rPr>
                <w:rFonts w:ascii="Calibri" w:eastAsia="Times New Roman" w:hAnsi="Calibri" w:cs="Calibri"/>
                <w:color w:val="000000"/>
                <w:lang w:val="es-MX" w:eastAsia="es-MX"/>
              </w:rPr>
            </w:pPr>
          </w:p>
        </w:tc>
        <w:tc>
          <w:tcPr>
            <w:tcW w:w="1221" w:type="dxa"/>
            <w:shd w:val="clear" w:color="auto" w:fill="auto"/>
            <w:noWrap/>
            <w:vAlign w:val="center"/>
          </w:tcPr>
          <w:p w14:paraId="03FD34B4" w14:textId="4EDCE9F6" w:rsidR="00073461" w:rsidRPr="00C862FF" w:rsidRDefault="00073461" w:rsidP="00073461">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Matemática</w:t>
            </w:r>
          </w:p>
        </w:tc>
        <w:tc>
          <w:tcPr>
            <w:tcW w:w="1162" w:type="dxa"/>
            <w:shd w:val="clear" w:color="auto" w:fill="auto"/>
            <w:noWrap/>
            <w:vAlign w:val="center"/>
          </w:tcPr>
          <w:p w14:paraId="23DB9D3B" w14:textId="19F0BF22" w:rsidR="00073461" w:rsidRPr="00C862FF" w:rsidRDefault="00073461" w:rsidP="00073461">
            <w:pPr>
              <w:spacing w:after="0" w:line="240" w:lineRule="auto"/>
              <w:jc w:val="center"/>
              <w:rPr>
                <w:rFonts w:ascii="Calibri" w:eastAsia="Times New Roman" w:hAnsi="Calibri" w:cs="Calibri"/>
                <w:color w:val="000000"/>
                <w:lang w:val="es-MX" w:eastAsia="es-MX"/>
              </w:rPr>
            </w:pPr>
            <w:r w:rsidRPr="00073461">
              <w:rPr>
                <w:rFonts w:ascii="Calibri" w:eastAsia="Times New Roman" w:hAnsi="Calibri" w:cs="Calibri"/>
                <w:color w:val="000000"/>
                <w:lang w:val="es-MX" w:eastAsia="es-MX"/>
              </w:rPr>
              <w:t>402</w:t>
            </w:r>
          </w:p>
        </w:tc>
        <w:tc>
          <w:tcPr>
            <w:tcW w:w="1162" w:type="dxa"/>
            <w:shd w:val="clear" w:color="auto" w:fill="auto"/>
            <w:noWrap/>
            <w:vAlign w:val="center"/>
          </w:tcPr>
          <w:p w14:paraId="3B2BB0FB" w14:textId="43E13A5E" w:rsidR="00073461" w:rsidRPr="00C862FF" w:rsidRDefault="00073461" w:rsidP="00073461">
            <w:pPr>
              <w:spacing w:after="0" w:line="240" w:lineRule="auto"/>
              <w:jc w:val="center"/>
              <w:rPr>
                <w:rFonts w:ascii="Calibri" w:eastAsia="Times New Roman" w:hAnsi="Calibri" w:cs="Calibri"/>
                <w:color w:val="000000"/>
                <w:lang w:val="es-MX" w:eastAsia="es-MX"/>
              </w:rPr>
            </w:pPr>
            <w:r w:rsidRPr="00073461">
              <w:rPr>
                <w:rFonts w:ascii="Calibri" w:eastAsia="Times New Roman" w:hAnsi="Calibri" w:cs="Calibri"/>
                <w:color w:val="000000"/>
                <w:lang w:val="es-MX" w:eastAsia="es-MX"/>
              </w:rPr>
              <w:t>406</w:t>
            </w:r>
          </w:p>
        </w:tc>
        <w:tc>
          <w:tcPr>
            <w:tcW w:w="1162" w:type="dxa"/>
            <w:shd w:val="clear" w:color="auto" w:fill="auto"/>
            <w:noWrap/>
            <w:vAlign w:val="center"/>
          </w:tcPr>
          <w:p w14:paraId="16317124" w14:textId="4BBC887D" w:rsidR="00073461" w:rsidRPr="00C862FF" w:rsidRDefault="00073461" w:rsidP="00073461">
            <w:pPr>
              <w:spacing w:after="0" w:line="240" w:lineRule="auto"/>
              <w:jc w:val="center"/>
              <w:rPr>
                <w:rFonts w:ascii="Calibri" w:eastAsia="Times New Roman" w:hAnsi="Calibri" w:cs="Calibri"/>
                <w:color w:val="000000"/>
                <w:lang w:val="es-MX" w:eastAsia="es-MX"/>
              </w:rPr>
            </w:pPr>
            <w:r w:rsidRPr="00073461">
              <w:rPr>
                <w:rFonts w:ascii="Calibri" w:eastAsia="Times New Roman" w:hAnsi="Calibri" w:cs="Calibri"/>
                <w:color w:val="000000"/>
                <w:lang w:val="es-MX" w:eastAsia="es-MX"/>
              </w:rPr>
              <w:t>409</w:t>
            </w:r>
          </w:p>
        </w:tc>
        <w:tc>
          <w:tcPr>
            <w:tcW w:w="1162" w:type="dxa"/>
            <w:shd w:val="clear" w:color="auto" w:fill="auto"/>
            <w:noWrap/>
            <w:vAlign w:val="center"/>
          </w:tcPr>
          <w:p w14:paraId="01CE3166" w14:textId="1ACD04F8" w:rsidR="00073461" w:rsidRPr="00C862FF" w:rsidRDefault="00073461" w:rsidP="00073461">
            <w:pPr>
              <w:spacing w:after="0" w:line="240" w:lineRule="auto"/>
              <w:jc w:val="center"/>
              <w:rPr>
                <w:rFonts w:ascii="Calibri" w:eastAsia="Times New Roman" w:hAnsi="Calibri" w:cs="Calibri"/>
                <w:color w:val="000000"/>
                <w:lang w:val="es-MX" w:eastAsia="es-MX"/>
              </w:rPr>
            </w:pPr>
            <w:r w:rsidRPr="00073461">
              <w:rPr>
                <w:rFonts w:ascii="Calibri" w:eastAsia="Times New Roman" w:hAnsi="Calibri" w:cs="Calibri"/>
                <w:color w:val="000000"/>
                <w:lang w:val="es-MX" w:eastAsia="es-MX"/>
              </w:rPr>
              <w:t>409</w:t>
            </w:r>
          </w:p>
        </w:tc>
        <w:tc>
          <w:tcPr>
            <w:tcW w:w="1162" w:type="dxa"/>
            <w:shd w:val="clear" w:color="auto" w:fill="auto"/>
            <w:noWrap/>
            <w:vAlign w:val="center"/>
          </w:tcPr>
          <w:p w14:paraId="5E49B5D3" w14:textId="4644649A" w:rsidR="00073461" w:rsidRPr="00C862FF" w:rsidRDefault="00073461" w:rsidP="00073461">
            <w:pPr>
              <w:spacing w:after="0" w:line="240" w:lineRule="auto"/>
              <w:jc w:val="center"/>
              <w:rPr>
                <w:rFonts w:ascii="Calibri" w:eastAsia="Times New Roman" w:hAnsi="Calibri" w:cs="Calibri"/>
                <w:color w:val="000000"/>
                <w:lang w:val="es-MX" w:eastAsia="es-MX"/>
              </w:rPr>
            </w:pPr>
            <w:r w:rsidRPr="00073461">
              <w:rPr>
                <w:rFonts w:ascii="Calibri" w:eastAsia="Times New Roman" w:hAnsi="Calibri" w:cs="Calibri"/>
                <w:color w:val="000000"/>
                <w:lang w:val="es-MX" w:eastAsia="es-MX"/>
              </w:rPr>
              <w:t>409</w:t>
            </w:r>
          </w:p>
        </w:tc>
      </w:tr>
    </w:tbl>
    <w:p w14:paraId="3F0B7ACA" w14:textId="77777777" w:rsidR="007B386A" w:rsidRPr="00D3116E" w:rsidRDefault="007B386A" w:rsidP="007B386A">
      <w:pPr>
        <w:spacing w:after="0" w:line="240" w:lineRule="auto"/>
        <w:rPr>
          <w:rFonts w:ascii="Times New Roman" w:eastAsia="Calibri" w:hAnsi="Times New Roman" w:cs="Times New Roman"/>
          <w:b/>
          <w:sz w:val="14"/>
          <w:szCs w:val="24"/>
          <w:lang w:val="es-MX"/>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0"/>
        <w:gridCol w:w="1221"/>
        <w:gridCol w:w="618"/>
        <w:gridCol w:w="587"/>
        <w:gridCol w:w="587"/>
        <w:gridCol w:w="587"/>
        <w:gridCol w:w="587"/>
        <w:gridCol w:w="587"/>
        <w:gridCol w:w="604"/>
        <w:gridCol w:w="587"/>
        <w:gridCol w:w="587"/>
        <w:gridCol w:w="726"/>
      </w:tblGrid>
      <w:tr w:rsidR="007B386A" w:rsidRPr="00C862FF" w14:paraId="5596F2BE" w14:textId="77777777" w:rsidTr="006237DE">
        <w:trPr>
          <w:trHeight w:val="300"/>
        </w:trPr>
        <w:tc>
          <w:tcPr>
            <w:tcW w:w="2781" w:type="dxa"/>
            <w:gridSpan w:val="2"/>
            <w:vMerge w:val="restart"/>
            <w:shd w:val="clear" w:color="auto" w:fill="auto"/>
            <w:noWrap/>
            <w:vAlign w:val="center"/>
            <w:hideMark/>
          </w:tcPr>
          <w:p w14:paraId="36725EA4" w14:textId="0E08CDCB" w:rsidR="007B386A" w:rsidRPr="00C862FF" w:rsidRDefault="007B386A" w:rsidP="006237DE">
            <w:pPr>
              <w:spacing w:after="0" w:line="240" w:lineRule="auto"/>
              <w:rPr>
                <w:rFonts w:ascii="Times New Roman" w:eastAsia="Times New Roman" w:hAnsi="Times New Roman" w:cs="Times New Roman"/>
                <w:b/>
                <w:sz w:val="20"/>
                <w:szCs w:val="20"/>
                <w:lang w:val="es-MX" w:eastAsia="es-MX"/>
              </w:rPr>
            </w:pPr>
            <w:r w:rsidRPr="00C862FF">
              <w:rPr>
                <w:rFonts w:ascii="Calibri" w:eastAsia="Times New Roman" w:hAnsi="Calibri" w:cs="Calibri"/>
                <w:b/>
                <w:color w:val="000000"/>
                <w:lang w:val="es-MX" w:eastAsia="es-MX"/>
              </w:rPr>
              <w:t xml:space="preserve">Chile </w:t>
            </w:r>
            <w:r w:rsidR="00D244C3">
              <w:rPr>
                <w:rFonts w:ascii="Calibri" w:eastAsia="Times New Roman" w:hAnsi="Calibri" w:cs="Calibri"/>
                <w:b/>
                <w:color w:val="000000"/>
                <w:lang w:val="es-MX" w:eastAsia="es-MX"/>
              </w:rPr>
              <w:t>–</w:t>
            </w:r>
            <w:r w:rsidRPr="00C862FF">
              <w:rPr>
                <w:rFonts w:ascii="Calibri" w:eastAsia="Times New Roman" w:hAnsi="Calibri" w:cs="Calibri"/>
                <w:b/>
                <w:color w:val="000000"/>
                <w:lang w:val="es-MX" w:eastAsia="es-MX"/>
              </w:rPr>
              <w:t xml:space="preserve"> SIMCE</w:t>
            </w:r>
          </w:p>
        </w:tc>
        <w:tc>
          <w:tcPr>
            <w:tcW w:w="6057" w:type="dxa"/>
            <w:gridSpan w:val="10"/>
            <w:shd w:val="clear" w:color="auto" w:fill="auto"/>
            <w:noWrap/>
            <w:vAlign w:val="bottom"/>
            <w:hideMark/>
          </w:tcPr>
          <w:p w14:paraId="5CA58973" w14:textId="77777777" w:rsidR="007B386A" w:rsidRPr="00C862FF" w:rsidRDefault="007B386A" w:rsidP="006237DE">
            <w:pPr>
              <w:spacing w:after="0" w:line="240" w:lineRule="auto"/>
              <w:rPr>
                <w:rFonts w:ascii="Times New Roman" w:eastAsia="Times New Roman" w:hAnsi="Times New Roman" w:cs="Times New Roman"/>
                <w:i/>
                <w:sz w:val="20"/>
                <w:szCs w:val="20"/>
                <w:lang w:val="es-MX" w:eastAsia="es-MX"/>
              </w:rPr>
            </w:pPr>
            <w:r w:rsidRPr="00C862FF">
              <w:rPr>
                <w:rFonts w:ascii="Calibri" w:eastAsia="Times New Roman" w:hAnsi="Calibri" w:cs="Calibri"/>
                <w:i/>
                <w:color w:val="000000"/>
                <w:lang w:val="es-MX" w:eastAsia="es-MX"/>
              </w:rPr>
              <w:t>Puntaje promedio estandarizado. Media = 250 y desv. est. = 50</w:t>
            </w:r>
          </w:p>
        </w:tc>
      </w:tr>
      <w:tr w:rsidR="007B386A" w:rsidRPr="00C862FF" w14:paraId="2E30903B" w14:textId="77777777" w:rsidTr="006237DE">
        <w:trPr>
          <w:trHeight w:val="300"/>
        </w:trPr>
        <w:tc>
          <w:tcPr>
            <w:tcW w:w="2781" w:type="dxa"/>
            <w:gridSpan w:val="2"/>
            <w:vMerge/>
            <w:shd w:val="clear" w:color="auto" w:fill="auto"/>
            <w:noWrap/>
            <w:vAlign w:val="bottom"/>
            <w:hideMark/>
          </w:tcPr>
          <w:p w14:paraId="1AEB476E" w14:textId="77777777" w:rsidR="007B386A" w:rsidRPr="00C862FF" w:rsidRDefault="007B386A" w:rsidP="006237DE">
            <w:pPr>
              <w:spacing w:after="0" w:line="240" w:lineRule="auto"/>
              <w:rPr>
                <w:rFonts w:ascii="Calibri" w:eastAsia="Times New Roman" w:hAnsi="Calibri" w:cs="Calibri"/>
                <w:color w:val="000000"/>
                <w:lang w:val="es-MX" w:eastAsia="es-MX"/>
              </w:rPr>
            </w:pPr>
          </w:p>
        </w:tc>
        <w:tc>
          <w:tcPr>
            <w:tcW w:w="618" w:type="dxa"/>
            <w:shd w:val="clear" w:color="auto" w:fill="auto"/>
            <w:noWrap/>
            <w:vAlign w:val="bottom"/>
            <w:hideMark/>
          </w:tcPr>
          <w:p w14:paraId="4F2009B9" w14:textId="77777777" w:rsidR="007B386A" w:rsidRPr="00C862FF" w:rsidRDefault="007B386A" w:rsidP="006237DE">
            <w:pPr>
              <w:spacing w:after="0" w:line="240" w:lineRule="auto"/>
              <w:jc w:val="right"/>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2006</w:t>
            </w:r>
          </w:p>
        </w:tc>
        <w:tc>
          <w:tcPr>
            <w:tcW w:w="587" w:type="dxa"/>
            <w:shd w:val="clear" w:color="auto" w:fill="auto"/>
            <w:noWrap/>
            <w:vAlign w:val="bottom"/>
            <w:hideMark/>
          </w:tcPr>
          <w:p w14:paraId="1B21D1FB" w14:textId="77777777" w:rsidR="007B386A" w:rsidRPr="00C862FF" w:rsidRDefault="007B386A" w:rsidP="006237DE">
            <w:pPr>
              <w:spacing w:after="0" w:line="240" w:lineRule="auto"/>
              <w:jc w:val="right"/>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2007</w:t>
            </w:r>
          </w:p>
        </w:tc>
        <w:tc>
          <w:tcPr>
            <w:tcW w:w="587" w:type="dxa"/>
            <w:shd w:val="clear" w:color="auto" w:fill="auto"/>
            <w:noWrap/>
            <w:vAlign w:val="bottom"/>
            <w:hideMark/>
          </w:tcPr>
          <w:p w14:paraId="7B814081" w14:textId="77777777" w:rsidR="007B386A" w:rsidRPr="00C862FF" w:rsidRDefault="007B386A" w:rsidP="006237DE">
            <w:pPr>
              <w:spacing w:after="0" w:line="240" w:lineRule="auto"/>
              <w:jc w:val="right"/>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2008</w:t>
            </w:r>
          </w:p>
        </w:tc>
        <w:tc>
          <w:tcPr>
            <w:tcW w:w="587" w:type="dxa"/>
            <w:shd w:val="clear" w:color="auto" w:fill="auto"/>
            <w:noWrap/>
            <w:vAlign w:val="bottom"/>
            <w:hideMark/>
          </w:tcPr>
          <w:p w14:paraId="28948927" w14:textId="77777777" w:rsidR="007B386A" w:rsidRPr="00C862FF" w:rsidRDefault="007B386A" w:rsidP="006237DE">
            <w:pPr>
              <w:spacing w:after="0" w:line="240" w:lineRule="auto"/>
              <w:jc w:val="right"/>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2009</w:t>
            </w:r>
          </w:p>
        </w:tc>
        <w:tc>
          <w:tcPr>
            <w:tcW w:w="587" w:type="dxa"/>
            <w:shd w:val="clear" w:color="auto" w:fill="auto"/>
            <w:noWrap/>
            <w:vAlign w:val="bottom"/>
            <w:hideMark/>
          </w:tcPr>
          <w:p w14:paraId="655E7369" w14:textId="77777777" w:rsidR="007B386A" w:rsidRPr="00C862FF" w:rsidRDefault="007B386A" w:rsidP="006237DE">
            <w:pPr>
              <w:spacing w:after="0" w:line="240" w:lineRule="auto"/>
              <w:jc w:val="right"/>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2010</w:t>
            </w:r>
          </w:p>
        </w:tc>
        <w:tc>
          <w:tcPr>
            <w:tcW w:w="587" w:type="dxa"/>
            <w:shd w:val="clear" w:color="auto" w:fill="auto"/>
            <w:noWrap/>
            <w:vAlign w:val="bottom"/>
            <w:hideMark/>
          </w:tcPr>
          <w:p w14:paraId="737E5F9A" w14:textId="77777777" w:rsidR="007B386A" w:rsidRPr="00C862FF" w:rsidRDefault="007B386A" w:rsidP="006237DE">
            <w:pPr>
              <w:spacing w:after="0" w:line="240" w:lineRule="auto"/>
              <w:jc w:val="right"/>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2011</w:t>
            </w:r>
          </w:p>
        </w:tc>
        <w:tc>
          <w:tcPr>
            <w:tcW w:w="604" w:type="dxa"/>
            <w:shd w:val="clear" w:color="auto" w:fill="auto"/>
            <w:noWrap/>
            <w:vAlign w:val="bottom"/>
            <w:hideMark/>
          </w:tcPr>
          <w:p w14:paraId="52269CB1" w14:textId="77777777" w:rsidR="007B386A" w:rsidRPr="00C862FF" w:rsidRDefault="007B386A" w:rsidP="006237DE">
            <w:pPr>
              <w:spacing w:after="0" w:line="240" w:lineRule="auto"/>
              <w:jc w:val="right"/>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2012</w:t>
            </w:r>
          </w:p>
        </w:tc>
        <w:tc>
          <w:tcPr>
            <w:tcW w:w="587" w:type="dxa"/>
            <w:shd w:val="clear" w:color="auto" w:fill="auto"/>
            <w:noWrap/>
            <w:vAlign w:val="bottom"/>
            <w:hideMark/>
          </w:tcPr>
          <w:p w14:paraId="2E5614FC" w14:textId="77777777" w:rsidR="007B386A" w:rsidRPr="00C862FF" w:rsidRDefault="007B386A" w:rsidP="006237DE">
            <w:pPr>
              <w:spacing w:after="0" w:line="240" w:lineRule="auto"/>
              <w:jc w:val="right"/>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2013</w:t>
            </w:r>
          </w:p>
        </w:tc>
        <w:tc>
          <w:tcPr>
            <w:tcW w:w="587" w:type="dxa"/>
            <w:shd w:val="clear" w:color="auto" w:fill="auto"/>
            <w:noWrap/>
            <w:vAlign w:val="bottom"/>
            <w:hideMark/>
          </w:tcPr>
          <w:p w14:paraId="376FC37E" w14:textId="77777777" w:rsidR="007B386A" w:rsidRPr="00C862FF" w:rsidRDefault="007B386A" w:rsidP="006237DE">
            <w:pPr>
              <w:spacing w:after="0" w:line="240" w:lineRule="auto"/>
              <w:jc w:val="right"/>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2014</w:t>
            </w:r>
          </w:p>
        </w:tc>
        <w:tc>
          <w:tcPr>
            <w:tcW w:w="726" w:type="dxa"/>
            <w:shd w:val="clear" w:color="auto" w:fill="auto"/>
            <w:noWrap/>
            <w:vAlign w:val="bottom"/>
            <w:hideMark/>
          </w:tcPr>
          <w:p w14:paraId="55AB783D" w14:textId="77777777" w:rsidR="007B386A" w:rsidRPr="00C862FF" w:rsidRDefault="007B386A" w:rsidP="006237DE">
            <w:pPr>
              <w:spacing w:after="0" w:line="240" w:lineRule="auto"/>
              <w:jc w:val="right"/>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2015</w:t>
            </w:r>
          </w:p>
        </w:tc>
      </w:tr>
      <w:tr w:rsidR="007B386A" w:rsidRPr="00C862FF" w14:paraId="454F65B0" w14:textId="77777777" w:rsidTr="006237DE">
        <w:trPr>
          <w:trHeight w:val="300"/>
        </w:trPr>
        <w:tc>
          <w:tcPr>
            <w:tcW w:w="1560" w:type="dxa"/>
            <w:vMerge w:val="restart"/>
            <w:shd w:val="clear" w:color="auto" w:fill="auto"/>
            <w:noWrap/>
            <w:vAlign w:val="bottom"/>
            <w:hideMark/>
          </w:tcPr>
          <w:p w14:paraId="1819F9A2" w14:textId="02CBA56A" w:rsidR="007B386A" w:rsidRPr="00C862FF" w:rsidRDefault="007B386A" w:rsidP="009C38B2">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4</w:t>
            </w:r>
            <w:r w:rsidR="005E3D27">
              <w:rPr>
                <w:rFonts w:ascii="Calibri" w:eastAsia="Times New Roman" w:hAnsi="Calibri" w:cs="Calibri"/>
                <w:color w:val="000000"/>
                <w:lang w:val="es-MX" w:eastAsia="es-MX"/>
              </w:rPr>
              <w:t>º</w:t>
            </w:r>
            <w:r w:rsidRPr="00C862FF">
              <w:rPr>
                <w:rFonts w:ascii="Calibri" w:eastAsia="Times New Roman" w:hAnsi="Calibri" w:cs="Calibri"/>
                <w:color w:val="000000"/>
                <w:lang w:val="es-MX" w:eastAsia="es-MX"/>
              </w:rPr>
              <w:t xml:space="preserve"> educación básica</w:t>
            </w:r>
            <w:r w:rsidR="009C38B2" w:rsidRPr="009C38B2">
              <w:rPr>
                <w:rFonts w:ascii="Calibri" w:eastAsia="Times New Roman" w:hAnsi="Calibri" w:cs="Calibri"/>
                <w:color w:val="000000"/>
                <w:vertAlign w:val="superscript"/>
                <w:lang w:val="es-MX" w:eastAsia="es-MX"/>
              </w:rPr>
              <w:t>I</w:t>
            </w:r>
            <w:r w:rsidR="009C38B2">
              <w:rPr>
                <w:rFonts w:ascii="Calibri" w:eastAsia="Times New Roman" w:hAnsi="Calibri" w:cs="Calibri"/>
                <w:color w:val="000000"/>
                <w:vertAlign w:val="superscript"/>
                <w:lang w:val="es-MX" w:eastAsia="es-MX"/>
              </w:rPr>
              <w:t>I</w:t>
            </w:r>
          </w:p>
        </w:tc>
        <w:tc>
          <w:tcPr>
            <w:tcW w:w="1221" w:type="dxa"/>
            <w:shd w:val="clear" w:color="auto" w:fill="auto"/>
            <w:noWrap/>
            <w:vAlign w:val="bottom"/>
            <w:hideMark/>
          </w:tcPr>
          <w:p w14:paraId="378A794B" w14:textId="77777777" w:rsidR="007B386A" w:rsidRPr="00C862FF" w:rsidRDefault="007B386A" w:rsidP="006237DE">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Lengua</w:t>
            </w:r>
          </w:p>
        </w:tc>
        <w:tc>
          <w:tcPr>
            <w:tcW w:w="618" w:type="dxa"/>
            <w:shd w:val="clear" w:color="auto" w:fill="auto"/>
            <w:noWrap/>
            <w:vAlign w:val="center"/>
            <w:hideMark/>
          </w:tcPr>
          <w:p w14:paraId="565C09FC"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253</w:t>
            </w:r>
          </w:p>
        </w:tc>
        <w:tc>
          <w:tcPr>
            <w:tcW w:w="587" w:type="dxa"/>
            <w:shd w:val="clear" w:color="auto" w:fill="auto"/>
            <w:noWrap/>
            <w:vAlign w:val="center"/>
            <w:hideMark/>
          </w:tcPr>
          <w:p w14:paraId="23F7FD4A"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254</w:t>
            </w:r>
          </w:p>
        </w:tc>
        <w:tc>
          <w:tcPr>
            <w:tcW w:w="587" w:type="dxa"/>
            <w:shd w:val="clear" w:color="auto" w:fill="auto"/>
            <w:noWrap/>
            <w:vAlign w:val="center"/>
            <w:hideMark/>
          </w:tcPr>
          <w:p w14:paraId="7BBCB335"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260</w:t>
            </w:r>
          </w:p>
        </w:tc>
        <w:tc>
          <w:tcPr>
            <w:tcW w:w="587" w:type="dxa"/>
            <w:shd w:val="clear" w:color="auto" w:fill="auto"/>
            <w:noWrap/>
            <w:vAlign w:val="center"/>
            <w:hideMark/>
          </w:tcPr>
          <w:p w14:paraId="1133E25B"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262</w:t>
            </w:r>
          </w:p>
        </w:tc>
        <w:tc>
          <w:tcPr>
            <w:tcW w:w="587" w:type="dxa"/>
            <w:shd w:val="clear" w:color="auto" w:fill="auto"/>
            <w:noWrap/>
            <w:vAlign w:val="center"/>
            <w:hideMark/>
          </w:tcPr>
          <w:p w14:paraId="0E7F7855"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271</w:t>
            </w:r>
          </w:p>
        </w:tc>
        <w:tc>
          <w:tcPr>
            <w:tcW w:w="587" w:type="dxa"/>
            <w:shd w:val="clear" w:color="auto" w:fill="auto"/>
            <w:noWrap/>
            <w:vAlign w:val="center"/>
            <w:hideMark/>
          </w:tcPr>
          <w:p w14:paraId="4B37FBFE"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267</w:t>
            </w:r>
          </w:p>
        </w:tc>
        <w:tc>
          <w:tcPr>
            <w:tcW w:w="604" w:type="dxa"/>
            <w:shd w:val="clear" w:color="auto" w:fill="auto"/>
            <w:noWrap/>
            <w:vAlign w:val="center"/>
            <w:hideMark/>
          </w:tcPr>
          <w:p w14:paraId="3DCB1212"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267</w:t>
            </w:r>
          </w:p>
        </w:tc>
        <w:tc>
          <w:tcPr>
            <w:tcW w:w="587" w:type="dxa"/>
            <w:shd w:val="clear" w:color="auto" w:fill="auto"/>
            <w:noWrap/>
            <w:vAlign w:val="center"/>
            <w:hideMark/>
          </w:tcPr>
          <w:p w14:paraId="32810B5D"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264</w:t>
            </w:r>
          </w:p>
        </w:tc>
        <w:tc>
          <w:tcPr>
            <w:tcW w:w="587" w:type="dxa"/>
            <w:shd w:val="clear" w:color="auto" w:fill="auto"/>
            <w:noWrap/>
            <w:vAlign w:val="center"/>
            <w:hideMark/>
          </w:tcPr>
          <w:p w14:paraId="1B9DCBEC"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264</w:t>
            </w:r>
          </w:p>
        </w:tc>
        <w:tc>
          <w:tcPr>
            <w:tcW w:w="726" w:type="dxa"/>
            <w:shd w:val="clear" w:color="auto" w:fill="auto"/>
            <w:noWrap/>
            <w:vAlign w:val="center"/>
            <w:hideMark/>
          </w:tcPr>
          <w:p w14:paraId="0FA4EE1C"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265</w:t>
            </w:r>
          </w:p>
        </w:tc>
      </w:tr>
      <w:tr w:rsidR="007B386A" w:rsidRPr="00C862FF" w14:paraId="52B496C8" w14:textId="77777777" w:rsidTr="006237DE">
        <w:trPr>
          <w:trHeight w:val="300"/>
        </w:trPr>
        <w:tc>
          <w:tcPr>
            <w:tcW w:w="1560" w:type="dxa"/>
            <w:vMerge/>
            <w:shd w:val="clear" w:color="auto" w:fill="auto"/>
            <w:noWrap/>
            <w:vAlign w:val="bottom"/>
            <w:hideMark/>
          </w:tcPr>
          <w:p w14:paraId="11FCEFA6" w14:textId="77777777" w:rsidR="007B386A" w:rsidRPr="00C862FF" w:rsidRDefault="007B386A" w:rsidP="006237DE">
            <w:pPr>
              <w:spacing w:after="0" w:line="240" w:lineRule="auto"/>
              <w:rPr>
                <w:rFonts w:ascii="Calibri" w:eastAsia="Times New Roman" w:hAnsi="Calibri" w:cs="Calibri"/>
                <w:color w:val="000000"/>
                <w:lang w:val="es-MX" w:eastAsia="es-MX"/>
              </w:rPr>
            </w:pPr>
          </w:p>
        </w:tc>
        <w:tc>
          <w:tcPr>
            <w:tcW w:w="1221" w:type="dxa"/>
            <w:shd w:val="clear" w:color="auto" w:fill="auto"/>
            <w:noWrap/>
            <w:vAlign w:val="bottom"/>
            <w:hideMark/>
          </w:tcPr>
          <w:p w14:paraId="2F827D8F" w14:textId="77777777" w:rsidR="007B386A" w:rsidRPr="00C862FF" w:rsidRDefault="007B386A" w:rsidP="006237DE">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Matemática</w:t>
            </w:r>
          </w:p>
        </w:tc>
        <w:tc>
          <w:tcPr>
            <w:tcW w:w="618" w:type="dxa"/>
            <w:shd w:val="clear" w:color="auto" w:fill="auto"/>
            <w:noWrap/>
            <w:vAlign w:val="center"/>
            <w:hideMark/>
          </w:tcPr>
          <w:p w14:paraId="3C17B103"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248</w:t>
            </w:r>
          </w:p>
        </w:tc>
        <w:tc>
          <w:tcPr>
            <w:tcW w:w="587" w:type="dxa"/>
            <w:shd w:val="clear" w:color="auto" w:fill="auto"/>
            <w:noWrap/>
            <w:vAlign w:val="center"/>
            <w:hideMark/>
          </w:tcPr>
          <w:p w14:paraId="73EEA6AA"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246</w:t>
            </w:r>
          </w:p>
        </w:tc>
        <w:tc>
          <w:tcPr>
            <w:tcW w:w="587" w:type="dxa"/>
            <w:shd w:val="clear" w:color="auto" w:fill="auto"/>
            <w:noWrap/>
            <w:vAlign w:val="center"/>
            <w:hideMark/>
          </w:tcPr>
          <w:p w14:paraId="257CBB26"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247</w:t>
            </w:r>
          </w:p>
        </w:tc>
        <w:tc>
          <w:tcPr>
            <w:tcW w:w="587" w:type="dxa"/>
            <w:shd w:val="clear" w:color="auto" w:fill="auto"/>
            <w:noWrap/>
            <w:vAlign w:val="center"/>
            <w:hideMark/>
          </w:tcPr>
          <w:p w14:paraId="3D247027"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253</w:t>
            </w:r>
          </w:p>
        </w:tc>
        <w:tc>
          <w:tcPr>
            <w:tcW w:w="587" w:type="dxa"/>
            <w:shd w:val="clear" w:color="auto" w:fill="auto"/>
            <w:noWrap/>
            <w:vAlign w:val="center"/>
            <w:hideMark/>
          </w:tcPr>
          <w:p w14:paraId="39EF6FB8"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253</w:t>
            </w:r>
          </w:p>
        </w:tc>
        <w:tc>
          <w:tcPr>
            <w:tcW w:w="587" w:type="dxa"/>
            <w:shd w:val="clear" w:color="auto" w:fill="auto"/>
            <w:noWrap/>
            <w:vAlign w:val="center"/>
            <w:hideMark/>
          </w:tcPr>
          <w:p w14:paraId="319DC0BC"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259</w:t>
            </w:r>
          </w:p>
        </w:tc>
        <w:tc>
          <w:tcPr>
            <w:tcW w:w="604" w:type="dxa"/>
            <w:shd w:val="clear" w:color="auto" w:fill="auto"/>
            <w:noWrap/>
            <w:vAlign w:val="center"/>
            <w:hideMark/>
          </w:tcPr>
          <w:p w14:paraId="0BF7AC70"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261</w:t>
            </w:r>
          </w:p>
        </w:tc>
        <w:tc>
          <w:tcPr>
            <w:tcW w:w="587" w:type="dxa"/>
            <w:shd w:val="clear" w:color="auto" w:fill="auto"/>
            <w:noWrap/>
            <w:vAlign w:val="center"/>
            <w:hideMark/>
          </w:tcPr>
          <w:p w14:paraId="379F0ABF"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256</w:t>
            </w:r>
          </w:p>
        </w:tc>
        <w:tc>
          <w:tcPr>
            <w:tcW w:w="587" w:type="dxa"/>
            <w:shd w:val="clear" w:color="auto" w:fill="auto"/>
            <w:noWrap/>
            <w:vAlign w:val="center"/>
            <w:hideMark/>
          </w:tcPr>
          <w:p w14:paraId="6B6C14DB"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256</w:t>
            </w:r>
          </w:p>
        </w:tc>
        <w:tc>
          <w:tcPr>
            <w:tcW w:w="726" w:type="dxa"/>
            <w:shd w:val="clear" w:color="auto" w:fill="auto"/>
            <w:noWrap/>
            <w:vAlign w:val="center"/>
            <w:hideMark/>
          </w:tcPr>
          <w:p w14:paraId="2C68FCBD"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260</w:t>
            </w:r>
          </w:p>
        </w:tc>
      </w:tr>
      <w:tr w:rsidR="007B386A" w:rsidRPr="00C862FF" w14:paraId="08D359B4" w14:textId="77777777" w:rsidTr="006237DE">
        <w:trPr>
          <w:trHeight w:val="300"/>
        </w:trPr>
        <w:tc>
          <w:tcPr>
            <w:tcW w:w="1560" w:type="dxa"/>
            <w:vMerge w:val="restart"/>
            <w:shd w:val="clear" w:color="auto" w:fill="auto"/>
            <w:noWrap/>
            <w:vAlign w:val="bottom"/>
            <w:hideMark/>
          </w:tcPr>
          <w:p w14:paraId="7509525E" w14:textId="59957D9E" w:rsidR="007B386A" w:rsidRPr="00C862FF" w:rsidRDefault="007B386A" w:rsidP="009C38B2">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w:t>
            </w:r>
            <w:r w:rsidR="005E3D27">
              <w:rPr>
                <w:rFonts w:ascii="Calibri" w:eastAsia="Times New Roman" w:hAnsi="Calibri" w:cs="Calibri"/>
                <w:color w:val="000000"/>
                <w:lang w:val="es-MX" w:eastAsia="es-MX"/>
              </w:rPr>
              <w:t>º</w:t>
            </w:r>
            <w:r w:rsidRPr="00C862FF">
              <w:rPr>
                <w:rFonts w:ascii="Calibri" w:eastAsia="Times New Roman" w:hAnsi="Calibri" w:cs="Calibri"/>
                <w:color w:val="000000"/>
                <w:lang w:val="es-MX" w:eastAsia="es-MX"/>
              </w:rPr>
              <w:t xml:space="preserve"> educación media</w:t>
            </w:r>
            <w:r w:rsidR="009C38B2" w:rsidRPr="009C38B2">
              <w:rPr>
                <w:rFonts w:ascii="Calibri" w:eastAsia="Times New Roman" w:hAnsi="Calibri" w:cs="Calibri"/>
                <w:color w:val="000000"/>
                <w:vertAlign w:val="superscript"/>
                <w:lang w:val="es-MX" w:eastAsia="es-MX"/>
              </w:rPr>
              <w:t>V</w:t>
            </w:r>
            <w:r w:rsidR="009C38B2">
              <w:rPr>
                <w:rFonts w:ascii="Calibri" w:eastAsia="Times New Roman" w:hAnsi="Calibri" w:cs="Calibri"/>
                <w:color w:val="000000"/>
                <w:vertAlign w:val="superscript"/>
                <w:lang w:val="es-MX" w:eastAsia="es-MX"/>
              </w:rPr>
              <w:t>I</w:t>
            </w:r>
          </w:p>
        </w:tc>
        <w:tc>
          <w:tcPr>
            <w:tcW w:w="1221" w:type="dxa"/>
            <w:shd w:val="clear" w:color="auto" w:fill="auto"/>
            <w:noWrap/>
            <w:vAlign w:val="bottom"/>
            <w:hideMark/>
          </w:tcPr>
          <w:p w14:paraId="01A9C694" w14:textId="77777777" w:rsidR="007B386A" w:rsidRPr="00C862FF" w:rsidRDefault="007B386A" w:rsidP="006237DE">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Lengua</w:t>
            </w:r>
          </w:p>
        </w:tc>
        <w:tc>
          <w:tcPr>
            <w:tcW w:w="618" w:type="dxa"/>
            <w:shd w:val="clear" w:color="auto" w:fill="auto"/>
            <w:noWrap/>
            <w:vAlign w:val="center"/>
            <w:hideMark/>
          </w:tcPr>
          <w:p w14:paraId="6933DAEE"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254</w:t>
            </w:r>
          </w:p>
        </w:tc>
        <w:tc>
          <w:tcPr>
            <w:tcW w:w="587" w:type="dxa"/>
            <w:shd w:val="clear" w:color="auto" w:fill="auto"/>
            <w:noWrap/>
            <w:vAlign w:val="center"/>
            <w:hideMark/>
          </w:tcPr>
          <w:p w14:paraId="0562BB07"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p>
        </w:tc>
        <w:tc>
          <w:tcPr>
            <w:tcW w:w="587" w:type="dxa"/>
            <w:shd w:val="clear" w:color="auto" w:fill="auto"/>
            <w:noWrap/>
            <w:vAlign w:val="center"/>
            <w:hideMark/>
          </w:tcPr>
          <w:p w14:paraId="37AD9CF6" w14:textId="77777777" w:rsidR="007B386A" w:rsidRPr="00C862FF" w:rsidRDefault="007B386A" w:rsidP="006237DE">
            <w:pPr>
              <w:spacing w:after="0" w:line="240" w:lineRule="auto"/>
              <w:jc w:val="center"/>
              <w:rPr>
                <w:rFonts w:ascii="Calibri" w:eastAsia="Times New Roman" w:hAnsi="Calibri" w:cs="Calibri"/>
                <w:lang w:val="es-MX" w:eastAsia="es-MX"/>
              </w:rPr>
            </w:pPr>
            <w:r w:rsidRPr="00C862FF">
              <w:rPr>
                <w:rFonts w:ascii="Calibri" w:eastAsia="Times New Roman" w:hAnsi="Calibri" w:cs="Calibri"/>
                <w:lang w:val="es-MX" w:eastAsia="es-MX"/>
              </w:rPr>
              <w:t>255</w:t>
            </w:r>
          </w:p>
        </w:tc>
        <w:tc>
          <w:tcPr>
            <w:tcW w:w="587" w:type="dxa"/>
            <w:shd w:val="clear" w:color="auto" w:fill="auto"/>
            <w:noWrap/>
            <w:vAlign w:val="center"/>
            <w:hideMark/>
          </w:tcPr>
          <w:p w14:paraId="1A6B63A9" w14:textId="77777777" w:rsidR="007B386A" w:rsidRPr="00C862FF" w:rsidRDefault="007B386A" w:rsidP="006237DE">
            <w:pPr>
              <w:spacing w:after="0" w:line="240" w:lineRule="auto"/>
              <w:jc w:val="center"/>
              <w:rPr>
                <w:rFonts w:ascii="Calibri" w:eastAsia="Times New Roman" w:hAnsi="Calibri" w:cs="Calibri"/>
                <w:lang w:val="es-MX" w:eastAsia="es-MX"/>
              </w:rPr>
            </w:pPr>
          </w:p>
        </w:tc>
        <w:tc>
          <w:tcPr>
            <w:tcW w:w="587" w:type="dxa"/>
            <w:shd w:val="clear" w:color="auto" w:fill="auto"/>
            <w:noWrap/>
            <w:vAlign w:val="center"/>
            <w:hideMark/>
          </w:tcPr>
          <w:p w14:paraId="24DAF927" w14:textId="77777777" w:rsidR="007B386A" w:rsidRPr="00C862FF" w:rsidRDefault="007B386A" w:rsidP="006237DE">
            <w:pPr>
              <w:spacing w:after="0" w:line="240" w:lineRule="auto"/>
              <w:jc w:val="center"/>
              <w:rPr>
                <w:rFonts w:ascii="Calibri" w:eastAsia="Times New Roman" w:hAnsi="Calibri" w:cs="Calibri"/>
                <w:lang w:val="es-MX" w:eastAsia="es-MX"/>
              </w:rPr>
            </w:pPr>
            <w:r w:rsidRPr="00C862FF">
              <w:rPr>
                <w:rFonts w:ascii="Calibri" w:eastAsia="Times New Roman" w:hAnsi="Calibri" w:cs="Calibri"/>
                <w:lang w:val="es-MX" w:eastAsia="es-MX"/>
              </w:rPr>
              <w:t>259</w:t>
            </w:r>
          </w:p>
        </w:tc>
        <w:tc>
          <w:tcPr>
            <w:tcW w:w="587" w:type="dxa"/>
            <w:shd w:val="clear" w:color="auto" w:fill="auto"/>
            <w:noWrap/>
            <w:vAlign w:val="center"/>
            <w:hideMark/>
          </w:tcPr>
          <w:p w14:paraId="7F950DD4" w14:textId="77777777" w:rsidR="007B386A" w:rsidRPr="00C862FF" w:rsidRDefault="007B386A" w:rsidP="006237DE">
            <w:pPr>
              <w:spacing w:after="0" w:line="240" w:lineRule="auto"/>
              <w:jc w:val="center"/>
              <w:rPr>
                <w:rFonts w:ascii="Calibri" w:eastAsia="Times New Roman" w:hAnsi="Calibri" w:cs="Calibri"/>
                <w:lang w:val="es-MX" w:eastAsia="es-MX"/>
              </w:rPr>
            </w:pPr>
          </w:p>
        </w:tc>
        <w:tc>
          <w:tcPr>
            <w:tcW w:w="604" w:type="dxa"/>
            <w:shd w:val="clear" w:color="auto" w:fill="auto"/>
            <w:noWrap/>
            <w:vAlign w:val="center"/>
            <w:hideMark/>
          </w:tcPr>
          <w:p w14:paraId="144074DB"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259</w:t>
            </w:r>
          </w:p>
        </w:tc>
        <w:tc>
          <w:tcPr>
            <w:tcW w:w="587" w:type="dxa"/>
            <w:shd w:val="clear" w:color="auto" w:fill="auto"/>
            <w:noWrap/>
            <w:vAlign w:val="center"/>
            <w:hideMark/>
          </w:tcPr>
          <w:p w14:paraId="07CFAC56"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254</w:t>
            </w:r>
          </w:p>
        </w:tc>
        <w:tc>
          <w:tcPr>
            <w:tcW w:w="587" w:type="dxa"/>
            <w:shd w:val="clear" w:color="auto" w:fill="auto"/>
            <w:noWrap/>
            <w:vAlign w:val="center"/>
            <w:hideMark/>
          </w:tcPr>
          <w:p w14:paraId="45130A40"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252</w:t>
            </w:r>
          </w:p>
        </w:tc>
        <w:tc>
          <w:tcPr>
            <w:tcW w:w="726" w:type="dxa"/>
            <w:shd w:val="clear" w:color="auto" w:fill="auto"/>
            <w:noWrap/>
            <w:vAlign w:val="center"/>
            <w:hideMark/>
          </w:tcPr>
          <w:p w14:paraId="067D1D22"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247</w:t>
            </w:r>
          </w:p>
        </w:tc>
      </w:tr>
      <w:tr w:rsidR="007B386A" w:rsidRPr="00C862FF" w14:paraId="19073CE6" w14:textId="77777777" w:rsidTr="006237DE">
        <w:trPr>
          <w:trHeight w:val="300"/>
        </w:trPr>
        <w:tc>
          <w:tcPr>
            <w:tcW w:w="1560" w:type="dxa"/>
            <w:vMerge/>
            <w:shd w:val="clear" w:color="auto" w:fill="auto"/>
            <w:noWrap/>
            <w:vAlign w:val="bottom"/>
            <w:hideMark/>
          </w:tcPr>
          <w:p w14:paraId="2F24F248" w14:textId="77777777" w:rsidR="007B386A" w:rsidRPr="00C862FF" w:rsidRDefault="007B386A" w:rsidP="006237DE">
            <w:pPr>
              <w:spacing w:after="0" w:line="240" w:lineRule="auto"/>
              <w:jc w:val="right"/>
              <w:rPr>
                <w:rFonts w:ascii="Calibri" w:eastAsia="Times New Roman" w:hAnsi="Calibri" w:cs="Calibri"/>
                <w:color w:val="000000"/>
                <w:lang w:val="es-MX" w:eastAsia="es-MX"/>
              </w:rPr>
            </w:pPr>
          </w:p>
        </w:tc>
        <w:tc>
          <w:tcPr>
            <w:tcW w:w="1221" w:type="dxa"/>
            <w:shd w:val="clear" w:color="auto" w:fill="auto"/>
            <w:noWrap/>
            <w:vAlign w:val="bottom"/>
            <w:hideMark/>
          </w:tcPr>
          <w:p w14:paraId="376F8E39" w14:textId="77777777" w:rsidR="007B386A" w:rsidRPr="00C862FF" w:rsidRDefault="007B386A" w:rsidP="006237DE">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Matemática</w:t>
            </w:r>
          </w:p>
        </w:tc>
        <w:tc>
          <w:tcPr>
            <w:tcW w:w="618" w:type="dxa"/>
            <w:shd w:val="clear" w:color="auto" w:fill="auto"/>
            <w:noWrap/>
            <w:vAlign w:val="center"/>
            <w:hideMark/>
          </w:tcPr>
          <w:p w14:paraId="4DAFE0EC"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252</w:t>
            </w:r>
          </w:p>
        </w:tc>
        <w:tc>
          <w:tcPr>
            <w:tcW w:w="587" w:type="dxa"/>
            <w:shd w:val="clear" w:color="auto" w:fill="auto"/>
            <w:noWrap/>
            <w:vAlign w:val="center"/>
            <w:hideMark/>
          </w:tcPr>
          <w:p w14:paraId="6F548AC2"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p>
        </w:tc>
        <w:tc>
          <w:tcPr>
            <w:tcW w:w="587" w:type="dxa"/>
            <w:shd w:val="clear" w:color="auto" w:fill="auto"/>
            <w:noWrap/>
            <w:vAlign w:val="center"/>
            <w:hideMark/>
          </w:tcPr>
          <w:p w14:paraId="195C2A31"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250</w:t>
            </w:r>
          </w:p>
        </w:tc>
        <w:tc>
          <w:tcPr>
            <w:tcW w:w="587" w:type="dxa"/>
            <w:shd w:val="clear" w:color="auto" w:fill="auto"/>
            <w:noWrap/>
            <w:vAlign w:val="center"/>
            <w:hideMark/>
          </w:tcPr>
          <w:p w14:paraId="7FCB5B0F"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p>
        </w:tc>
        <w:tc>
          <w:tcPr>
            <w:tcW w:w="587" w:type="dxa"/>
            <w:shd w:val="clear" w:color="auto" w:fill="auto"/>
            <w:noWrap/>
            <w:vAlign w:val="center"/>
            <w:hideMark/>
          </w:tcPr>
          <w:p w14:paraId="377156AB"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256</w:t>
            </w:r>
          </w:p>
        </w:tc>
        <w:tc>
          <w:tcPr>
            <w:tcW w:w="587" w:type="dxa"/>
            <w:shd w:val="clear" w:color="auto" w:fill="auto"/>
            <w:noWrap/>
            <w:vAlign w:val="center"/>
            <w:hideMark/>
          </w:tcPr>
          <w:p w14:paraId="1216C0A8"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p>
        </w:tc>
        <w:tc>
          <w:tcPr>
            <w:tcW w:w="604" w:type="dxa"/>
            <w:shd w:val="clear" w:color="auto" w:fill="auto"/>
            <w:noWrap/>
            <w:vAlign w:val="center"/>
            <w:hideMark/>
          </w:tcPr>
          <w:p w14:paraId="0DE99B0A"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265</w:t>
            </w:r>
          </w:p>
        </w:tc>
        <w:tc>
          <w:tcPr>
            <w:tcW w:w="587" w:type="dxa"/>
            <w:shd w:val="clear" w:color="auto" w:fill="auto"/>
            <w:noWrap/>
            <w:vAlign w:val="center"/>
            <w:hideMark/>
          </w:tcPr>
          <w:p w14:paraId="55ED9657" w14:textId="77777777" w:rsidR="007B386A" w:rsidRPr="00C862FF" w:rsidRDefault="007B386A" w:rsidP="006237DE">
            <w:pPr>
              <w:spacing w:after="0" w:line="240" w:lineRule="auto"/>
              <w:jc w:val="center"/>
              <w:rPr>
                <w:rFonts w:ascii="Calibri" w:eastAsia="Times New Roman" w:hAnsi="Calibri" w:cs="Calibri"/>
                <w:lang w:val="es-MX" w:eastAsia="es-MX"/>
              </w:rPr>
            </w:pPr>
            <w:r w:rsidRPr="00C862FF">
              <w:rPr>
                <w:rFonts w:ascii="Calibri" w:eastAsia="Times New Roman" w:hAnsi="Calibri" w:cs="Calibri"/>
                <w:lang w:val="es-MX" w:eastAsia="es-MX"/>
              </w:rPr>
              <w:t>267</w:t>
            </w:r>
          </w:p>
        </w:tc>
        <w:tc>
          <w:tcPr>
            <w:tcW w:w="587" w:type="dxa"/>
            <w:shd w:val="clear" w:color="auto" w:fill="auto"/>
            <w:noWrap/>
            <w:vAlign w:val="center"/>
            <w:hideMark/>
          </w:tcPr>
          <w:p w14:paraId="16AD5AEE" w14:textId="77777777" w:rsidR="007B386A" w:rsidRPr="00C862FF" w:rsidRDefault="007B386A" w:rsidP="006237DE">
            <w:pPr>
              <w:spacing w:after="0" w:line="240" w:lineRule="auto"/>
              <w:jc w:val="center"/>
              <w:rPr>
                <w:rFonts w:ascii="Calibri" w:eastAsia="Times New Roman" w:hAnsi="Calibri" w:cs="Calibri"/>
                <w:lang w:val="es-MX" w:eastAsia="es-MX"/>
              </w:rPr>
            </w:pPr>
            <w:r w:rsidRPr="00C862FF">
              <w:rPr>
                <w:rFonts w:ascii="Calibri" w:eastAsia="Times New Roman" w:hAnsi="Calibri" w:cs="Calibri"/>
                <w:lang w:val="es-MX" w:eastAsia="es-MX"/>
              </w:rPr>
              <w:t>265</w:t>
            </w:r>
          </w:p>
        </w:tc>
        <w:tc>
          <w:tcPr>
            <w:tcW w:w="726" w:type="dxa"/>
            <w:shd w:val="clear" w:color="auto" w:fill="auto"/>
            <w:noWrap/>
            <w:vAlign w:val="center"/>
            <w:hideMark/>
          </w:tcPr>
          <w:p w14:paraId="13860F57"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262</w:t>
            </w:r>
          </w:p>
        </w:tc>
      </w:tr>
    </w:tbl>
    <w:p w14:paraId="45B7F130" w14:textId="77777777" w:rsidR="007B386A" w:rsidRPr="00D3116E" w:rsidRDefault="007B386A" w:rsidP="007B386A">
      <w:pPr>
        <w:spacing w:after="0" w:line="240" w:lineRule="auto"/>
        <w:rPr>
          <w:rFonts w:ascii="Times New Roman" w:eastAsia="Calibri" w:hAnsi="Times New Roman" w:cs="Times New Roman"/>
          <w:b/>
          <w:sz w:val="14"/>
          <w:szCs w:val="24"/>
          <w:lang w:val="es-MX"/>
        </w:rPr>
      </w:pPr>
    </w:p>
    <w:tbl>
      <w:tblPr>
        <w:tblW w:w="8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1221"/>
        <w:gridCol w:w="619"/>
        <w:gridCol w:w="641"/>
        <w:gridCol w:w="619"/>
        <w:gridCol w:w="619"/>
        <w:gridCol w:w="657"/>
        <w:gridCol w:w="656"/>
        <w:gridCol w:w="605"/>
        <w:gridCol w:w="619"/>
        <w:gridCol w:w="619"/>
        <w:gridCol w:w="639"/>
      </w:tblGrid>
      <w:tr w:rsidR="00073461" w:rsidRPr="00C862FF" w14:paraId="661ADEF0" w14:textId="77777777" w:rsidTr="009C38B2">
        <w:trPr>
          <w:trHeight w:val="300"/>
        </w:trPr>
        <w:tc>
          <w:tcPr>
            <w:tcW w:w="2492" w:type="dxa"/>
            <w:gridSpan w:val="2"/>
            <w:vMerge w:val="restart"/>
            <w:shd w:val="clear" w:color="auto" w:fill="auto"/>
            <w:noWrap/>
            <w:vAlign w:val="center"/>
            <w:hideMark/>
          </w:tcPr>
          <w:p w14:paraId="3CAC89AB" w14:textId="5700F363" w:rsidR="00073461" w:rsidRPr="00C862FF" w:rsidRDefault="00073461" w:rsidP="006237DE">
            <w:pPr>
              <w:spacing w:after="0" w:line="240" w:lineRule="auto"/>
              <w:rPr>
                <w:rFonts w:ascii="Times New Roman" w:eastAsia="Times New Roman" w:hAnsi="Times New Roman" w:cs="Times New Roman"/>
                <w:b/>
                <w:sz w:val="20"/>
                <w:szCs w:val="20"/>
                <w:lang w:val="es-MX" w:eastAsia="es-MX"/>
              </w:rPr>
            </w:pPr>
            <w:r w:rsidRPr="00C862FF">
              <w:rPr>
                <w:rFonts w:ascii="Calibri" w:eastAsia="Times New Roman" w:hAnsi="Calibri" w:cs="Calibri"/>
                <w:b/>
                <w:color w:val="000000"/>
                <w:lang w:val="es-MX" w:eastAsia="es-MX"/>
              </w:rPr>
              <w:t xml:space="preserve">Colombia </w:t>
            </w:r>
            <w:r w:rsidR="00D244C3">
              <w:rPr>
                <w:rFonts w:ascii="Calibri" w:eastAsia="Times New Roman" w:hAnsi="Calibri" w:cs="Calibri"/>
                <w:b/>
                <w:color w:val="000000"/>
                <w:lang w:val="es-MX" w:eastAsia="es-MX"/>
              </w:rPr>
              <w:t>–</w:t>
            </w:r>
            <w:r w:rsidRPr="00C862FF">
              <w:rPr>
                <w:rFonts w:ascii="Calibri" w:eastAsia="Times New Roman" w:hAnsi="Calibri" w:cs="Calibri"/>
                <w:b/>
                <w:color w:val="000000"/>
                <w:lang w:val="es-MX" w:eastAsia="es-MX"/>
              </w:rPr>
              <w:t xml:space="preserve"> SABER</w:t>
            </w:r>
          </w:p>
        </w:tc>
        <w:tc>
          <w:tcPr>
            <w:tcW w:w="6293" w:type="dxa"/>
            <w:gridSpan w:val="10"/>
          </w:tcPr>
          <w:p w14:paraId="422A26AF" w14:textId="03AAFEDE" w:rsidR="00073461" w:rsidRPr="00C862FF" w:rsidRDefault="00073461" w:rsidP="006237DE">
            <w:pPr>
              <w:spacing w:after="0" w:line="240" w:lineRule="auto"/>
              <w:rPr>
                <w:rFonts w:ascii="Calibri" w:eastAsia="Times New Roman" w:hAnsi="Calibri" w:cs="Calibri"/>
                <w:i/>
                <w:color w:val="000000"/>
                <w:lang w:val="es-MX" w:eastAsia="es-MX"/>
              </w:rPr>
            </w:pPr>
            <w:r w:rsidRPr="00C862FF">
              <w:rPr>
                <w:rFonts w:ascii="Calibri" w:eastAsia="Times New Roman" w:hAnsi="Calibri" w:cs="Calibri"/>
                <w:i/>
                <w:color w:val="000000"/>
                <w:lang w:val="es-MX" w:eastAsia="es-MX"/>
              </w:rPr>
              <w:t>Puntaje promedio estandarizado. Media = 300 y desv. est. = 80</w:t>
            </w:r>
          </w:p>
        </w:tc>
      </w:tr>
      <w:tr w:rsidR="00073461" w:rsidRPr="00C862FF" w14:paraId="07AF16A4" w14:textId="77777777" w:rsidTr="009C38B2">
        <w:trPr>
          <w:trHeight w:val="300"/>
        </w:trPr>
        <w:tc>
          <w:tcPr>
            <w:tcW w:w="2492" w:type="dxa"/>
            <w:gridSpan w:val="2"/>
            <w:vMerge/>
            <w:shd w:val="clear" w:color="auto" w:fill="auto"/>
            <w:noWrap/>
            <w:vAlign w:val="bottom"/>
            <w:hideMark/>
          </w:tcPr>
          <w:p w14:paraId="2FE79573" w14:textId="77777777" w:rsidR="00073461" w:rsidRPr="00C862FF" w:rsidRDefault="00073461" w:rsidP="006237DE">
            <w:pPr>
              <w:spacing w:after="0" w:line="240" w:lineRule="auto"/>
              <w:rPr>
                <w:rFonts w:ascii="Calibri" w:eastAsia="Times New Roman" w:hAnsi="Calibri" w:cs="Calibri"/>
                <w:color w:val="000000"/>
                <w:lang w:val="es-MX" w:eastAsia="es-MX"/>
              </w:rPr>
            </w:pPr>
          </w:p>
        </w:tc>
        <w:tc>
          <w:tcPr>
            <w:tcW w:w="619" w:type="dxa"/>
          </w:tcPr>
          <w:p w14:paraId="2EEE7BD7" w14:textId="48ECADBB" w:rsidR="00073461" w:rsidRPr="00C862FF" w:rsidRDefault="00073461" w:rsidP="006237DE">
            <w:pPr>
              <w:spacing w:after="0" w:line="240" w:lineRule="auto"/>
              <w:jc w:val="center"/>
              <w:rPr>
                <w:rFonts w:ascii="Calibri" w:eastAsia="Times New Roman" w:hAnsi="Calibri" w:cs="Calibri"/>
                <w:b/>
                <w:color w:val="000000"/>
                <w:lang w:val="es-MX" w:eastAsia="es-MX"/>
              </w:rPr>
            </w:pPr>
            <w:r>
              <w:rPr>
                <w:rFonts w:ascii="Calibri" w:eastAsia="Times New Roman" w:hAnsi="Calibri" w:cs="Calibri"/>
                <w:b/>
                <w:color w:val="000000"/>
                <w:lang w:val="es-MX" w:eastAsia="es-MX"/>
              </w:rPr>
              <w:t>2006</w:t>
            </w:r>
          </w:p>
        </w:tc>
        <w:tc>
          <w:tcPr>
            <w:tcW w:w="641" w:type="dxa"/>
          </w:tcPr>
          <w:p w14:paraId="57D15F6B" w14:textId="3AD1BDF1" w:rsidR="00073461" w:rsidRPr="00C862FF" w:rsidRDefault="00073461" w:rsidP="006237DE">
            <w:pPr>
              <w:spacing w:after="0" w:line="240" w:lineRule="auto"/>
              <w:jc w:val="center"/>
              <w:rPr>
                <w:rFonts w:ascii="Calibri" w:eastAsia="Times New Roman" w:hAnsi="Calibri" w:cs="Calibri"/>
                <w:b/>
                <w:color w:val="000000"/>
                <w:lang w:val="es-MX" w:eastAsia="es-MX"/>
              </w:rPr>
            </w:pPr>
            <w:r>
              <w:rPr>
                <w:rFonts w:ascii="Calibri" w:eastAsia="Times New Roman" w:hAnsi="Calibri" w:cs="Calibri"/>
                <w:b/>
                <w:color w:val="000000"/>
                <w:lang w:val="es-MX" w:eastAsia="es-MX"/>
              </w:rPr>
              <w:t>2007</w:t>
            </w:r>
          </w:p>
        </w:tc>
        <w:tc>
          <w:tcPr>
            <w:tcW w:w="619" w:type="dxa"/>
          </w:tcPr>
          <w:p w14:paraId="6B4B697D" w14:textId="1B70ACAE" w:rsidR="00073461" w:rsidRPr="00C862FF" w:rsidRDefault="00073461" w:rsidP="006237DE">
            <w:pPr>
              <w:spacing w:after="0" w:line="240" w:lineRule="auto"/>
              <w:jc w:val="center"/>
              <w:rPr>
                <w:rFonts w:ascii="Calibri" w:eastAsia="Times New Roman" w:hAnsi="Calibri" w:cs="Calibri"/>
                <w:b/>
                <w:color w:val="000000"/>
                <w:lang w:val="es-MX" w:eastAsia="es-MX"/>
              </w:rPr>
            </w:pPr>
            <w:r>
              <w:rPr>
                <w:rFonts w:ascii="Calibri" w:eastAsia="Times New Roman" w:hAnsi="Calibri" w:cs="Calibri"/>
                <w:b/>
                <w:color w:val="000000"/>
                <w:lang w:val="es-MX" w:eastAsia="es-MX"/>
              </w:rPr>
              <w:t>2008</w:t>
            </w:r>
          </w:p>
        </w:tc>
        <w:tc>
          <w:tcPr>
            <w:tcW w:w="619" w:type="dxa"/>
          </w:tcPr>
          <w:p w14:paraId="04069F66" w14:textId="3DBEB378" w:rsidR="00073461" w:rsidRPr="00C862FF" w:rsidRDefault="00073461" w:rsidP="006237DE">
            <w:pPr>
              <w:spacing w:after="0" w:line="240" w:lineRule="auto"/>
              <w:jc w:val="center"/>
              <w:rPr>
                <w:rFonts w:ascii="Calibri" w:eastAsia="Times New Roman" w:hAnsi="Calibri" w:cs="Calibri"/>
                <w:b/>
                <w:color w:val="000000"/>
                <w:lang w:val="es-MX" w:eastAsia="es-MX"/>
              </w:rPr>
            </w:pPr>
            <w:r>
              <w:rPr>
                <w:rFonts w:ascii="Calibri" w:eastAsia="Times New Roman" w:hAnsi="Calibri" w:cs="Calibri"/>
                <w:b/>
                <w:color w:val="000000"/>
                <w:lang w:val="es-MX" w:eastAsia="es-MX"/>
              </w:rPr>
              <w:t>2009</w:t>
            </w:r>
          </w:p>
        </w:tc>
        <w:tc>
          <w:tcPr>
            <w:tcW w:w="657" w:type="dxa"/>
          </w:tcPr>
          <w:p w14:paraId="2EE7520D" w14:textId="57F7C667" w:rsidR="00073461" w:rsidRPr="00C862FF" w:rsidRDefault="00073461" w:rsidP="006237DE">
            <w:pPr>
              <w:spacing w:after="0" w:line="240" w:lineRule="auto"/>
              <w:jc w:val="center"/>
              <w:rPr>
                <w:rFonts w:ascii="Calibri" w:eastAsia="Times New Roman" w:hAnsi="Calibri" w:cs="Calibri"/>
                <w:b/>
                <w:color w:val="000000"/>
                <w:lang w:val="es-MX" w:eastAsia="es-MX"/>
              </w:rPr>
            </w:pPr>
            <w:r>
              <w:rPr>
                <w:rFonts w:ascii="Calibri" w:eastAsia="Times New Roman" w:hAnsi="Calibri" w:cs="Calibri"/>
                <w:b/>
                <w:color w:val="000000"/>
                <w:lang w:val="es-MX" w:eastAsia="es-MX"/>
              </w:rPr>
              <w:t>2010</w:t>
            </w:r>
          </w:p>
        </w:tc>
        <w:tc>
          <w:tcPr>
            <w:tcW w:w="656" w:type="dxa"/>
            <w:shd w:val="clear" w:color="auto" w:fill="auto"/>
            <w:noWrap/>
            <w:vAlign w:val="center"/>
            <w:hideMark/>
          </w:tcPr>
          <w:p w14:paraId="625D24B5" w14:textId="6221F72B" w:rsidR="00073461" w:rsidRPr="00C862FF" w:rsidRDefault="00073461" w:rsidP="006237DE">
            <w:pPr>
              <w:spacing w:after="0" w:line="240" w:lineRule="auto"/>
              <w:jc w:val="center"/>
              <w:rPr>
                <w:rFonts w:ascii="Calibri" w:eastAsia="Times New Roman" w:hAnsi="Calibri" w:cs="Calibri"/>
                <w:b/>
                <w:color w:val="000000"/>
                <w:lang w:val="es-MX" w:eastAsia="es-MX"/>
              </w:rPr>
            </w:pPr>
            <w:r>
              <w:rPr>
                <w:rFonts w:ascii="Calibri" w:eastAsia="Times New Roman" w:hAnsi="Calibri" w:cs="Calibri"/>
                <w:b/>
                <w:color w:val="000000"/>
                <w:lang w:val="es-MX" w:eastAsia="es-MX"/>
              </w:rPr>
              <w:t>2011</w:t>
            </w:r>
          </w:p>
        </w:tc>
        <w:tc>
          <w:tcPr>
            <w:tcW w:w="605" w:type="dxa"/>
            <w:shd w:val="clear" w:color="auto" w:fill="auto"/>
            <w:noWrap/>
            <w:vAlign w:val="center"/>
            <w:hideMark/>
          </w:tcPr>
          <w:p w14:paraId="2A561BFB" w14:textId="77777777" w:rsidR="00073461" w:rsidRPr="00C862FF" w:rsidRDefault="00073461" w:rsidP="006237DE">
            <w:pPr>
              <w:spacing w:after="0" w:line="240" w:lineRule="auto"/>
              <w:jc w:val="center"/>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2012</w:t>
            </w:r>
          </w:p>
        </w:tc>
        <w:tc>
          <w:tcPr>
            <w:tcW w:w="619" w:type="dxa"/>
            <w:shd w:val="clear" w:color="auto" w:fill="auto"/>
            <w:noWrap/>
            <w:vAlign w:val="center"/>
            <w:hideMark/>
          </w:tcPr>
          <w:p w14:paraId="447C390F" w14:textId="77777777" w:rsidR="00073461" w:rsidRPr="00C862FF" w:rsidRDefault="00073461" w:rsidP="006237DE">
            <w:pPr>
              <w:spacing w:after="0" w:line="240" w:lineRule="auto"/>
              <w:jc w:val="center"/>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2013</w:t>
            </w:r>
          </w:p>
        </w:tc>
        <w:tc>
          <w:tcPr>
            <w:tcW w:w="619" w:type="dxa"/>
            <w:shd w:val="clear" w:color="auto" w:fill="auto"/>
            <w:noWrap/>
            <w:vAlign w:val="center"/>
            <w:hideMark/>
          </w:tcPr>
          <w:p w14:paraId="6CA5DC39" w14:textId="77777777" w:rsidR="00073461" w:rsidRPr="00C862FF" w:rsidRDefault="00073461" w:rsidP="006237DE">
            <w:pPr>
              <w:spacing w:after="0" w:line="240" w:lineRule="auto"/>
              <w:jc w:val="center"/>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2014</w:t>
            </w:r>
          </w:p>
        </w:tc>
        <w:tc>
          <w:tcPr>
            <w:tcW w:w="639" w:type="dxa"/>
            <w:shd w:val="clear" w:color="auto" w:fill="auto"/>
            <w:noWrap/>
            <w:vAlign w:val="center"/>
            <w:hideMark/>
          </w:tcPr>
          <w:p w14:paraId="31FE6680" w14:textId="77777777" w:rsidR="00073461" w:rsidRPr="00C862FF" w:rsidRDefault="00073461" w:rsidP="006237DE">
            <w:pPr>
              <w:spacing w:after="0" w:line="240" w:lineRule="auto"/>
              <w:jc w:val="center"/>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2015</w:t>
            </w:r>
          </w:p>
        </w:tc>
      </w:tr>
      <w:tr w:rsidR="00073461" w:rsidRPr="00C862FF" w14:paraId="2CB6B034" w14:textId="77777777" w:rsidTr="009C38B2">
        <w:trPr>
          <w:trHeight w:val="300"/>
        </w:trPr>
        <w:tc>
          <w:tcPr>
            <w:tcW w:w="1271" w:type="dxa"/>
            <w:vMerge w:val="restart"/>
            <w:shd w:val="clear" w:color="auto" w:fill="auto"/>
            <w:noWrap/>
            <w:vAlign w:val="center"/>
            <w:hideMark/>
          </w:tcPr>
          <w:p w14:paraId="630458C2" w14:textId="5A85F767" w:rsidR="00073461" w:rsidRPr="00C862FF" w:rsidRDefault="00073461" w:rsidP="009C38B2">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5</w:t>
            </w:r>
            <w:r w:rsidR="005E3D27">
              <w:rPr>
                <w:rFonts w:ascii="Calibri" w:eastAsia="Times New Roman" w:hAnsi="Calibri" w:cs="Calibri"/>
                <w:color w:val="000000"/>
                <w:lang w:val="es-MX" w:eastAsia="es-MX"/>
              </w:rPr>
              <w:t>º</w:t>
            </w:r>
            <w:r w:rsidRPr="00C862FF">
              <w:rPr>
                <w:rFonts w:ascii="Calibri" w:eastAsia="Times New Roman" w:hAnsi="Calibri" w:cs="Calibri"/>
                <w:color w:val="000000"/>
                <w:lang w:val="es-MX" w:eastAsia="es-MX"/>
              </w:rPr>
              <w:t xml:space="preserve"> básico</w:t>
            </w:r>
            <w:r w:rsidR="009C38B2" w:rsidRPr="009C38B2">
              <w:rPr>
                <w:rFonts w:ascii="Calibri" w:eastAsia="Times New Roman" w:hAnsi="Calibri" w:cs="Calibri"/>
                <w:color w:val="000000"/>
                <w:vertAlign w:val="superscript"/>
                <w:lang w:val="es-MX" w:eastAsia="es-MX"/>
              </w:rPr>
              <w:t>I</w:t>
            </w:r>
            <w:r w:rsidR="009C38B2">
              <w:rPr>
                <w:rFonts w:ascii="Calibri" w:eastAsia="Times New Roman" w:hAnsi="Calibri" w:cs="Calibri"/>
                <w:color w:val="000000"/>
                <w:vertAlign w:val="superscript"/>
                <w:lang w:val="es-MX" w:eastAsia="es-MX"/>
              </w:rPr>
              <w:t>II</w:t>
            </w:r>
          </w:p>
        </w:tc>
        <w:tc>
          <w:tcPr>
            <w:tcW w:w="1221" w:type="dxa"/>
            <w:shd w:val="clear" w:color="auto" w:fill="auto"/>
            <w:noWrap/>
            <w:vAlign w:val="center"/>
            <w:hideMark/>
          </w:tcPr>
          <w:p w14:paraId="38CDF9BF" w14:textId="77777777" w:rsidR="00073461" w:rsidRPr="00C862FF" w:rsidRDefault="00073461" w:rsidP="00073461">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Lengua</w:t>
            </w:r>
          </w:p>
        </w:tc>
        <w:tc>
          <w:tcPr>
            <w:tcW w:w="619" w:type="dxa"/>
          </w:tcPr>
          <w:p w14:paraId="58DF0433" w14:textId="77777777" w:rsidR="00073461" w:rsidRPr="00C862FF" w:rsidRDefault="00073461" w:rsidP="00073461">
            <w:pPr>
              <w:spacing w:after="0" w:line="240" w:lineRule="auto"/>
              <w:jc w:val="center"/>
              <w:rPr>
                <w:rFonts w:ascii="Calibri" w:eastAsia="Times New Roman" w:hAnsi="Calibri" w:cs="Calibri"/>
                <w:color w:val="000000"/>
                <w:lang w:val="es-MX" w:eastAsia="es-MX"/>
              </w:rPr>
            </w:pPr>
          </w:p>
        </w:tc>
        <w:tc>
          <w:tcPr>
            <w:tcW w:w="641" w:type="dxa"/>
          </w:tcPr>
          <w:p w14:paraId="25C44846" w14:textId="0E11B87B" w:rsidR="00073461" w:rsidRPr="00C862FF" w:rsidRDefault="00073461" w:rsidP="00073461">
            <w:pPr>
              <w:spacing w:after="0" w:line="240" w:lineRule="auto"/>
              <w:jc w:val="center"/>
              <w:rPr>
                <w:rFonts w:ascii="Calibri" w:eastAsia="Times New Roman" w:hAnsi="Calibri" w:cs="Calibri"/>
                <w:color w:val="000000"/>
                <w:lang w:val="es-MX" w:eastAsia="es-MX"/>
              </w:rPr>
            </w:pPr>
          </w:p>
        </w:tc>
        <w:tc>
          <w:tcPr>
            <w:tcW w:w="619" w:type="dxa"/>
          </w:tcPr>
          <w:p w14:paraId="6864EF9D" w14:textId="77777777" w:rsidR="00073461" w:rsidRPr="00C862FF" w:rsidRDefault="00073461" w:rsidP="00073461">
            <w:pPr>
              <w:spacing w:after="0" w:line="240" w:lineRule="auto"/>
              <w:jc w:val="center"/>
              <w:rPr>
                <w:rFonts w:ascii="Calibri" w:eastAsia="Times New Roman" w:hAnsi="Calibri" w:cs="Calibri"/>
                <w:color w:val="000000"/>
                <w:lang w:val="es-MX" w:eastAsia="es-MX"/>
              </w:rPr>
            </w:pPr>
          </w:p>
        </w:tc>
        <w:tc>
          <w:tcPr>
            <w:tcW w:w="619" w:type="dxa"/>
            <w:vAlign w:val="center"/>
          </w:tcPr>
          <w:p w14:paraId="470D8FD0" w14:textId="7344137C" w:rsidR="00073461" w:rsidRPr="00C862FF" w:rsidRDefault="00073461" w:rsidP="00073461">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301</w:t>
            </w:r>
          </w:p>
        </w:tc>
        <w:tc>
          <w:tcPr>
            <w:tcW w:w="657" w:type="dxa"/>
          </w:tcPr>
          <w:p w14:paraId="6AD72546" w14:textId="0D1DB0A0" w:rsidR="00073461" w:rsidRPr="00C862FF" w:rsidRDefault="00073461" w:rsidP="00073461">
            <w:pPr>
              <w:spacing w:after="0" w:line="240" w:lineRule="auto"/>
              <w:jc w:val="center"/>
              <w:rPr>
                <w:rFonts w:ascii="Calibri" w:eastAsia="Times New Roman" w:hAnsi="Calibri" w:cs="Calibri"/>
                <w:color w:val="000000"/>
                <w:lang w:val="es-MX" w:eastAsia="es-MX"/>
              </w:rPr>
            </w:pPr>
          </w:p>
        </w:tc>
        <w:tc>
          <w:tcPr>
            <w:tcW w:w="656" w:type="dxa"/>
            <w:shd w:val="clear" w:color="auto" w:fill="auto"/>
            <w:noWrap/>
            <w:vAlign w:val="center"/>
          </w:tcPr>
          <w:p w14:paraId="50F2E41C" w14:textId="0BD769ED" w:rsidR="00073461" w:rsidRPr="00C862FF" w:rsidRDefault="00073461" w:rsidP="00073461">
            <w:pPr>
              <w:spacing w:after="0" w:line="240" w:lineRule="auto"/>
              <w:jc w:val="center"/>
              <w:rPr>
                <w:rFonts w:ascii="Calibri" w:eastAsia="Times New Roman" w:hAnsi="Calibri" w:cs="Calibri"/>
                <w:color w:val="000000"/>
                <w:lang w:val="es-MX" w:eastAsia="es-MX"/>
              </w:rPr>
            </w:pPr>
          </w:p>
        </w:tc>
        <w:tc>
          <w:tcPr>
            <w:tcW w:w="605" w:type="dxa"/>
            <w:shd w:val="clear" w:color="auto" w:fill="auto"/>
            <w:noWrap/>
            <w:vAlign w:val="center"/>
            <w:hideMark/>
          </w:tcPr>
          <w:p w14:paraId="1125EA34" w14:textId="77777777" w:rsidR="00073461" w:rsidRPr="00C862FF" w:rsidRDefault="00073461" w:rsidP="00073461">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302</w:t>
            </w:r>
          </w:p>
        </w:tc>
        <w:tc>
          <w:tcPr>
            <w:tcW w:w="619" w:type="dxa"/>
            <w:shd w:val="clear" w:color="auto" w:fill="auto"/>
            <w:noWrap/>
            <w:vAlign w:val="center"/>
            <w:hideMark/>
          </w:tcPr>
          <w:p w14:paraId="7696932C" w14:textId="77777777" w:rsidR="00073461" w:rsidRPr="00C862FF" w:rsidRDefault="00073461" w:rsidP="00073461">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303</w:t>
            </w:r>
          </w:p>
        </w:tc>
        <w:tc>
          <w:tcPr>
            <w:tcW w:w="619" w:type="dxa"/>
            <w:shd w:val="clear" w:color="auto" w:fill="auto"/>
            <w:noWrap/>
            <w:vAlign w:val="center"/>
            <w:hideMark/>
          </w:tcPr>
          <w:p w14:paraId="0998E75D" w14:textId="77777777" w:rsidR="00073461" w:rsidRPr="00C862FF" w:rsidRDefault="00073461" w:rsidP="00073461">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297</w:t>
            </w:r>
          </w:p>
        </w:tc>
        <w:tc>
          <w:tcPr>
            <w:tcW w:w="639" w:type="dxa"/>
            <w:shd w:val="clear" w:color="auto" w:fill="auto"/>
            <w:noWrap/>
            <w:vAlign w:val="center"/>
            <w:hideMark/>
          </w:tcPr>
          <w:p w14:paraId="49F08F4F" w14:textId="77777777" w:rsidR="00073461" w:rsidRPr="00C862FF" w:rsidRDefault="00073461" w:rsidP="00073461">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297</w:t>
            </w:r>
          </w:p>
        </w:tc>
      </w:tr>
      <w:tr w:rsidR="00073461" w:rsidRPr="00C862FF" w14:paraId="5DFE47DC" w14:textId="77777777" w:rsidTr="009C38B2">
        <w:trPr>
          <w:trHeight w:val="300"/>
        </w:trPr>
        <w:tc>
          <w:tcPr>
            <w:tcW w:w="1271" w:type="dxa"/>
            <w:vMerge/>
            <w:shd w:val="clear" w:color="auto" w:fill="auto"/>
            <w:noWrap/>
            <w:vAlign w:val="center"/>
            <w:hideMark/>
          </w:tcPr>
          <w:p w14:paraId="779280F2" w14:textId="77777777" w:rsidR="00073461" w:rsidRPr="00C862FF" w:rsidRDefault="00073461" w:rsidP="00073461">
            <w:pPr>
              <w:spacing w:after="0" w:line="240" w:lineRule="auto"/>
              <w:rPr>
                <w:rFonts w:ascii="Calibri" w:eastAsia="Times New Roman" w:hAnsi="Calibri" w:cs="Calibri"/>
                <w:color w:val="000000"/>
                <w:lang w:val="es-MX" w:eastAsia="es-MX"/>
              </w:rPr>
            </w:pPr>
          </w:p>
        </w:tc>
        <w:tc>
          <w:tcPr>
            <w:tcW w:w="1221" w:type="dxa"/>
            <w:shd w:val="clear" w:color="auto" w:fill="auto"/>
            <w:noWrap/>
            <w:vAlign w:val="center"/>
            <w:hideMark/>
          </w:tcPr>
          <w:p w14:paraId="4A69BDBF" w14:textId="77777777" w:rsidR="00073461" w:rsidRPr="00C862FF" w:rsidRDefault="00073461" w:rsidP="00073461">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Matemática</w:t>
            </w:r>
          </w:p>
        </w:tc>
        <w:tc>
          <w:tcPr>
            <w:tcW w:w="619" w:type="dxa"/>
          </w:tcPr>
          <w:p w14:paraId="6609A969" w14:textId="77777777" w:rsidR="00073461" w:rsidRPr="00C862FF" w:rsidRDefault="00073461" w:rsidP="00073461">
            <w:pPr>
              <w:spacing w:after="0" w:line="240" w:lineRule="auto"/>
              <w:jc w:val="center"/>
              <w:rPr>
                <w:rFonts w:ascii="Calibri" w:eastAsia="Times New Roman" w:hAnsi="Calibri" w:cs="Calibri"/>
                <w:color w:val="000000"/>
                <w:lang w:val="es-MX" w:eastAsia="es-MX"/>
              </w:rPr>
            </w:pPr>
          </w:p>
        </w:tc>
        <w:tc>
          <w:tcPr>
            <w:tcW w:w="641" w:type="dxa"/>
          </w:tcPr>
          <w:p w14:paraId="2F36A8F8" w14:textId="7EB0F73C" w:rsidR="00073461" w:rsidRPr="00C862FF" w:rsidRDefault="00073461" w:rsidP="00073461">
            <w:pPr>
              <w:spacing w:after="0" w:line="240" w:lineRule="auto"/>
              <w:jc w:val="center"/>
              <w:rPr>
                <w:rFonts w:ascii="Calibri" w:eastAsia="Times New Roman" w:hAnsi="Calibri" w:cs="Calibri"/>
                <w:color w:val="000000"/>
                <w:lang w:val="es-MX" w:eastAsia="es-MX"/>
              </w:rPr>
            </w:pPr>
          </w:p>
        </w:tc>
        <w:tc>
          <w:tcPr>
            <w:tcW w:w="619" w:type="dxa"/>
          </w:tcPr>
          <w:p w14:paraId="2E76DA96" w14:textId="77777777" w:rsidR="00073461" w:rsidRPr="00C862FF" w:rsidRDefault="00073461" w:rsidP="00073461">
            <w:pPr>
              <w:spacing w:after="0" w:line="240" w:lineRule="auto"/>
              <w:jc w:val="center"/>
              <w:rPr>
                <w:rFonts w:ascii="Calibri" w:eastAsia="Times New Roman" w:hAnsi="Calibri" w:cs="Calibri"/>
                <w:color w:val="000000"/>
                <w:lang w:val="es-MX" w:eastAsia="es-MX"/>
              </w:rPr>
            </w:pPr>
          </w:p>
        </w:tc>
        <w:tc>
          <w:tcPr>
            <w:tcW w:w="619" w:type="dxa"/>
            <w:vAlign w:val="center"/>
          </w:tcPr>
          <w:p w14:paraId="0229E0E9" w14:textId="15AC639A" w:rsidR="00073461" w:rsidRPr="00C862FF" w:rsidRDefault="00073461" w:rsidP="00073461">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301</w:t>
            </w:r>
          </w:p>
        </w:tc>
        <w:tc>
          <w:tcPr>
            <w:tcW w:w="657" w:type="dxa"/>
          </w:tcPr>
          <w:p w14:paraId="43D48A76" w14:textId="6E530669" w:rsidR="00073461" w:rsidRPr="00C862FF" w:rsidRDefault="00073461" w:rsidP="00073461">
            <w:pPr>
              <w:spacing w:after="0" w:line="240" w:lineRule="auto"/>
              <w:jc w:val="center"/>
              <w:rPr>
                <w:rFonts w:ascii="Calibri" w:eastAsia="Times New Roman" w:hAnsi="Calibri" w:cs="Calibri"/>
                <w:color w:val="000000"/>
                <w:lang w:val="es-MX" w:eastAsia="es-MX"/>
              </w:rPr>
            </w:pPr>
          </w:p>
        </w:tc>
        <w:tc>
          <w:tcPr>
            <w:tcW w:w="656" w:type="dxa"/>
            <w:shd w:val="clear" w:color="auto" w:fill="auto"/>
            <w:noWrap/>
            <w:vAlign w:val="center"/>
          </w:tcPr>
          <w:p w14:paraId="55A12FB6" w14:textId="62075707" w:rsidR="00073461" w:rsidRPr="00C862FF" w:rsidRDefault="00073461" w:rsidP="00073461">
            <w:pPr>
              <w:spacing w:after="0" w:line="240" w:lineRule="auto"/>
              <w:jc w:val="center"/>
              <w:rPr>
                <w:rFonts w:ascii="Calibri" w:eastAsia="Times New Roman" w:hAnsi="Calibri" w:cs="Calibri"/>
                <w:color w:val="000000"/>
                <w:lang w:val="es-MX" w:eastAsia="es-MX"/>
              </w:rPr>
            </w:pPr>
          </w:p>
        </w:tc>
        <w:tc>
          <w:tcPr>
            <w:tcW w:w="605" w:type="dxa"/>
            <w:shd w:val="clear" w:color="auto" w:fill="auto"/>
            <w:noWrap/>
            <w:vAlign w:val="center"/>
            <w:hideMark/>
          </w:tcPr>
          <w:p w14:paraId="23B04577" w14:textId="77777777" w:rsidR="00073461" w:rsidRPr="00C862FF" w:rsidRDefault="00073461" w:rsidP="00073461">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294</w:t>
            </w:r>
          </w:p>
        </w:tc>
        <w:tc>
          <w:tcPr>
            <w:tcW w:w="619" w:type="dxa"/>
            <w:shd w:val="clear" w:color="auto" w:fill="auto"/>
            <w:noWrap/>
            <w:vAlign w:val="center"/>
            <w:hideMark/>
          </w:tcPr>
          <w:p w14:paraId="3C65B2BC" w14:textId="77777777" w:rsidR="00073461" w:rsidRPr="00C862FF" w:rsidRDefault="00073461" w:rsidP="00073461">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299</w:t>
            </w:r>
          </w:p>
        </w:tc>
        <w:tc>
          <w:tcPr>
            <w:tcW w:w="619" w:type="dxa"/>
            <w:shd w:val="clear" w:color="auto" w:fill="auto"/>
            <w:noWrap/>
            <w:vAlign w:val="center"/>
            <w:hideMark/>
          </w:tcPr>
          <w:p w14:paraId="24869B3C" w14:textId="77777777" w:rsidR="00073461" w:rsidRPr="00C862FF" w:rsidRDefault="00073461" w:rsidP="00073461">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292</w:t>
            </w:r>
          </w:p>
        </w:tc>
        <w:tc>
          <w:tcPr>
            <w:tcW w:w="639" w:type="dxa"/>
            <w:shd w:val="clear" w:color="auto" w:fill="auto"/>
            <w:noWrap/>
            <w:vAlign w:val="center"/>
            <w:hideMark/>
          </w:tcPr>
          <w:p w14:paraId="5AFE0478" w14:textId="77777777" w:rsidR="00073461" w:rsidRPr="00C862FF" w:rsidRDefault="00073461" w:rsidP="00073461">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301</w:t>
            </w:r>
          </w:p>
        </w:tc>
      </w:tr>
      <w:tr w:rsidR="00073461" w:rsidRPr="00C862FF" w14:paraId="002B2B60" w14:textId="77777777" w:rsidTr="009C38B2">
        <w:trPr>
          <w:trHeight w:val="300"/>
        </w:trPr>
        <w:tc>
          <w:tcPr>
            <w:tcW w:w="1271" w:type="dxa"/>
            <w:vMerge w:val="restart"/>
            <w:shd w:val="clear" w:color="auto" w:fill="auto"/>
            <w:noWrap/>
            <w:vAlign w:val="center"/>
            <w:hideMark/>
          </w:tcPr>
          <w:p w14:paraId="7F179BB5" w14:textId="60710D79" w:rsidR="00073461" w:rsidRPr="00C862FF" w:rsidRDefault="00073461" w:rsidP="009C38B2">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9</w:t>
            </w:r>
            <w:r w:rsidR="005E3D27">
              <w:rPr>
                <w:rFonts w:ascii="Calibri" w:eastAsia="Times New Roman" w:hAnsi="Calibri" w:cs="Calibri"/>
                <w:color w:val="000000"/>
                <w:lang w:val="es-MX" w:eastAsia="es-MX"/>
              </w:rPr>
              <w:t>º</w:t>
            </w:r>
            <w:r w:rsidRPr="00C862FF">
              <w:rPr>
                <w:rFonts w:ascii="Calibri" w:eastAsia="Times New Roman" w:hAnsi="Calibri" w:cs="Calibri"/>
                <w:color w:val="000000"/>
                <w:lang w:val="es-MX" w:eastAsia="es-MX"/>
              </w:rPr>
              <w:t xml:space="preserve"> básico</w:t>
            </w:r>
            <w:r w:rsidR="009C38B2" w:rsidRPr="009C38B2">
              <w:rPr>
                <w:rFonts w:ascii="Calibri" w:eastAsia="Times New Roman" w:hAnsi="Calibri" w:cs="Calibri"/>
                <w:color w:val="000000"/>
                <w:vertAlign w:val="superscript"/>
                <w:lang w:val="es-MX" w:eastAsia="es-MX"/>
              </w:rPr>
              <w:t>V</w:t>
            </w:r>
          </w:p>
        </w:tc>
        <w:tc>
          <w:tcPr>
            <w:tcW w:w="1221" w:type="dxa"/>
            <w:shd w:val="clear" w:color="auto" w:fill="auto"/>
            <w:noWrap/>
            <w:vAlign w:val="center"/>
            <w:hideMark/>
          </w:tcPr>
          <w:p w14:paraId="47BD7852" w14:textId="77777777" w:rsidR="00073461" w:rsidRPr="00C862FF" w:rsidRDefault="00073461" w:rsidP="00073461">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Lengua</w:t>
            </w:r>
          </w:p>
        </w:tc>
        <w:tc>
          <w:tcPr>
            <w:tcW w:w="619" w:type="dxa"/>
          </w:tcPr>
          <w:p w14:paraId="0ED8A47D" w14:textId="77777777" w:rsidR="00073461" w:rsidRPr="00C862FF" w:rsidRDefault="00073461" w:rsidP="00073461">
            <w:pPr>
              <w:spacing w:after="0" w:line="240" w:lineRule="auto"/>
              <w:jc w:val="center"/>
              <w:rPr>
                <w:rFonts w:ascii="Calibri" w:eastAsia="Times New Roman" w:hAnsi="Calibri" w:cs="Calibri"/>
                <w:lang w:val="es-MX" w:eastAsia="es-MX"/>
              </w:rPr>
            </w:pPr>
          </w:p>
        </w:tc>
        <w:tc>
          <w:tcPr>
            <w:tcW w:w="641" w:type="dxa"/>
          </w:tcPr>
          <w:p w14:paraId="2886D220" w14:textId="1BB521A6" w:rsidR="00073461" w:rsidRPr="00C862FF" w:rsidRDefault="00073461" w:rsidP="00073461">
            <w:pPr>
              <w:spacing w:after="0" w:line="240" w:lineRule="auto"/>
              <w:jc w:val="center"/>
              <w:rPr>
                <w:rFonts w:ascii="Calibri" w:eastAsia="Times New Roman" w:hAnsi="Calibri" w:cs="Calibri"/>
                <w:lang w:val="es-MX" w:eastAsia="es-MX"/>
              </w:rPr>
            </w:pPr>
          </w:p>
        </w:tc>
        <w:tc>
          <w:tcPr>
            <w:tcW w:w="619" w:type="dxa"/>
          </w:tcPr>
          <w:p w14:paraId="13295065" w14:textId="77777777" w:rsidR="00073461" w:rsidRPr="00C862FF" w:rsidRDefault="00073461" w:rsidP="00073461">
            <w:pPr>
              <w:spacing w:after="0" w:line="240" w:lineRule="auto"/>
              <w:jc w:val="center"/>
              <w:rPr>
                <w:rFonts w:ascii="Calibri" w:eastAsia="Times New Roman" w:hAnsi="Calibri" w:cs="Calibri"/>
                <w:lang w:val="es-MX" w:eastAsia="es-MX"/>
              </w:rPr>
            </w:pPr>
          </w:p>
        </w:tc>
        <w:tc>
          <w:tcPr>
            <w:tcW w:w="619" w:type="dxa"/>
            <w:vAlign w:val="center"/>
          </w:tcPr>
          <w:p w14:paraId="49830367" w14:textId="1175BFA0" w:rsidR="00073461" w:rsidRPr="00C862FF" w:rsidRDefault="00073461" w:rsidP="00073461">
            <w:pPr>
              <w:spacing w:after="0" w:line="240" w:lineRule="auto"/>
              <w:jc w:val="center"/>
              <w:rPr>
                <w:rFonts w:ascii="Calibri" w:eastAsia="Times New Roman" w:hAnsi="Calibri" w:cs="Calibri"/>
                <w:lang w:val="es-MX" w:eastAsia="es-MX"/>
              </w:rPr>
            </w:pPr>
            <w:r w:rsidRPr="00C862FF">
              <w:rPr>
                <w:rFonts w:ascii="Calibri" w:eastAsia="Times New Roman" w:hAnsi="Calibri" w:cs="Calibri"/>
                <w:lang w:val="es-MX" w:eastAsia="es-MX"/>
              </w:rPr>
              <w:t>301</w:t>
            </w:r>
          </w:p>
        </w:tc>
        <w:tc>
          <w:tcPr>
            <w:tcW w:w="657" w:type="dxa"/>
          </w:tcPr>
          <w:p w14:paraId="1DA7E525" w14:textId="1BA5FA60" w:rsidR="00073461" w:rsidRPr="00C862FF" w:rsidRDefault="00073461" w:rsidP="00073461">
            <w:pPr>
              <w:spacing w:after="0" w:line="240" w:lineRule="auto"/>
              <w:jc w:val="center"/>
              <w:rPr>
                <w:rFonts w:ascii="Calibri" w:eastAsia="Times New Roman" w:hAnsi="Calibri" w:cs="Calibri"/>
                <w:lang w:val="es-MX" w:eastAsia="es-MX"/>
              </w:rPr>
            </w:pPr>
          </w:p>
        </w:tc>
        <w:tc>
          <w:tcPr>
            <w:tcW w:w="656" w:type="dxa"/>
            <w:shd w:val="clear" w:color="auto" w:fill="auto"/>
            <w:noWrap/>
            <w:vAlign w:val="center"/>
          </w:tcPr>
          <w:p w14:paraId="4ABDCE82" w14:textId="4EA28EA5" w:rsidR="00073461" w:rsidRPr="00C862FF" w:rsidRDefault="00073461" w:rsidP="00073461">
            <w:pPr>
              <w:spacing w:after="0" w:line="240" w:lineRule="auto"/>
              <w:jc w:val="center"/>
              <w:rPr>
                <w:rFonts w:ascii="Calibri" w:eastAsia="Times New Roman" w:hAnsi="Calibri" w:cs="Calibri"/>
                <w:lang w:val="es-MX" w:eastAsia="es-MX"/>
              </w:rPr>
            </w:pPr>
          </w:p>
        </w:tc>
        <w:tc>
          <w:tcPr>
            <w:tcW w:w="605" w:type="dxa"/>
            <w:shd w:val="clear" w:color="auto" w:fill="auto"/>
            <w:noWrap/>
            <w:vAlign w:val="center"/>
            <w:hideMark/>
          </w:tcPr>
          <w:p w14:paraId="6EA84091" w14:textId="77777777" w:rsidR="00073461" w:rsidRPr="00C862FF" w:rsidRDefault="00073461" w:rsidP="00073461">
            <w:pPr>
              <w:spacing w:after="0" w:line="240" w:lineRule="auto"/>
              <w:jc w:val="center"/>
              <w:rPr>
                <w:rFonts w:ascii="Calibri" w:eastAsia="Times New Roman" w:hAnsi="Calibri" w:cs="Calibri"/>
                <w:lang w:val="es-MX" w:eastAsia="es-MX"/>
              </w:rPr>
            </w:pPr>
            <w:r w:rsidRPr="00C862FF">
              <w:rPr>
                <w:rFonts w:ascii="Calibri" w:eastAsia="Times New Roman" w:hAnsi="Calibri" w:cs="Calibri"/>
                <w:lang w:val="es-MX" w:eastAsia="es-MX"/>
              </w:rPr>
              <w:t>307</w:t>
            </w:r>
          </w:p>
        </w:tc>
        <w:tc>
          <w:tcPr>
            <w:tcW w:w="619" w:type="dxa"/>
            <w:shd w:val="clear" w:color="auto" w:fill="auto"/>
            <w:noWrap/>
            <w:vAlign w:val="center"/>
            <w:hideMark/>
          </w:tcPr>
          <w:p w14:paraId="47C1F7BB" w14:textId="77777777" w:rsidR="00073461" w:rsidRPr="00C862FF" w:rsidRDefault="00073461" w:rsidP="00073461">
            <w:pPr>
              <w:spacing w:after="0" w:line="240" w:lineRule="auto"/>
              <w:jc w:val="center"/>
              <w:rPr>
                <w:rFonts w:ascii="Calibri" w:eastAsia="Times New Roman" w:hAnsi="Calibri" w:cs="Calibri"/>
                <w:lang w:val="es-MX" w:eastAsia="es-MX"/>
              </w:rPr>
            </w:pPr>
            <w:r w:rsidRPr="00C862FF">
              <w:rPr>
                <w:rFonts w:ascii="Calibri" w:eastAsia="Times New Roman" w:hAnsi="Calibri" w:cs="Calibri"/>
                <w:lang w:val="es-MX" w:eastAsia="es-MX"/>
              </w:rPr>
              <w:t>300</w:t>
            </w:r>
          </w:p>
        </w:tc>
        <w:tc>
          <w:tcPr>
            <w:tcW w:w="619" w:type="dxa"/>
            <w:shd w:val="clear" w:color="auto" w:fill="auto"/>
            <w:noWrap/>
            <w:vAlign w:val="center"/>
            <w:hideMark/>
          </w:tcPr>
          <w:p w14:paraId="7749A0EA" w14:textId="77777777" w:rsidR="00073461" w:rsidRPr="00C862FF" w:rsidRDefault="00073461" w:rsidP="00073461">
            <w:pPr>
              <w:spacing w:after="0" w:line="240" w:lineRule="auto"/>
              <w:jc w:val="center"/>
              <w:rPr>
                <w:rFonts w:ascii="Calibri" w:eastAsia="Times New Roman" w:hAnsi="Calibri" w:cs="Calibri"/>
                <w:lang w:val="es-MX" w:eastAsia="es-MX"/>
              </w:rPr>
            </w:pPr>
            <w:r w:rsidRPr="00C862FF">
              <w:rPr>
                <w:rFonts w:ascii="Calibri" w:eastAsia="Times New Roman" w:hAnsi="Calibri" w:cs="Calibri"/>
                <w:lang w:val="es-MX" w:eastAsia="es-MX"/>
              </w:rPr>
              <w:t>297</w:t>
            </w:r>
          </w:p>
        </w:tc>
        <w:tc>
          <w:tcPr>
            <w:tcW w:w="639" w:type="dxa"/>
            <w:shd w:val="clear" w:color="auto" w:fill="auto"/>
            <w:noWrap/>
            <w:vAlign w:val="center"/>
            <w:hideMark/>
          </w:tcPr>
          <w:p w14:paraId="5EAF24FF" w14:textId="77777777" w:rsidR="00073461" w:rsidRPr="00C862FF" w:rsidRDefault="00073461" w:rsidP="00073461">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295</w:t>
            </w:r>
          </w:p>
        </w:tc>
      </w:tr>
      <w:tr w:rsidR="00073461" w:rsidRPr="00C862FF" w14:paraId="3BEA7269" w14:textId="77777777" w:rsidTr="009C38B2">
        <w:trPr>
          <w:trHeight w:val="300"/>
        </w:trPr>
        <w:tc>
          <w:tcPr>
            <w:tcW w:w="1271" w:type="dxa"/>
            <w:vMerge/>
            <w:shd w:val="clear" w:color="auto" w:fill="auto"/>
            <w:noWrap/>
            <w:vAlign w:val="bottom"/>
            <w:hideMark/>
          </w:tcPr>
          <w:p w14:paraId="132BA219" w14:textId="77777777" w:rsidR="00073461" w:rsidRPr="00C862FF" w:rsidRDefault="00073461" w:rsidP="00073461">
            <w:pPr>
              <w:spacing w:after="0" w:line="240" w:lineRule="auto"/>
              <w:jc w:val="center"/>
              <w:rPr>
                <w:rFonts w:ascii="Calibri" w:eastAsia="Times New Roman" w:hAnsi="Calibri" w:cs="Calibri"/>
                <w:color w:val="000000"/>
                <w:lang w:val="es-MX" w:eastAsia="es-MX"/>
              </w:rPr>
            </w:pPr>
          </w:p>
        </w:tc>
        <w:tc>
          <w:tcPr>
            <w:tcW w:w="1221" w:type="dxa"/>
            <w:tcBorders>
              <w:bottom w:val="single" w:sz="4" w:space="0" w:color="auto"/>
            </w:tcBorders>
            <w:shd w:val="clear" w:color="auto" w:fill="auto"/>
            <w:noWrap/>
            <w:vAlign w:val="center"/>
            <w:hideMark/>
          </w:tcPr>
          <w:p w14:paraId="0BF6509C" w14:textId="77777777" w:rsidR="00073461" w:rsidRPr="00C862FF" w:rsidRDefault="00073461" w:rsidP="00073461">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Matemática</w:t>
            </w:r>
          </w:p>
        </w:tc>
        <w:tc>
          <w:tcPr>
            <w:tcW w:w="619" w:type="dxa"/>
          </w:tcPr>
          <w:p w14:paraId="1850AB27" w14:textId="77777777" w:rsidR="00073461" w:rsidRPr="00C862FF" w:rsidRDefault="00073461" w:rsidP="00073461">
            <w:pPr>
              <w:spacing w:after="0" w:line="240" w:lineRule="auto"/>
              <w:jc w:val="center"/>
              <w:rPr>
                <w:rFonts w:ascii="Calibri" w:eastAsia="Times New Roman" w:hAnsi="Calibri" w:cs="Calibri"/>
                <w:lang w:val="es-MX" w:eastAsia="es-MX"/>
              </w:rPr>
            </w:pPr>
          </w:p>
        </w:tc>
        <w:tc>
          <w:tcPr>
            <w:tcW w:w="641" w:type="dxa"/>
          </w:tcPr>
          <w:p w14:paraId="14586308" w14:textId="282B1851" w:rsidR="00073461" w:rsidRPr="00C862FF" w:rsidRDefault="00073461" w:rsidP="00073461">
            <w:pPr>
              <w:spacing w:after="0" w:line="240" w:lineRule="auto"/>
              <w:jc w:val="center"/>
              <w:rPr>
                <w:rFonts w:ascii="Calibri" w:eastAsia="Times New Roman" w:hAnsi="Calibri" w:cs="Calibri"/>
                <w:lang w:val="es-MX" w:eastAsia="es-MX"/>
              </w:rPr>
            </w:pPr>
          </w:p>
        </w:tc>
        <w:tc>
          <w:tcPr>
            <w:tcW w:w="619" w:type="dxa"/>
          </w:tcPr>
          <w:p w14:paraId="5584627A" w14:textId="77777777" w:rsidR="00073461" w:rsidRPr="00C862FF" w:rsidRDefault="00073461" w:rsidP="00073461">
            <w:pPr>
              <w:spacing w:after="0" w:line="240" w:lineRule="auto"/>
              <w:jc w:val="center"/>
              <w:rPr>
                <w:rFonts w:ascii="Calibri" w:eastAsia="Times New Roman" w:hAnsi="Calibri" w:cs="Calibri"/>
                <w:lang w:val="es-MX" w:eastAsia="es-MX"/>
              </w:rPr>
            </w:pPr>
          </w:p>
        </w:tc>
        <w:tc>
          <w:tcPr>
            <w:tcW w:w="619" w:type="dxa"/>
            <w:vAlign w:val="center"/>
          </w:tcPr>
          <w:p w14:paraId="550B385D" w14:textId="6D4504D6" w:rsidR="00073461" w:rsidRPr="00C862FF" w:rsidRDefault="00073461" w:rsidP="00073461">
            <w:pPr>
              <w:spacing w:after="0" w:line="240" w:lineRule="auto"/>
              <w:jc w:val="center"/>
              <w:rPr>
                <w:rFonts w:ascii="Calibri" w:eastAsia="Times New Roman" w:hAnsi="Calibri" w:cs="Calibri"/>
                <w:lang w:val="es-MX" w:eastAsia="es-MX"/>
              </w:rPr>
            </w:pPr>
            <w:r w:rsidRPr="00C862FF">
              <w:rPr>
                <w:rFonts w:ascii="Calibri" w:eastAsia="Times New Roman" w:hAnsi="Calibri" w:cs="Calibri"/>
                <w:lang w:val="es-MX" w:eastAsia="es-MX"/>
              </w:rPr>
              <w:t>302</w:t>
            </w:r>
          </w:p>
        </w:tc>
        <w:tc>
          <w:tcPr>
            <w:tcW w:w="657" w:type="dxa"/>
          </w:tcPr>
          <w:p w14:paraId="41F60D5B" w14:textId="42265EAF" w:rsidR="00073461" w:rsidRPr="00C862FF" w:rsidRDefault="00073461" w:rsidP="00073461">
            <w:pPr>
              <w:spacing w:after="0" w:line="240" w:lineRule="auto"/>
              <w:jc w:val="center"/>
              <w:rPr>
                <w:rFonts w:ascii="Calibri" w:eastAsia="Times New Roman" w:hAnsi="Calibri" w:cs="Calibri"/>
                <w:lang w:val="es-MX" w:eastAsia="es-MX"/>
              </w:rPr>
            </w:pPr>
          </w:p>
        </w:tc>
        <w:tc>
          <w:tcPr>
            <w:tcW w:w="656" w:type="dxa"/>
            <w:shd w:val="clear" w:color="auto" w:fill="auto"/>
            <w:noWrap/>
            <w:vAlign w:val="center"/>
          </w:tcPr>
          <w:p w14:paraId="037F2302" w14:textId="4D472762" w:rsidR="00073461" w:rsidRPr="00C862FF" w:rsidRDefault="00073461" w:rsidP="00073461">
            <w:pPr>
              <w:spacing w:after="0" w:line="240" w:lineRule="auto"/>
              <w:jc w:val="center"/>
              <w:rPr>
                <w:rFonts w:ascii="Calibri" w:eastAsia="Times New Roman" w:hAnsi="Calibri" w:cs="Calibri"/>
                <w:lang w:val="es-MX" w:eastAsia="es-MX"/>
              </w:rPr>
            </w:pPr>
          </w:p>
        </w:tc>
        <w:tc>
          <w:tcPr>
            <w:tcW w:w="605" w:type="dxa"/>
            <w:shd w:val="clear" w:color="auto" w:fill="auto"/>
            <w:noWrap/>
            <w:vAlign w:val="center"/>
            <w:hideMark/>
          </w:tcPr>
          <w:p w14:paraId="3F6EC173" w14:textId="77777777" w:rsidR="00073461" w:rsidRPr="00C862FF" w:rsidRDefault="00073461" w:rsidP="00073461">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302</w:t>
            </w:r>
          </w:p>
        </w:tc>
        <w:tc>
          <w:tcPr>
            <w:tcW w:w="619" w:type="dxa"/>
            <w:shd w:val="clear" w:color="auto" w:fill="auto"/>
            <w:noWrap/>
            <w:vAlign w:val="center"/>
            <w:hideMark/>
          </w:tcPr>
          <w:p w14:paraId="17002DE1" w14:textId="77777777" w:rsidR="00073461" w:rsidRPr="00C862FF" w:rsidRDefault="00073461" w:rsidP="00073461">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300</w:t>
            </w:r>
          </w:p>
        </w:tc>
        <w:tc>
          <w:tcPr>
            <w:tcW w:w="619" w:type="dxa"/>
            <w:shd w:val="clear" w:color="auto" w:fill="auto"/>
            <w:noWrap/>
            <w:vAlign w:val="center"/>
            <w:hideMark/>
          </w:tcPr>
          <w:p w14:paraId="7CECD944" w14:textId="77777777" w:rsidR="00073461" w:rsidRPr="00C862FF" w:rsidRDefault="00073461" w:rsidP="00073461">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296</w:t>
            </w:r>
          </w:p>
        </w:tc>
        <w:tc>
          <w:tcPr>
            <w:tcW w:w="639" w:type="dxa"/>
            <w:shd w:val="clear" w:color="auto" w:fill="auto"/>
            <w:noWrap/>
            <w:vAlign w:val="center"/>
            <w:hideMark/>
          </w:tcPr>
          <w:p w14:paraId="2557FF50" w14:textId="77777777" w:rsidR="00073461" w:rsidRPr="00C862FF" w:rsidRDefault="00073461" w:rsidP="00073461">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296</w:t>
            </w:r>
          </w:p>
        </w:tc>
      </w:tr>
      <w:tr w:rsidR="00073461" w:rsidRPr="00C862FF" w14:paraId="792F4BDE" w14:textId="77777777" w:rsidTr="009C38B2">
        <w:trPr>
          <w:trHeight w:val="300"/>
        </w:trPr>
        <w:tc>
          <w:tcPr>
            <w:tcW w:w="1271" w:type="dxa"/>
            <w:tcBorders>
              <w:right w:val="nil"/>
            </w:tcBorders>
            <w:shd w:val="clear" w:color="auto" w:fill="auto"/>
            <w:noWrap/>
            <w:vAlign w:val="bottom"/>
          </w:tcPr>
          <w:p w14:paraId="7D0F9218" w14:textId="77777777" w:rsidR="00073461" w:rsidRPr="00C862FF" w:rsidRDefault="00073461" w:rsidP="00073461">
            <w:pPr>
              <w:spacing w:after="0" w:line="240" w:lineRule="auto"/>
              <w:jc w:val="center"/>
              <w:rPr>
                <w:rFonts w:ascii="Calibri" w:eastAsia="Times New Roman" w:hAnsi="Calibri" w:cs="Calibri"/>
                <w:color w:val="000000"/>
                <w:lang w:val="es-MX" w:eastAsia="es-MX"/>
              </w:rPr>
            </w:pPr>
          </w:p>
        </w:tc>
        <w:tc>
          <w:tcPr>
            <w:tcW w:w="1221" w:type="dxa"/>
            <w:tcBorders>
              <w:left w:val="nil"/>
            </w:tcBorders>
            <w:shd w:val="clear" w:color="auto" w:fill="auto"/>
            <w:noWrap/>
            <w:vAlign w:val="center"/>
          </w:tcPr>
          <w:p w14:paraId="59649116" w14:textId="77777777" w:rsidR="00073461" w:rsidRPr="00C862FF" w:rsidRDefault="00073461" w:rsidP="00073461">
            <w:pPr>
              <w:spacing w:after="0" w:line="240" w:lineRule="auto"/>
              <w:rPr>
                <w:rFonts w:ascii="Calibri" w:eastAsia="Times New Roman" w:hAnsi="Calibri" w:cs="Calibri"/>
                <w:color w:val="000000"/>
                <w:lang w:val="es-MX" w:eastAsia="es-MX"/>
              </w:rPr>
            </w:pPr>
          </w:p>
        </w:tc>
        <w:tc>
          <w:tcPr>
            <w:tcW w:w="6293" w:type="dxa"/>
            <w:gridSpan w:val="10"/>
          </w:tcPr>
          <w:p w14:paraId="6A95356B" w14:textId="176B3DEB" w:rsidR="00073461" w:rsidRPr="00C862FF" w:rsidRDefault="00073461" w:rsidP="00073461">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i/>
                <w:color w:val="000000"/>
                <w:lang w:val="es-MX" w:eastAsia="es-MX"/>
              </w:rPr>
              <w:t xml:space="preserve">Puntaje promedio estandarizado. Media = </w:t>
            </w:r>
            <w:r>
              <w:rPr>
                <w:rFonts w:ascii="Calibri" w:eastAsia="Times New Roman" w:hAnsi="Calibri" w:cs="Calibri"/>
                <w:i/>
                <w:color w:val="000000"/>
                <w:lang w:val="es-MX" w:eastAsia="es-MX"/>
              </w:rPr>
              <w:t>5</w:t>
            </w:r>
            <w:r w:rsidRPr="00C862FF">
              <w:rPr>
                <w:rFonts w:ascii="Calibri" w:eastAsia="Times New Roman" w:hAnsi="Calibri" w:cs="Calibri"/>
                <w:i/>
                <w:color w:val="000000"/>
                <w:lang w:val="es-MX" w:eastAsia="es-MX"/>
              </w:rPr>
              <w:t xml:space="preserve">0 y desv. est. = </w:t>
            </w:r>
            <w:r>
              <w:rPr>
                <w:rFonts w:ascii="Calibri" w:eastAsia="Times New Roman" w:hAnsi="Calibri" w:cs="Calibri"/>
                <w:i/>
                <w:color w:val="000000"/>
                <w:lang w:val="es-MX" w:eastAsia="es-MX"/>
              </w:rPr>
              <w:t>1</w:t>
            </w:r>
            <w:r w:rsidRPr="00C862FF">
              <w:rPr>
                <w:rFonts w:ascii="Calibri" w:eastAsia="Times New Roman" w:hAnsi="Calibri" w:cs="Calibri"/>
                <w:i/>
                <w:color w:val="000000"/>
                <w:lang w:val="es-MX" w:eastAsia="es-MX"/>
              </w:rPr>
              <w:t>0</w:t>
            </w:r>
          </w:p>
        </w:tc>
      </w:tr>
      <w:tr w:rsidR="00073461" w:rsidRPr="00C862FF" w14:paraId="58B758A7" w14:textId="77777777" w:rsidTr="009C38B2">
        <w:trPr>
          <w:trHeight w:val="300"/>
        </w:trPr>
        <w:tc>
          <w:tcPr>
            <w:tcW w:w="1271" w:type="dxa"/>
            <w:vMerge w:val="restart"/>
            <w:shd w:val="clear" w:color="auto" w:fill="auto"/>
            <w:noWrap/>
            <w:vAlign w:val="center"/>
          </w:tcPr>
          <w:p w14:paraId="57C26DD4" w14:textId="7017A41F" w:rsidR="00073461" w:rsidRPr="00C862FF" w:rsidRDefault="00073461" w:rsidP="009C38B2">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2do nivel medio</w:t>
            </w:r>
            <w:r w:rsidR="009C38B2" w:rsidRPr="009C38B2">
              <w:rPr>
                <w:rFonts w:ascii="Calibri" w:eastAsia="Times New Roman" w:hAnsi="Calibri" w:cs="Calibri"/>
                <w:color w:val="000000"/>
                <w:vertAlign w:val="superscript"/>
                <w:lang w:val="es-MX" w:eastAsia="es-MX"/>
              </w:rPr>
              <w:t>V</w:t>
            </w:r>
            <w:r w:rsidR="009C38B2">
              <w:rPr>
                <w:rFonts w:ascii="Calibri" w:eastAsia="Times New Roman" w:hAnsi="Calibri" w:cs="Calibri"/>
                <w:color w:val="000000"/>
                <w:vertAlign w:val="superscript"/>
                <w:lang w:val="es-MX" w:eastAsia="es-MX"/>
              </w:rPr>
              <w:t>I</w:t>
            </w:r>
          </w:p>
        </w:tc>
        <w:tc>
          <w:tcPr>
            <w:tcW w:w="1221" w:type="dxa"/>
            <w:shd w:val="clear" w:color="auto" w:fill="auto"/>
            <w:noWrap/>
            <w:vAlign w:val="center"/>
          </w:tcPr>
          <w:p w14:paraId="58FC4D35" w14:textId="7ACA4006" w:rsidR="00073461" w:rsidRPr="00C862FF" w:rsidRDefault="00073461" w:rsidP="00073461">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Lengua</w:t>
            </w:r>
          </w:p>
        </w:tc>
        <w:tc>
          <w:tcPr>
            <w:tcW w:w="619" w:type="dxa"/>
            <w:vAlign w:val="center"/>
          </w:tcPr>
          <w:p w14:paraId="1ED5147A" w14:textId="7102FC6D" w:rsidR="00073461" w:rsidRPr="00C862FF" w:rsidRDefault="00073461" w:rsidP="00073461">
            <w:pPr>
              <w:spacing w:after="0" w:line="240" w:lineRule="auto"/>
              <w:jc w:val="center"/>
              <w:rPr>
                <w:rFonts w:ascii="Calibri" w:eastAsia="Times New Roman" w:hAnsi="Calibri" w:cs="Calibri"/>
                <w:lang w:val="es-MX" w:eastAsia="es-MX"/>
              </w:rPr>
            </w:pPr>
            <w:r>
              <w:rPr>
                <w:rFonts w:ascii="Calibri" w:hAnsi="Calibri" w:cs="Calibri"/>
              </w:rPr>
              <w:t>48</w:t>
            </w:r>
          </w:p>
        </w:tc>
        <w:tc>
          <w:tcPr>
            <w:tcW w:w="641" w:type="dxa"/>
            <w:vAlign w:val="center"/>
          </w:tcPr>
          <w:p w14:paraId="3ADAEDED" w14:textId="41D1A763" w:rsidR="00073461" w:rsidRPr="00C862FF" w:rsidRDefault="00073461" w:rsidP="00073461">
            <w:pPr>
              <w:spacing w:after="0" w:line="240" w:lineRule="auto"/>
              <w:jc w:val="center"/>
              <w:rPr>
                <w:rFonts w:ascii="Calibri" w:eastAsia="Times New Roman" w:hAnsi="Calibri" w:cs="Calibri"/>
                <w:lang w:val="es-MX" w:eastAsia="es-MX"/>
              </w:rPr>
            </w:pPr>
            <w:r>
              <w:rPr>
                <w:rFonts w:ascii="Calibri" w:hAnsi="Calibri" w:cs="Calibri"/>
              </w:rPr>
              <w:t>47</w:t>
            </w:r>
          </w:p>
        </w:tc>
        <w:tc>
          <w:tcPr>
            <w:tcW w:w="619" w:type="dxa"/>
            <w:vAlign w:val="center"/>
          </w:tcPr>
          <w:p w14:paraId="44463AF2" w14:textId="14574990" w:rsidR="00073461" w:rsidRPr="00C862FF" w:rsidRDefault="00073461" w:rsidP="00073461">
            <w:pPr>
              <w:spacing w:after="0" w:line="240" w:lineRule="auto"/>
              <w:jc w:val="center"/>
              <w:rPr>
                <w:rFonts w:ascii="Calibri" w:eastAsia="Times New Roman" w:hAnsi="Calibri" w:cs="Calibri"/>
                <w:lang w:val="es-MX" w:eastAsia="es-MX"/>
              </w:rPr>
            </w:pPr>
            <w:r>
              <w:rPr>
                <w:rFonts w:ascii="Calibri" w:hAnsi="Calibri" w:cs="Calibri"/>
              </w:rPr>
              <w:t>45</w:t>
            </w:r>
          </w:p>
        </w:tc>
        <w:tc>
          <w:tcPr>
            <w:tcW w:w="619" w:type="dxa"/>
            <w:vAlign w:val="center"/>
          </w:tcPr>
          <w:p w14:paraId="080C0D13" w14:textId="521E5A9B" w:rsidR="00073461" w:rsidRPr="00C862FF" w:rsidRDefault="00073461" w:rsidP="00073461">
            <w:pPr>
              <w:spacing w:after="0" w:line="240" w:lineRule="auto"/>
              <w:jc w:val="center"/>
              <w:rPr>
                <w:rFonts w:ascii="Calibri" w:eastAsia="Times New Roman" w:hAnsi="Calibri" w:cs="Calibri"/>
                <w:lang w:val="es-MX" w:eastAsia="es-MX"/>
              </w:rPr>
            </w:pPr>
            <w:r>
              <w:rPr>
                <w:rFonts w:ascii="Calibri" w:hAnsi="Calibri" w:cs="Calibri"/>
              </w:rPr>
              <w:t>49</w:t>
            </w:r>
          </w:p>
        </w:tc>
        <w:tc>
          <w:tcPr>
            <w:tcW w:w="657" w:type="dxa"/>
            <w:vAlign w:val="center"/>
          </w:tcPr>
          <w:p w14:paraId="22D87ECA" w14:textId="6BDBD252" w:rsidR="00073461" w:rsidRPr="00C862FF" w:rsidRDefault="00073461" w:rsidP="00073461">
            <w:pPr>
              <w:spacing w:after="0" w:line="240" w:lineRule="auto"/>
              <w:jc w:val="center"/>
              <w:rPr>
                <w:rFonts w:ascii="Calibri" w:eastAsia="Times New Roman" w:hAnsi="Calibri" w:cs="Calibri"/>
                <w:lang w:val="es-MX" w:eastAsia="es-MX"/>
              </w:rPr>
            </w:pPr>
            <w:r>
              <w:rPr>
                <w:rFonts w:ascii="Calibri" w:hAnsi="Calibri" w:cs="Calibri"/>
              </w:rPr>
              <w:t>50</w:t>
            </w:r>
          </w:p>
        </w:tc>
        <w:tc>
          <w:tcPr>
            <w:tcW w:w="656" w:type="dxa"/>
            <w:shd w:val="clear" w:color="auto" w:fill="auto"/>
            <w:noWrap/>
            <w:vAlign w:val="center"/>
          </w:tcPr>
          <w:p w14:paraId="622AD95F" w14:textId="35A5074F" w:rsidR="00073461" w:rsidRPr="00C862FF" w:rsidRDefault="00073461" w:rsidP="00073461">
            <w:pPr>
              <w:spacing w:after="0" w:line="240" w:lineRule="auto"/>
              <w:jc w:val="center"/>
              <w:rPr>
                <w:rFonts w:ascii="Calibri" w:eastAsia="Times New Roman" w:hAnsi="Calibri" w:cs="Calibri"/>
                <w:lang w:val="es-MX" w:eastAsia="es-MX"/>
              </w:rPr>
            </w:pPr>
            <w:r>
              <w:rPr>
                <w:rFonts w:ascii="Calibri" w:hAnsi="Calibri" w:cs="Calibri"/>
              </w:rPr>
              <w:t>46</w:t>
            </w:r>
          </w:p>
        </w:tc>
        <w:tc>
          <w:tcPr>
            <w:tcW w:w="605" w:type="dxa"/>
            <w:shd w:val="clear" w:color="auto" w:fill="auto"/>
            <w:noWrap/>
            <w:vAlign w:val="center"/>
          </w:tcPr>
          <w:p w14:paraId="20E1F9AA" w14:textId="079ACCE1" w:rsidR="00073461" w:rsidRPr="00C862FF" w:rsidRDefault="00073461" w:rsidP="00073461">
            <w:pPr>
              <w:spacing w:after="0" w:line="240" w:lineRule="auto"/>
              <w:jc w:val="center"/>
              <w:rPr>
                <w:rFonts w:ascii="Calibri" w:eastAsia="Times New Roman" w:hAnsi="Calibri" w:cs="Calibri"/>
                <w:color w:val="000000"/>
                <w:lang w:val="es-MX" w:eastAsia="es-MX"/>
              </w:rPr>
            </w:pPr>
            <w:r>
              <w:rPr>
                <w:rFonts w:ascii="Calibri" w:hAnsi="Calibri" w:cs="Calibri"/>
              </w:rPr>
              <w:t>47</w:t>
            </w:r>
          </w:p>
        </w:tc>
        <w:tc>
          <w:tcPr>
            <w:tcW w:w="619" w:type="dxa"/>
            <w:shd w:val="clear" w:color="auto" w:fill="auto"/>
            <w:noWrap/>
            <w:vAlign w:val="center"/>
          </w:tcPr>
          <w:p w14:paraId="1833B4AB" w14:textId="7456D9AE" w:rsidR="00073461" w:rsidRPr="00C862FF" w:rsidRDefault="00073461" w:rsidP="00073461">
            <w:pPr>
              <w:spacing w:after="0" w:line="240" w:lineRule="auto"/>
              <w:jc w:val="center"/>
              <w:rPr>
                <w:rFonts w:ascii="Calibri" w:eastAsia="Times New Roman" w:hAnsi="Calibri" w:cs="Calibri"/>
                <w:color w:val="000000"/>
                <w:lang w:val="es-MX" w:eastAsia="es-MX"/>
              </w:rPr>
            </w:pPr>
            <w:r>
              <w:rPr>
                <w:rFonts w:ascii="Calibri" w:hAnsi="Calibri" w:cs="Calibri"/>
              </w:rPr>
              <w:t>47</w:t>
            </w:r>
          </w:p>
        </w:tc>
        <w:tc>
          <w:tcPr>
            <w:tcW w:w="619" w:type="dxa"/>
            <w:shd w:val="clear" w:color="auto" w:fill="auto"/>
            <w:noWrap/>
            <w:vAlign w:val="center"/>
          </w:tcPr>
          <w:p w14:paraId="12A6C9A8" w14:textId="4C99C47F" w:rsidR="00073461" w:rsidRPr="00C862FF" w:rsidRDefault="00073461" w:rsidP="00073461">
            <w:pPr>
              <w:spacing w:after="0" w:line="240" w:lineRule="auto"/>
              <w:jc w:val="center"/>
              <w:rPr>
                <w:rFonts w:ascii="Calibri" w:eastAsia="Times New Roman" w:hAnsi="Calibri" w:cs="Calibri"/>
                <w:color w:val="000000"/>
                <w:lang w:val="es-MX" w:eastAsia="es-MX"/>
              </w:rPr>
            </w:pPr>
            <w:r>
              <w:rPr>
                <w:rFonts w:ascii="Calibri" w:hAnsi="Calibri" w:cs="Calibri"/>
              </w:rPr>
              <w:t>50</w:t>
            </w:r>
          </w:p>
        </w:tc>
        <w:tc>
          <w:tcPr>
            <w:tcW w:w="639" w:type="dxa"/>
            <w:shd w:val="clear" w:color="auto" w:fill="auto"/>
            <w:noWrap/>
            <w:vAlign w:val="center"/>
          </w:tcPr>
          <w:p w14:paraId="2392FB17" w14:textId="4E606E85" w:rsidR="00073461" w:rsidRPr="00C862FF" w:rsidRDefault="00073461" w:rsidP="00073461">
            <w:pPr>
              <w:spacing w:after="0" w:line="240" w:lineRule="auto"/>
              <w:jc w:val="center"/>
              <w:rPr>
                <w:rFonts w:ascii="Calibri" w:eastAsia="Times New Roman" w:hAnsi="Calibri" w:cs="Calibri"/>
                <w:color w:val="000000"/>
                <w:lang w:val="es-MX" w:eastAsia="es-MX"/>
              </w:rPr>
            </w:pPr>
            <w:r>
              <w:rPr>
                <w:rFonts w:ascii="Calibri" w:hAnsi="Calibri" w:cs="Calibri"/>
              </w:rPr>
              <w:t>50</w:t>
            </w:r>
          </w:p>
        </w:tc>
      </w:tr>
      <w:tr w:rsidR="00073461" w:rsidRPr="00C862FF" w14:paraId="134908F9" w14:textId="77777777" w:rsidTr="009C38B2">
        <w:trPr>
          <w:trHeight w:val="300"/>
        </w:trPr>
        <w:tc>
          <w:tcPr>
            <w:tcW w:w="1271" w:type="dxa"/>
            <w:vMerge/>
            <w:shd w:val="clear" w:color="auto" w:fill="auto"/>
            <w:noWrap/>
            <w:vAlign w:val="bottom"/>
          </w:tcPr>
          <w:p w14:paraId="0C799E13" w14:textId="77777777" w:rsidR="00073461" w:rsidRPr="00C862FF" w:rsidRDefault="00073461" w:rsidP="00073461">
            <w:pPr>
              <w:spacing w:after="0" w:line="240" w:lineRule="auto"/>
              <w:jc w:val="center"/>
              <w:rPr>
                <w:rFonts w:ascii="Calibri" w:eastAsia="Times New Roman" w:hAnsi="Calibri" w:cs="Calibri"/>
                <w:color w:val="000000"/>
                <w:lang w:val="es-MX" w:eastAsia="es-MX"/>
              </w:rPr>
            </w:pPr>
          </w:p>
        </w:tc>
        <w:tc>
          <w:tcPr>
            <w:tcW w:w="1221" w:type="dxa"/>
            <w:shd w:val="clear" w:color="auto" w:fill="auto"/>
            <w:noWrap/>
            <w:vAlign w:val="center"/>
          </w:tcPr>
          <w:p w14:paraId="30B1F4ED" w14:textId="3C070FD4" w:rsidR="00073461" w:rsidRPr="00C862FF" w:rsidRDefault="00073461" w:rsidP="00073461">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Matemática</w:t>
            </w:r>
          </w:p>
        </w:tc>
        <w:tc>
          <w:tcPr>
            <w:tcW w:w="619" w:type="dxa"/>
            <w:vAlign w:val="center"/>
          </w:tcPr>
          <w:p w14:paraId="01A510EE" w14:textId="30EAF60E" w:rsidR="00073461" w:rsidRPr="00C862FF" w:rsidRDefault="00073461" w:rsidP="00073461">
            <w:pPr>
              <w:spacing w:after="0" w:line="240" w:lineRule="auto"/>
              <w:jc w:val="center"/>
              <w:rPr>
                <w:rFonts w:ascii="Calibri" w:eastAsia="Times New Roman" w:hAnsi="Calibri" w:cs="Calibri"/>
                <w:lang w:val="es-MX" w:eastAsia="es-MX"/>
              </w:rPr>
            </w:pPr>
            <w:r>
              <w:rPr>
                <w:rFonts w:ascii="Calibri" w:hAnsi="Calibri" w:cs="Calibri"/>
              </w:rPr>
              <w:t>46</w:t>
            </w:r>
          </w:p>
        </w:tc>
        <w:tc>
          <w:tcPr>
            <w:tcW w:w="641" w:type="dxa"/>
            <w:vAlign w:val="center"/>
          </w:tcPr>
          <w:p w14:paraId="5173BD9F" w14:textId="2498F0BE" w:rsidR="00073461" w:rsidRPr="00C862FF" w:rsidRDefault="00073461" w:rsidP="00073461">
            <w:pPr>
              <w:spacing w:after="0" w:line="240" w:lineRule="auto"/>
              <w:jc w:val="center"/>
              <w:rPr>
                <w:rFonts w:ascii="Calibri" w:eastAsia="Times New Roman" w:hAnsi="Calibri" w:cs="Calibri"/>
                <w:lang w:val="es-MX" w:eastAsia="es-MX"/>
              </w:rPr>
            </w:pPr>
            <w:r>
              <w:rPr>
                <w:rFonts w:ascii="Calibri" w:hAnsi="Calibri" w:cs="Calibri"/>
              </w:rPr>
              <w:t>45</w:t>
            </w:r>
          </w:p>
        </w:tc>
        <w:tc>
          <w:tcPr>
            <w:tcW w:w="619" w:type="dxa"/>
            <w:vAlign w:val="center"/>
          </w:tcPr>
          <w:p w14:paraId="7F75DA18" w14:textId="39CDC613" w:rsidR="00073461" w:rsidRPr="00C862FF" w:rsidRDefault="00073461" w:rsidP="00073461">
            <w:pPr>
              <w:spacing w:after="0" w:line="240" w:lineRule="auto"/>
              <w:jc w:val="center"/>
              <w:rPr>
                <w:rFonts w:ascii="Calibri" w:eastAsia="Times New Roman" w:hAnsi="Calibri" w:cs="Calibri"/>
                <w:lang w:val="es-MX" w:eastAsia="es-MX"/>
              </w:rPr>
            </w:pPr>
            <w:r>
              <w:rPr>
                <w:rFonts w:ascii="Calibri" w:hAnsi="Calibri" w:cs="Calibri"/>
              </w:rPr>
              <w:t>44</w:t>
            </w:r>
          </w:p>
        </w:tc>
        <w:tc>
          <w:tcPr>
            <w:tcW w:w="619" w:type="dxa"/>
            <w:vAlign w:val="center"/>
          </w:tcPr>
          <w:p w14:paraId="29814170" w14:textId="6E47859E" w:rsidR="00073461" w:rsidRPr="00C862FF" w:rsidRDefault="00073461" w:rsidP="00073461">
            <w:pPr>
              <w:spacing w:after="0" w:line="240" w:lineRule="auto"/>
              <w:jc w:val="center"/>
              <w:rPr>
                <w:rFonts w:ascii="Calibri" w:eastAsia="Times New Roman" w:hAnsi="Calibri" w:cs="Calibri"/>
                <w:lang w:val="es-MX" w:eastAsia="es-MX"/>
              </w:rPr>
            </w:pPr>
            <w:r>
              <w:rPr>
                <w:rFonts w:ascii="Calibri" w:hAnsi="Calibri" w:cs="Calibri"/>
              </w:rPr>
              <w:t>45</w:t>
            </w:r>
          </w:p>
        </w:tc>
        <w:tc>
          <w:tcPr>
            <w:tcW w:w="657" w:type="dxa"/>
            <w:vAlign w:val="center"/>
          </w:tcPr>
          <w:p w14:paraId="1243B9ED" w14:textId="0433661C" w:rsidR="00073461" w:rsidRPr="00C862FF" w:rsidRDefault="00073461" w:rsidP="00073461">
            <w:pPr>
              <w:spacing w:after="0" w:line="240" w:lineRule="auto"/>
              <w:jc w:val="center"/>
              <w:rPr>
                <w:rFonts w:ascii="Calibri" w:eastAsia="Times New Roman" w:hAnsi="Calibri" w:cs="Calibri"/>
                <w:lang w:val="es-MX" w:eastAsia="es-MX"/>
              </w:rPr>
            </w:pPr>
            <w:r>
              <w:rPr>
                <w:rFonts w:ascii="Calibri" w:hAnsi="Calibri" w:cs="Calibri"/>
              </w:rPr>
              <w:t>50</w:t>
            </w:r>
          </w:p>
        </w:tc>
        <w:tc>
          <w:tcPr>
            <w:tcW w:w="656" w:type="dxa"/>
            <w:shd w:val="clear" w:color="auto" w:fill="auto"/>
            <w:noWrap/>
            <w:vAlign w:val="center"/>
          </w:tcPr>
          <w:p w14:paraId="360E0084" w14:textId="15556764" w:rsidR="00073461" w:rsidRPr="00C862FF" w:rsidRDefault="00073461" w:rsidP="00073461">
            <w:pPr>
              <w:spacing w:after="0" w:line="240" w:lineRule="auto"/>
              <w:jc w:val="center"/>
              <w:rPr>
                <w:rFonts w:ascii="Calibri" w:eastAsia="Times New Roman" w:hAnsi="Calibri" w:cs="Calibri"/>
                <w:lang w:val="es-MX" w:eastAsia="es-MX"/>
              </w:rPr>
            </w:pPr>
            <w:r>
              <w:rPr>
                <w:rFonts w:ascii="Calibri" w:hAnsi="Calibri" w:cs="Calibri"/>
              </w:rPr>
              <w:t>46</w:t>
            </w:r>
          </w:p>
        </w:tc>
        <w:tc>
          <w:tcPr>
            <w:tcW w:w="605" w:type="dxa"/>
            <w:shd w:val="clear" w:color="auto" w:fill="auto"/>
            <w:noWrap/>
            <w:vAlign w:val="center"/>
          </w:tcPr>
          <w:p w14:paraId="52368851" w14:textId="5CD9B7B0" w:rsidR="00073461" w:rsidRPr="00C862FF" w:rsidRDefault="00073461" w:rsidP="00073461">
            <w:pPr>
              <w:spacing w:after="0" w:line="240" w:lineRule="auto"/>
              <w:jc w:val="center"/>
              <w:rPr>
                <w:rFonts w:ascii="Calibri" w:eastAsia="Times New Roman" w:hAnsi="Calibri" w:cs="Calibri"/>
                <w:color w:val="000000"/>
                <w:lang w:val="es-MX" w:eastAsia="es-MX"/>
              </w:rPr>
            </w:pPr>
            <w:r>
              <w:rPr>
                <w:rFonts w:ascii="Calibri" w:hAnsi="Calibri" w:cs="Calibri"/>
              </w:rPr>
              <w:t>50</w:t>
            </w:r>
          </w:p>
        </w:tc>
        <w:tc>
          <w:tcPr>
            <w:tcW w:w="619" w:type="dxa"/>
            <w:shd w:val="clear" w:color="auto" w:fill="auto"/>
            <w:noWrap/>
            <w:vAlign w:val="center"/>
          </w:tcPr>
          <w:p w14:paraId="11186664" w14:textId="0DDBD466" w:rsidR="00073461" w:rsidRPr="00C862FF" w:rsidRDefault="00073461" w:rsidP="00073461">
            <w:pPr>
              <w:spacing w:after="0" w:line="240" w:lineRule="auto"/>
              <w:jc w:val="center"/>
              <w:rPr>
                <w:rFonts w:ascii="Calibri" w:eastAsia="Times New Roman" w:hAnsi="Calibri" w:cs="Calibri"/>
                <w:color w:val="000000"/>
                <w:lang w:val="es-MX" w:eastAsia="es-MX"/>
              </w:rPr>
            </w:pPr>
            <w:r>
              <w:rPr>
                <w:rFonts w:ascii="Calibri" w:hAnsi="Calibri" w:cs="Calibri"/>
              </w:rPr>
              <w:t>45</w:t>
            </w:r>
          </w:p>
        </w:tc>
        <w:tc>
          <w:tcPr>
            <w:tcW w:w="619" w:type="dxa"/>
            <w:shd w:val="clear" w:color="auto" w:fill="auto"/>
            <w:noWrap/>
            <w:vAlign w:val="center"/>
          </w:tcPr>
          <w:p w14:paraId="701CD16F" w14:textId="4A7773A8" w:rsidR="00073461" w:rsidRPr="00C862FF" w:rsidRDefault="00073461" w:rsidP="00073461">
            <w:pPr>
              <w:spacing w:after="0" w:line="240" w:lineRule="auto"/>
              <w:jc w:val="center"/>
              <w:rPr>
                <w:rFonts w:ascii="Calibri" w:eastAsia="Times New Roman" w:hAnsi="Calibri" w:cs="Calibri"/>
                <w:color w:val="000000"/>
                <w:lang w:val="es-MX" w:eastAsia="es-MX"/>
              </w:rPr>
            </w:pPr>
            <w:r>
              <w:rPr>
                <w:rFonts w:ascii="Calibri" w:hAnsi="Calibri" w:cs="Calibri"/>
              </w:rPr>
              <w:t>50</w:t>
            </w:r>
          </w:p>
        </w:tc>
        <w:tc>
          <w:tcPr>
            <w:tcW w:w="639" w:type="dxa"/>
            <w:shd w:val="clear" w:color="auto" w:fill="auto"/>
            <w:noWrap/>
            <w:vAlign w:val="center"/>
          </w:tcPr>
          <w:p w14:paraId="1C9B77A0" w14:textId="002BA6D7" w:rsidR="00073461" w:rsidRPr="00C862FF" w:rsidRDefault="00073461" w:rsidP="00073461">
            <w:pPr>
              <w:spacing w:after="0" w:line="240" w:lineRule="auto"/>
              <w:jc w:val="center"/>
              <w:rPr>
                <w:rFonts w:ascii="Calibri" w:eastAsia="Times New Roman" w:hAnsi="Calibri" w:cs="Calibri"/>
                <w:color w:val="000000"/>
                <w:lang w:val="es-MX" w:eastAsia="es-MX"/>
              </w:rPr>
            </w:pPr>
            <w:r>
              <w:rPr>
                <w:rFonts w:ascii="Calibri" w:hAnsi="Calibri" w:cs="Calibri"/>
              </w:rPr>
              <w:t>50</w:t>
            </w:r>
          </w:p>
        </w:tc>
      </w:tr>
    </w:tbl>
    <w:p w14:paraId="2C33F186" w14:textId="77777777" w:rsidR="007B386A" w:rsidRPr="00D3116E" w:rsidRDefault="007B386A" w:rsidP="007B386A">
      <w:pPr>
        <w:spacing w:after="0" w:line="240" w:lineRule="auto"/>
        <w:rPr>
          <w:rFonts w:ascii="Times New Roman" w:eastAsia="Calibri" w:hAnsi="Times New Roman" w:cs="Times New Roman"/>
          <w:b/>
          <w:sz w:val="14"/>
          <w:szCs w:val="24"/>
          <w:lang w:val="es-MX"/>
        </w:rPr>
      </w:pPr>
    </w:p>
    <w:tbl>
      <w:tblPr>
        <w:tblW w:w="8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1276"/>
        <w:gridCol w:w="662"/>
        <w:gridCol w:w="663"/>
        <w:gridCol w:w="663"/>
        <w:gridCol w:w="662"/>
        <w:gridCol w:w="663"/>
        <w:gridCol w:w="663"/>
        <w:gridCol w:w="662"/>
        <w:gridCol w:w="663"/>
        <w:gridCol w:w="663"/>
      </w:tblGrid>
      <w:tr w:rsidR="007B386A" w:rsidRPr="00C862FF" w14:paraId="2359A464" w14:textId="77777777" w:rsidTr="009C38B2">
        <w:trPr>
          <w:trHeight w:val="300"/>
        </w:trPr>
        <w:tc>
          <w:tcPr>
            <w:tcW w:w="2547" w:type="dxa"/>
            <w:gridSpan w:val="2"/>
            <w:vMerge w:val="restart"/>
            <w:shd w:val="clear" w:color="auto" w:fill="auto"/>
            <w:noWrap/>
            <w:vAlign w:val="center"/>
            <w:hideMark/>
          </w:tcPr>
          <w:p w14:paraId="5FC5712D" w14:textId="6C1EB9BD" w:rsidR="007B386A" w:rsidRPr="00C862FF" w:rsidRDefault="007B386A" w:rsidP="006237DE">
            <w:pPr>
              <w:spacing w:after="0" w:line="240" w:lineRule="auto"/>
              <w:rPr>
                <w:rFonts w:ascii="Times New Roman" w:eastAsia="Times New Roman" w:hAnsi="Times New Roman" w:cs="Times New Roman"/>
                <w:b/>
                <w:sz w:val="20"/>
                <w:szCs w:val="20"/>
                <w:lang w:val="es-MX" w:eastAsia="es-MX"/>
              </w:rPr>
            </w:pPr>
            <w:r w:rsidRPr="00C862FF">
              <w:rPr>
                <w:rFonts w:ascii="Calibri" w:eastAsia="Times New Roman" w:hAnsi="Calibri" w:cs="Calibri"/>
                <w:b/>
                <w:color w:val="000000"/>
                <w:lang w:val="es-MX" w:eastAsia="es-MX"/>
              </w:rPr>
              <w:t xml:space="preserve">México </w:t>
            </w:r>
            <w:r w:rsidR="00D244C3">
              <w:rPr>
                <w:rFonts w:ascii="Calibri" w:eastAsia="Times New Roman" w:hAnsi="Calibri" w:cs="Calibri"/>
                <w:b/>
                <w:color w:val="000000"/>
                <w:lang w:val="es-MX" w:eastAsia="es-MX"/>
              </w:rPr>
              <w:t>–</w:t>
            </w:r>
            <w:r w:rsidRPr="00C862FF">
              <w:rPr>
                <w:rFonts w:ascii="Calibri" w:eastAsia="Times New Roman" w:hAnsi="Calibri" w:cs="Calibri"/>
                <w:b/>
                <w:color w:val="000000"/>
                <w:lang w:val="es-MX" w:eastAsia="es-MX"/>
              </w:rPr>
              <w:t xml:space="preserve"> ENLACE</w:t>
            </w:r>
          </w:p>
        </w:tc>
        <w:tc>
          <w:tcPr>
            <w:tcW w:w="5964" w:type="dxa"/>
            <w:gridSpan w:val="9"/>
            <w:shd w:val="clear" w:color="auto" w:fill="auto"/>
            <w:noWrap/>
            <w:vAlign w:val="bottom"/>
            <w:hideMark/>
          </w:tcPr>
          <w:p w14:paraId="3493C0D6" w14:textId="77777777" w:rsidR="007B386A" w:rsidRPr="00C862FF" w:rsidRDefault="007B386A" w:rsidP="006237DE">
            <w:pPr>
              <w:spacing w:after="0" w:line="240" w:lineRule="auto"/>
              <w:rPr>
                <w:rFonts w:ascii="Times New Roman" w:eastAsia="Times New Roman" w:hAnsi="Times New Roman" w:cs="Times New Roman"/>
                <w:i/>
                <w:sz w:val="20"/>
                <w:szCs w:val="20"/>
                <w:lang w:val="es-MX" w:eastAsia="es-MX"/>
              </w:rPr>
            </w:pPr>
            <w:r w:rsidRPr="00C862FF">
              <w:rPr>
                <w:rFonts w:ascii="Calibri" w:eastAsia="Times New Roman" w:hAnsi="Calibri" w:cs="Calibri"/>
                <w:i/>
                <w:color w:val="000000"/>
                <w:lang w:val="es-MX" w:eastAsia="es-MX"/>
              </w:rPr>
              <w:t xml:space="preserve">Puntaje promedio estandarizado. Media = 500 y desv. est. = 100 </w:t>
            </w:r>
          </w:p>
        </w:tc>
      </w:tr>
      <w:tr w:rsidR="007B386A" w:rsidRPr="00C862FF" w14:paraId="6F3D4A77" w14:textId="77777777" w:rsidTr="009C38B2">
        <w:trPr>
          <w:trHeight w:val="300"/>
        </w:trPr>
        <w:tc>
          <w:tcPr>
            <w:tcW w:w="2547" w:type="dxa"/>
            <w:gridSpan w:val="2"/>
            <w:vMerge/>
            <w:shd w:val="clear" w:color="auto" w:fill="auto"/>
            <w:noWrap/>
            <w:vAlign w:val="bottom"/>
            <w:hideMark/>
          </w:tcPr>
          <w:p w14:paraId="41045137" w14:textId="77777777" w:rsidR="007B386A" w:rsidRPr="00C862FF" w:rsidRDefault="007B386A" w:rsidP="006237DE">
            <w:pPr>
              <w:spacing w:after="0" w:line="240" w:lineRule="auto"/>
              <w:rPr>
                <w:rFonts w:ascii="Calibri" w:eastAsia="Times New Roman" w:hAnsi="Calibri" w:cs="Calibri"/>
                <w:color w:val="000000"/>
                <w:lang w:val="es-MX" w:eastAsia="es-MX"/>
              </w:rPr>
            </w:pPr>
          </w:p>
        </w:tc>
        <w:tc>
          <w:tcPr>
            <w:tcW w:w="662" w:type="dxa"/>
            <w:shd w:val="clear" w:color="auto" w:fill="auto"/>
            <w:noWrap/>
            <w:vAlign w:val="center"/>
            <w:hideMark/>
          </w:tcPr>
          <w:p w14:paraId="5DAC905B" w14:textId="77777777" w:rsidR="007B386A" w:rsidRPr="00C862FF" w:rsidRDefault="007B386A" w:rsidP="006237DE">
            <w:pPr>
              <w:spacing w:after="0" w:line="240" w:lineRule="auto"/>
              <w:jc w:val="center"/>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2006</w:t>
            </w:r>
          </w:p>
        </w:tc>
        <w:tc>
          <w:tcPr>
            <w:tcW w:w="663" w:type="dxa"/>
            <w:shd w:val="clear" w:color="auto" w:fill="auto"/>
            <w:noWrap/>
            <w:vAlign w:val="center"/>
            <w:hideMark/>
          </w:tcPr>
          <w:p w14:paraId="402AEA0C" w14:textId="77777777" w:rsidR="007B386A" w:rsidRPr="00C862FF" w:rsidRDefault="007B386A" w:rsidP="006237DE">
            <w:pPr>
              <w:spacing w:after="0" w:line="240" w:lineRule="auto"/>
              <w:jc w:val="center"/>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2007</w:t>
            </w:r>
          </w:p>
        </w:tc>
        <w:tc>
          <w:tcPr>
            <w:tcW w:w="663" w:type="dxa"/>
            <w:shd w:val="clear" w:color="auto" w:fill="auto"/>
            <w:noWrap/>
            <w:vAlign w:val="center"/>
            <w:hideMark/>
          </w:tcPr>
          <w:p w14:paraId="496192EB" w14:textId="77777777" w:rsidR="007B386A" w:rsidRPr="00C862FF" w:rsidRDefault="007B386A" w:rsidP="006237DE">
            <w:pPr>
              <w:spacing w:after="0" w:line="240" w:lineRule="auto"/>
              <w:jc w:val="center"/>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2008</w:t>
            </w:r>
          </w:p>
        </w:tc>
        <w:tc>
          <w:tcPr>
            <w:tcW w:w="662" w:type="dxa"/>
            <w:shd w:val="clear" w:color="auto" w:fill="auto"/>
            <w:noWrap/>
            <w:vAlign w:val="center"/>
            <w:hideMark/>
          </w:tcPr>
          <w:p w14:paraId="3F4E22EE" w14:textId="77777777" w:rsidR="007B386A" w:rsidRPr="00C862FF" w:rsidRDefault="007B386A" w:rsidP="006237DE">
            <w:pPr>
              <w:spacing w:after="0" w:line="240" w:lineRule="auto"/>
              <w:jc w:val="center"/>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2009</w:t>
            </w:r>
          </w:p>
        </w:tc>
        <w:tc>
          <w:tcPr>
            <w:tcW w:w="663" w:type="dxa"/>
            <w:shd w:val="clear" w:color="auto" w:fill="auto"/>
            <w:noWrap/>
            <w:vAlign w:val="center"/>
            <w:hideMark/>
          </w:tcPr>
          <w:p w14:paraId="339ECAF8" w14:textId="77777777" w:rsidR="007B386A" w:rsidRPr="00C862FF" w:rsidRDefault="007B386A" w:rsidP="006237DE">
            <w:pPr>
              <w:spacing w:after="0" w:line="240" w:lineRule="auto"/>
              <w:jc w:val="center"/>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2010</w:t>
            </w:r>
          </w:p>
        </w:tc>
        <w:tc>
          <w:tcPr>
            <w:tcW w:w="663" w:type="dxa"/>
            <w:shd w:val="clear" w:color="auto" w:fill="auto"/>
            <w:noWrap/>
            <w:vAlign w:val="center"/>
            <w:hideMark/>
          </w:tcPr>
          <w:p w14:paraId="6DDD6302" w14:textId="77777777" w:rsidR="007B386A" w:rsidRPr="00C862FF" w:rsidRDefault="007B386A" w:rsidP="006237DE">
            <w:pPr>
              <w:spacing w:after="0" w:line="240" w:lineRule="auto"/>
              <w:jc w:val="center"/>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2011</w:t>
            </w:r>
          </w:p>
        </w:tc>
        <w:tc>
          <w:tcPr>
            <w:tcW w:w="662" w:type="dxa"/>
            <w:shd w:val="clear" w:color="auto" w:fill="auto"/>
            <w:noWrap/>
            <w:vAlign w:val="center"/>
            <w:hideMark/>
          </w:tcPr>
          <w:p w14:paraId="612C388A" w14:textId="77777777" w:rsidR="007B386A" w:rsidRPr="00C862FF" w:rsidRDefault="007B386A" w:rsidP="006237DE">
            <w:pPr>
              <w:spacing w:after="0" w:line="240" w:lineRule="auto"/>
              <w:jc w:val="center"/>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2012</w:t>
            </w:r>
          </w:p>
        </w:tc>
        <w:tc>
          <w:tcPr>
            <w:tcW w:w="663" w:type="dxa"/>
            <w:shd w:val="clear" w:color="auto" w:fill="auto"/>
            <w:noWrap/>
            <w:vAlign w:val="center"/>
            <w:hideMark/>
          </w:tcPr>
          <w:p w14:paraId="7881E6DD" w14:textId="77777777" w:rsidR="007B386A" w:rsidRPr="00C862FF" w:rsidRDefault="007B386A" w:rsidP="006237DE">
            <w:pPr>
              <w:spacing w:after="0" w:line="240" w:lineRule="auto"/>
              <w:jc w:val="center"/>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2013</w:t>
            </w:r>
          </w:p>
        </w:tc>
        <w:tc>
          <w:tcPr>
            <w:tcW w:w="663" w:type="dxa"/>
            <w:shd w:val="clear" w:color="auto" w:fill="auto"/>
            <w:noWrap/>
            <w:vAlign w:val="center"/>
            <w:hideMark/>
          </w:tcPr>
          <w:p w14:paraId="2A82993C" w14:textId="77777777" w:rsidR="007B386A" w:rsidRPr="00C862FF" w:rsidRDefault="007B386A" w:rsidP="006237DE">
            <w:pPr>
              <w:spacing w:after="0" w:line="240" w:lineRule="auto"/>
              <w:jc w:val="center"/>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2014</w:t>
            </w:r>
          </w:p>
        </w:tc>
      </w:tr>
      <w:tr w:rsidR="007B386A" w:rsidRPr="00C862FF" w14:paraId="4FB969BE" w14:textId="77777777" w:rsidTr="009C38B2">
        <w:trPr>
          <w:trHeight w:val="300"/>
        </w:trPr>
        <w:tc>
          <w:tcPr>
            <w:tcW w:w="1271" w:type="dxa"/>
            <w:vMerge w:val="restart"/>
            <w:shd w:val="clear" w:color="auto" w:fill="auto"/>
            <w:noWrap/>
            <w:vAlign w:val="center"/>
            <w:hideMark/>
          </w:tcPr>
          <w:p w14:paraId="1D5EB5DD" w14:textId="71C87F3E" w:rsidR="007B386A" w:rsidRPr="00C862FF" w:rsidRDefault="007B386A" w:rsidP="009C38B2">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5</w:t>
            </w:r>
            <w:r w:rsidR="005E3D27">
              <w:rPr>
                <w:rFonts w:ascii="Calibri" w:eastAsia="Times New Roman" w:hAnsi="Calibri" w:cs="Calibri"/>
                <w:color w:val="000000"/>
                <w:lang w:val="es-MX" w:eastAsia="es-MX"/>
              </w:rPr>
              <w:t>º</w:t>
            </w:r>
            <w:r w:rsidRPr="00C862FF">
              <w:rPr>
                <w:rFonts w:ascii="Calibri" w:eastAsia="Times New Roman" w:hAnsi="Calibri" w:cs="Calibri"/>
                <w:color w:val="000000"/>
                <w:lang w:val="es-MX" w:eastAsia="es-MX"/>
              </w:rPr>
              <w:t xml:space="preserve"> básico</w:t>
            </w:r>
            <w:r w:rsidR="009C38B2" w:rsidRPr="009C38B2">
              <w:rPr>
                <w:rFonts w:ascii="Calibri" w:eastAsia="Times New Roman" w:hAnsi="Calibri" w:cs="Calibri"/>
                <w:color w:val="000000"/>
                <w:vertAlign w:val="superscript"/>
                <w:lang w:val="es-MX" w:eastAsia="es-MX"/>
              </w:rPr>
              <w:t>I</w:t>
            </w:r>
            <w:r w:rsidR="009C38B2">
              <w:rPr>
                <w:rFonts w:ascii="Calibri" w:eastAsia="Times New Roman" w:hAnsi="Calibri" w:cs="Calibri"/>
                <w:color w:val="000000"/>
                <w:vertAlign w:val="superscript"/>
                <w:lang w:val="es-MX" w:eastAsia="es-MX"/>
              </w:rPr>
              <w:t>II</w:t>
            </w:r>
          </w:p>
        </w:tc>
        <w:tc>
          <w:tcPr>
            <w:tcW w:w="1276" w:type="dxa"/>
            <w:shd w:val="clear" w:color="auto" w:fill="auto"/>
            <w:noWrap/>
            <w:vAlign w:val="bottom"/>
            <w:hideMark/>
          </w:tcPr>
          <w:p w14:paraId="557391DC" w14:textId="77777777" w:rsidR="007B386A" w:rsidRPr="00C862FF" w:rsidRDefault="007B386A" w:rsidP="006237DE">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Lengua</w:t>
            </w:r>
          </w:p>
        </w:tc>
        <w:tc>
          <w:tcPr>
            <w:tcW w:w="662" w:type="dxa"/>
            <w:shd w:val="clear" w:color="auto" w:fill="auto"/>
            <w:noWrap/>
            <w:vAlign w:val="center"/>
            <w:hideMark/>
          </w:tcPr>
          <w:p w14:paraId="4DAF9610"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500</w:t>
            </w:r>
          </w:p>
        </w:tc>
        <w:tc>
          <w:tcPr>
            <w:tcW w:w="663" w:type="dxa"/>
            <w:shd w:val="clear" w:color="auto" w:fill="auto"/>
            <w:noWrap/>
            <w:vAlign w:val="center"/>
            <w:hideMark/>
          </w:tcPr>
          <w:p w14:paraId="641CC84A"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509</w:t>
            </w:r>
          </w:p>
        </w:tc>
        <w:tc>
          <w:tcPr>
            <w:tcW w:w="663" w:type="dxa"/>
            <w:shd w:val="clear" w:color="auto" w:fill="auto"/>
            <w:noWrap/>
            <w:vAlign w:val="center"/>
            <w:hideMark/>
          </w:tcPr>
          <w:p w14:paraId="3F3CAEFA"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512</w:t>
            </w:r>
          </w:p>
        </w:tc>
        <w:tc>
          <w:tcPr>
            <w:tcW w:w="662" w:type="dxa"/>
            <w:shd w:val="clear" w:color="auto" w:fill="auto"/>
            <w:noWrap/>
            <w:vAlign w:val="center"/>
            <w:hideMark/>
          </w:tcPr>
          <w:p w14:paraId="16117C79"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514</w:t>
            </w:r>
          </w:p>
        </w:tc>
        <w:tc>
          <w:tcPr>
            <w:tcW w:w="663" w:type="dxa"/>
            <w:shd w:val="clear" w:color="auto" w:fill="auto"/>
            <w:noWrap/>
            <w:vAlign w:val="center"/>
            <w:hideMark/>
          </w:tcPr>
          <w:p w14:paraId="37E0E4A8"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545</w:t>
            </w:r>
          </w:p>
        </w:tc>
        <w:tc>
          <w:tcPr>
            <w:tcW w:w="663" w:type="dxa"/>
            <w:shd w:val="clear" w:color="auto" w:fill="auto"/>
            <w:noWrap/>
            <w:vAlign w:val="center"/>
            <w:hideMark/>
          </w:tcPr>
          <w:p w14:paraId="49B0CB6F"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549</w:t>
            </w:r>
          </w:p>
        </w:tc>
        <w:tc>
          <w:tcPr>
            <w:tcW w:w="662" w:type="dxa"/>
            <w:shd w:val="clear" w:color="auto" w:fill="auto"/>
            <w:noWrap/>
            <w:vAlign w:val="center"/>
            <w:hideMark/>
          </w:tcPr>
          <w:p w14:paraId="1E794954"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548</w:t>
            </w:r>
          </w:p>
        </w:tc>
        <w:tc>
          <w:tcPr>
            <w:tcW w:w="663" w:type="dxa"/>
            <w:shd w:val="clear" w:color="auto" w:fill="auto"/>
            <w:noWrap/>
            <w:vAlign w:val="center"/>
            <w:hideMark/>
          </w:tcPr>
          <w:p w14:paraId="2DFED37D"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550</w:t>
            </w:r>
          </w:p>
        </w:tc>
        <w:tc>
          <w:tcPr>
            <w:tcW w:w="663" w:type="dxa"/>
            <w:shd w:val="clear" w:color="auto" w:fill="auto"/>
            <w:noWrap/>
            <w:vAlign w:val="center"/>
            <w:hideMark/>
          </w:tcPr>
          <w:p w14:paraId="24043030"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p>
        </w:tc>
      </w:tr>
      <w:tr w:rsidR="007B386A" w:rsidRPr="00C862FF" w14:paraId="4BC25833" w14:textId="77777777" w:rsidTr="009C38B2">
        <w:trPr>
          <w:trHeight w:val="300"/>
        </w:trPr>
        <w:tc>
          <w:tcPr>
            <w:tcW w:w="1271" w:type="dxa"/>
            <w:vMerge/>
            <w:shd w:val="clear" w:color="auto" w:fill="auto"/>
            <w:noWrap/>
            <w:vAlign w:val="bottom"/>
            <w:hideMark/>
          </w:tcPr>
          <w:p w14:paraId="171A82BB" w14:textId="77777777" w:rsidR="007B386A" w:rsidRPr="00C862FF" w:rsidRDefault="007B386A" w:rsidP="006237DE">
            <w:pPr>
              <w:spacing w:after="0" w:line="240" w:lineRule="auto"/>
              <w:rPr>
                <w:rFonts w:ascii="Times New Roman" w:eastAsia="Times New Roman" w:hAnsi="Times New Roman" w:cs="Times New Roman"/>
                <w:sz w:val="20"/>
                <w:szCs w:val="20"/>
                <w:lang w:val="es-MX" w:eastAsia="es-MX"/>
              </w:rPr>
            </w:pPr>
          </w:p>
        </w:tc>
        <w:tc>
          <w:tcPr>
            <w:tcW w:w="1276" w:type="dxa"/>
            <w:shd w:val="clear" w:color="auto" w:fill="auto"/>
            <w:noWrap/>
            <w:vAlign w:val="bottom"/>
            <w:hideMark/>
          </w:tcPr>
          <w:p w14:paraId="6F15F834" w14:textId="77777777" w:rsidR="007B386A" w:rsidRPr="00C862FF" w:rsidRDefault="007B386A" w:rsidP="006237DE">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Matemática</w:t>
            </w:r>
          </w:p>
        </w:tc>
        <w:tc>
          <w:tcPr>
            <w:tcW w:w="662" w:type="dxa"/>
            <w:shd w:val="clear" w:color="auto" w:fill="auto"/>
            <w:noWrap/>
            <w:vAlign w:val="center"/>
            <w:hideMark/>
          </w:tcPr>
          <w:p w14:paraId="38DFCC8A"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500</w:t>
            </w:r>
          </w:p>
        </w:tc>
        <w:tc>
          <w:tcPr>
            <w:tcW w:w="663" w:type="dxa"/>
            <w:shd w:val="clear" w:color="auto" w:fill="auto"/>
            <w:noWrap/>
            <w:vAlign w:val="center"/>
            <w:hideMark/>
          </w:tcPr>
          <w:p w14:paraId="7CB6A877"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510</w:t>
            </w:r>
          </w:p>
        </w:tc>
        <w:tc>
          <w:tcPr>
            <w:tcW w:w="663" w:type="dxa"/>
            <w:shd w:val="clear" w:color="auto" w:fill="auto"/>
            <w:noWrap/>
            <w:vAlign w:val="center"/>
            <w:hideMark/>
          </w:tcPr>
          <w:p w14:paraId="0669D160"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517</w:t>
            </w:r>
          </w:p>
        </w:tc>
        <w:tc>
          <w:tcPr>
            <w:tcW w:w="662" w:type="dxa"/>
            <w:shd w:val="clear" w:color="auto" w:fill="auto"/>
            <w:noWrap/>
            <w:vAlign w:val="center"/>
            <w:hideMark/>
          </w:tcPr>
          <w:p w14:paraId="2491F1F8"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527</w:t>
            </w:r>
          </w:p>
        </w:tc>
        <w:tc>
          <w:tcPr>
            <w:tcW w:w="663" w:type="dxa"/>
            <w:shd w:val="clear" w:color="auto" w:fill="auto"/>
            <w:noWrap/>
            <w:vAlign w:val="center"/>
            <w:hideMark/>
          </w:tcPr>
          <w:p w14:paraId="0DFC8360"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547</w:t>
            </w:r>
          </w:p>
        </w:tc>
        <w:tc>
          <w:tcPr>
            <w:tcW w:w="663" w:type="dxa"/>
            <w:shd w:val="clear" w:color="auto" w:fill="auto"/>
            <w:noWrap/>
            <w:vAlign w:val="center"/>
            <w:hideMark/>
          </w:tcPr>
          <w:p w14:paraId="2B48A9E8"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551</w:t>
            </w:r>
          </w:p>
        </w:tc>
        <w:tc>
          <w:tcPr>
            <w:tcW w:w="662" w:type="dxa"/>
            <w:shd w:val="clear" w:color="auto" w:fill="auto"/>
            <w:noWrap/>
            <w:vAlign w:val="center"/>
            <w:hideMark/>
          </w:tcPr>
          <w:p w14:paraId="1DAAED52"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571</w:t>
            </w:r>
          </w:p>
        </w:tc>
        <w:tc>
          <w:tcPr>
            <w:tcW w:w="663" w:type="dxa"/>
            <w:shd w:val="clear" w:color="auto" w:fill="auto"/>
            <w:noWrap/>
            <w:vAlign w:val="center"/>
            <w:hideMark/>
          </w:tcPr>
          <w:p w14:paraId="415F1391"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588</w:t>
            </w:r>
          </w:p>
        </w:tc>
        <w:tc>
          <w:tcPr>
            <w:tcW w:w="663" w:type="dxa"/>
            <w:shd w:val="clear" w:color="auto" w:fill="auto"/>
            <w:noWrap/>
            <w:vAlign w:val="center"/>
            <w:hideMark/>
          </w:tcPr>
          <w:p w14:paraId="777E8507"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p>
        </w:tc>
      </w:tr>
      <w:tr w:rsidR="007B386A" w:rsidRPr="00C862FF" w14:paraId="5CDA8337" w14:textId="77777777" w:rsidTr="009C38B2">
        <w:trPr>
          <w:trHeight w:val="300"/>
        </w:trPr>
        <w:tc>
          <w:tcPr>
            <w:tcW w:w="2547" w:type="dxa"/>
            <w:gridSpan w:val="2"/>
            <w:shd w:val="clear" w:color="auto" w:fill="auto"/>
            <w:noWrap/>
            <w:vAlign w:val="bottom"/>
            <w:hideMark/>
          </w:tcPr>
          <w:p w14:paraId="79BE83B3" w14:textId="77777777" w:rsidR="007B386A" w:rsidRPr="00C862FF" w:rsidRDefault="007B386A" w:rsidP="006237DE">
            <w:pPr>
              <w:spacing w:after="0" w:line="240" w:lineRule="auto"/>
              <w:rPr>
                <w:rFonts w:ascii="Times New Roman" w:eastAsia="Times New Roman" w:hAnsi="Times New Roman" w:cs="Times New Roman"/>
                <w:sz w:val="20"/>
                <w:szCs w:val="20"/>
                <w:lang w:val="es-MX" w:eastAsia="es-MX"/>
              </w:rPr>
            </w:pPr>
          </w:p>
        </w:tc>
        <w:tc>
          <w:tcPr>
            <w:tcW w:w="5964" w:type="dxa"/>
            <w:gridSpan w:val="9"/>
            <w:shd w:val="clear" w:color="auto" w:fill="auto"/>
            <w:noWrap/>
            <w:vAlign w:val="bottom"/>
            <w:hideMark/>
          </w:tcPr>
          <w:p w14:paraId="1CCF6ECE" w14:textId="556F1FFA" w:rsidR="007B386A" w:rsidRPr="00C862FF" w:rsidRDefault="007B386A" w:rsidP="006237DE">
            <w:pPr>
              <w:spacing w:after="0" w:line="240" w:lineRule="auto"/>
              <w:rPr>
                <w:rFonts w:ascii="Times New Roman" w:eastAsia="Times New Roman" w:hAnsi="Times New Roman" w:cs="Times New Roman"/>
                <w:i/>
                <w:sz w:val="20"/>
                <w:szCs w:val="20"/>
                <w:lang w:val="es-MX" w:eastAsia="es-MX"/>
              </w:rPr>
            </w:pPr>
            <w:r w:rsidRPr="00C862FF">
              <w:rPr>
                <w:rFonts w:ascii="Calibri" w:eastAsia="Times New Roman" w:hAnsi="Calibri" w:cs="Calibri"/>
                <w:i/>
                <w:color w:val="000000"/>
                <w:lang w:val="es-MX" w:eastAsia="es-MX"/>
              </w:rPr>
              <w:t xml:space="preserve"> % </w:t>
            </w:r>
            <w:r w:rsidR="001E1612">
              <w:rPr>
                <w:rFonts w:ascii="Calibri" w:eastAsia="Times New Roman" w:hAnsi="Calibri" w:cs="Calibri"/>
                <w:i/>
                <w:color w:val="000000"/>
                <w:lang w:val="es-MX" w:eastAsia="es-MX"/>
              </w:rPr>
              <w:t xml:space="preserve">agrupado </w:t>
            </w:r>
            <w:r w:rsidRPr="00C862FF">
              <w:rPr>
                <w:rFonts w:ascii="Calibri" w:eastAsia="Times New Roman" w:hAnsi="Calibri" w:cs="Calibri"/>
                <w:i/>
                <w:color w:val="000000"/>
                <w:lang w:val="es-MX" w:eastAsia="es-MX"/>
              </w:rPr>
              <w:t xml:space="preserve">de estudiantes con logro elemental, bueno y excelente </w:t>
            </w:r>
          </w:p>
        </w:tc>
      </w:tr>
      <w:tr w:rsidR="007B386A" w:rsidRPr="00C862FF" w14:paraId="767A73A7" w14:textId="77777777" w:rsidTr="009C38B2">
        <w:trPr>
          <w:trHeight w:val="300"/>
        </w:trPr>
        <w:tc>
          <w:tcPr>
            <w:tcW w:w="1271" w:type="dxa"/>
            <w:vMerge w:val="restart"/>
            <w:shd w:val="clear" w:color="auto" w:fill="auto"/>
            <w:noWrap/>
            <w:vAlign w:val="center"/>
            <w:hideMark/>
          </w:tcPr>
          <w:p w14:paraId="45E8BF87" w14:textId="5DD6D10A" w:rsidR="007B386A" w:rsidRPr="00C862FF" w:rsidRDefault="00073461" w:rsidP="001E1612">
            <w:pPr>
              <w:spacing w:after="0" w:line="240" w:lineRule="auto"/>
              <w:rPr>
                <w:rFonts w:ascii="Calibri" w:eastAsia="Times New Roman" w:hAnsi="Calibri" w:cs="Calibri"/>
                <w:color w:val="000000"/>
                <w:lang w:val="es-MX" w:eastAsia="es-MX"/>
              </w:rPr>
            </w:pPr>
            <w:r w:rsidRPr="00671830">
              <w:t>3</w:t>
            </w:r>
            <w:r w:rsidR="005E3D27">
              <w:t>º</w:t>
            </w:r>
            <w:r w:rsidRPr="00671830">
              <w:t xml:space="preserve"> secundaria</w:t>
            </w:r>
            <w:r w:rsidR="009C38B2" w:rsidRPr="009C38B2">
              <w:rPr>
                <w:rFonts w:ascii="Calibri" w:eastAsia="Times New Roman" w:hAnsi="Calibri" w:cs="Calibri"/>
                <w:color w:val="000000"/>
                <w:vertAlign w:val="superscript"/>
                <w:lang w:val="es-MX" w:eastAsia="es-MX"/>
              </w:rPr>
              <w:t>V</w:t>
            </w:r>
          </w:p>
        </w:tc>
        <w:tc>
          <w:tcPr>
            <w:tcW w:w="1276" w:type="dxa"/>
            <w:shd w:val="clear" w:color="auto" w:fill="auto"/>
            <w:noWrap/>
            <w:vAlign w:val="bottom"/>
            <w:hideMark/>
          </w:tcPr>
          <w:p w14:paraId="0D088320" w14:textId="77777777" w:rsidR="007B386A" w:rsidRPr="00C862FF" w:rsidRDefault="007B386A" w:rsidP="006237DE">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Lengua</w:t>
            </w:r>
          </w:p>
        </w:tc>
        <w:tc>
          <w:tcPr>
            <w:tcW w:w="662" w:type="dxa"/>
            <w:shd w:val="clear" w:color="auto" w:fill="auto"/>
            <w:noWrap/>
            <w:vAlign w:val="center"/>
            <w:hideMark/>
          </w:tcPr>
          <w:p w14:paraId="1A9B1761" w14:textId="77777777" w:rsidR="007B386A" w:rsidRPr="00C862FF" w:rsidRDefault="007B386A" w:rsidP="006237DE">
            <w:pPr>
              <w:spacing w:after="0" w:line="240" w:lineRule="auto"/>
              <w:jc w:val="center"/>
              <w:rPr>
                <w:rFonts w:ascii="Calibri" w:eastAsia="Times New Roman" w:hAnsi="Calibri" w:cs="Calibri"/>
                <w:lang w:val="es-MX" w:eastAsia="es-MX"/>
              </w:rPr>
            </w:pPr>
          </w:p>
        </w:tc>
        <w:tc>
          <w:tcPr>
            <w:tcW w:w="663" w:type="dxa"/>
            <w:shd w:val="clear" w:color="auto" w:fill="auto"/>
            <w:noWrap/>
            <w:vAlign w:val="center"/>
            <w:hideMark/>
          </w:tcPr>
          <w:p w14:paraId="4ADC92EB" w14:textId="77777777" w:rsidR="007B386A" w:rsidRPr="00C862FF" w:rsidRDefault="007B386A" w:rsidP="006237DE">
            <w:pPr>
              <w:spacing w:after="0" w:line="240" w:lineRule="auto"/>
              <w:jc w:val="center"/>
              <w:rPr>
                <w:rFonts w:ascii="Calibri" w:eastAsia="Times New Roman" w:hAnsi="Calibri" w:cs="Calibri"/>
                <w:lang w:val="es-MX" w:eastAsia="es-MX"/>
              </w:rPr>
            </w:pPr>
          </w:p>
        </w:tc>
        <w:tc>
          <w:tcPr>
            <w:tcW w:w="663" w:type="dxa"/>
            <w:shd w:val="clear" w:color="auto" w:fill="auto"/>
            <w:noWrap/>
            <w:vAlign w:val="center"/>
            <w:hideMark/>
          </w:tcPr>
          <w:p w14:paraId="0AFD216F" w14:textId="77777777" w:rsidR="007B386A" w:rsidRPr="00C862FF" w:rsidRDefault="007B386A" w:rsidP="006237DE">
            <w:pPr>
              <w:spacing w:after="0" w:line="240" w:lineRule="auto"/>
              <w:jc w:val="center"/>
              <w:rPr>
                <w:rFonts w:ascii="Calibri" w:eastAsia="Times New Roman" w:hAnsi="Calibri" w:cs="Calibri"/>
                <w:lang w:val="es-MX" w:eastAsia="es-MX"/>
              </w:rPr>
            </w:pPr>
            <w:r w:rsidRPr="00C862FF">
              <w:rPr>
                <w:rFonts w:ascii="Calibri" w:eastAsia="Times New Roman" w:hAnsi="Calibri" w:cs="Calibri"/>
                <w:lang w:val="es-MX" w:eastAsia="es-MX"/>
              </w:rPr>
              <w:t>88%</w:t>
            </w:r>
          </w:p>
        </w:tc>
        <w:tc>
          <w:tcPr>
            <w:tcW w:w="662" w:type="dxa"/>
            <w:shd w:val="clear" w:color="auto" w:fill="auto"/>
            <w:noWrap/>
            <w:vAlign w:val="center"/>
            <w:hideMark/>
          </w:tcPr>
          <w:p w14:paraId="2BF84D8E" w14:textId="77777777" w:rsidR="007B386A" w:rsidRPr="00C862FF" w:rsidRDefault="007B386A" w:rsidP="006237DE">
            <w:pPr>
              <w:spacing w:after="0" w:line="240" w:lineRule="auto"/>
              <w:jc w:val="center"/>
              <w:rPr>
                <w:rFonts w:ascii="Calibri" w:eastAsia="Times New Roman" w:hAnsi="Calibri" w:cs="Calibri"/>
                <w:lang w:val="es-MX" w:eastAsia="es-MX"/>
              </w:rPr>
            </w:pPr>
            <w:r w:rsidRPr="00C862FF">
              <w:rPr>
                <w:rFonts w:ascii="Calibri" w:eastAsia="Times New Roman" w:hAnsi="Calibri" w:cs="Calibri"/>
                <w:lang w:val="es-MX" w:eastAsia="es-MX"/>
              </w:rPr>
              <w:t>83%</w:t>
            </w:r>
          </w:p>
        </w:tc>
        <w:tc>
          <w:tcPr>
            <w:tcW w:w="663" w:type="dxa"/>
            <w:shd w:val="clear" w:color="auto" w:fill="auto"/>
            <w:noWrap/>
            <w:vAlign w:val="center"/>
            <w:hideMark/>
          </w:tcPr>
          <w:p w14:paraId="6FC41D32"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88%</w:t>
            </w:r>
          </w:p>
        </w:tc>
        <w:tc>
          <w:tcPr>
            <w:tcW w:w="663" w:type="dxa"/>
            <w:shd w:val="clear" w:color="auto" w:fill="auto"/>
            <w:noWrap/>
            <w:vAlign w:val="center"/>
            <w:hideMark/>
          </w:tcPr>
          <w:p w14:paraId="51A0F47C"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85%</w:t>
            </w:r>
          </w:p>
        </w:tc>
        <w:tc>
          <w:tcPr>
            <w:tcW w:w="662" w:type="dxa"/>
            <w:shd w:val="clear" w:color="auto" w:fill="auto"/>
            <w:noWrap/>
            <w:vAlign w:val="center"/>
            <w:hideMark/>
          </w:tcPr>
          <w:p w14:paraId="26D0137D"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86%</w:t>
            </w:r>
          </w:p>
        </w:tc>
        <w:tc>
          <w:tcPr>
            <w:tcW w:w="663" w:type="dxa"/>
            <w:shd w:val="clear" w:color="auto" w:fill="auto"/>
            <w:noWrap/>
            <w:vAlign w:val="center"/>
            <w:hideMark/>
          </w:tcPr>
          <w:p w14:paraId="17885F1B"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84%</w:t>
            </w:r>
          </w:p>
        </w:tc>
        <w:tc>
          <w:tcPr>
            <w:tcW w:w="663" w:type="dxa"/>
            <w:shd w:val="clear" w:color="auto" w:fill="auto"/>
            <w:noWrap/>
            <w:vAlign w:val="center"/>
            <w:hideMark/>
          </w:tcPr>
          <w:p w14:paraId="65B5473A"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81%</w:t>
            </w:r>
          </w:p>
        </w:tc>
      </w:tr>
      <w:tr w:rsidR="007B386A" w:rsidRPr="00C862FF" w14:paraId="59DA423D" w14:textId="77777777" w:rsidTr="009C38B2">
        <w:trPr>
          <w:trHeight w:val="300"/>
        </w:trPr>
        <w:tc>
          <w:tcPr>
            <w:tcW w:w="1271" w:type="dxa"/>
            <w:vMerge/>
            <w:shd w:val="clear" w:color="auto" w:fill="auto"/>
            <w:noWrap/>
            <w:vAlign w:val="bottom"/>
            <w:hideMark/>
          </w:tcPr>
          <w:p w14:paraId="52B3C9F9" w14:textId="77777777" w:rsidR="007B386A" w:rsidRPr="00C862FF" w:rsidRDefault="007B386A" w:rsidP="006237DE">
            <w:pPr>
              <w:spacing w:after="0" w:line="240" w:lineRule="auto"/>
              <w:jc w:val="right"/>
              <w:rPr>
                <w:rFonts w:ascii="Calibri" w:eastAsia="Times New Roman" w:hAnsi="Calibri" w:cs="Calibri"/>
                <w:color w:val="000000"/>
                <w:lang w:val="es-MX" w:eastAsia="es-MX"/>
              </w:rPr>
            </w:pPr>
          </w:p>
        </w:tc>
        <w:tc>
          <w:tcPr>
            <w:tcW w:w="1276" w:type="dxa"/>
            <w:shd w:val="clear" w:color="auto" w:fill="auto"/>
            <w:noWrap/>
            <w:vAlign w:val="bottom"/>
            <w:hideMark/>
          </w:tcPr>
          <w:p w14:paraId="56583C7B" w14:textId="77777777" w:rsidR="007B386A" w:rsidRPr="00C862FF" w:rsidRDefault="007B386A" w:rsidP="006237DE">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Matemática</w:t>
            </w:r>
          </w:p>
        </w:tc>
        <w:tc>
          <w:tcPr>
            <w:tcW w:w="662" w:type="dxa"/>
            <w:shd w:val="clear" w:color="auto" w:fill="auto"/>
            <w:noWrap/>
            <w:vAlign w:val="center"/>
            <w:hideMark/>
          </w:tcPr>
          <w:p w14:paraId="12153186" w14:textId="77777777" w:rsidR="007B386A" w:rsidRPr="00C862FF" w:rsidRDefault="007B386A" w:rsidP="006237DE">
            <w:pPr>
              <w:spacing w:after="0" w:line="240" w:lineRule="auto"/>
              <w:jc w:val="center"/>
              <w:rPr>
                <w:rFonts w:ascii="Calibri" w:eastAsia="Times New Roman" w:hAnsi="Calibri" w:cs="Calibri"/>
                <w:lang w:val="es-MX" w:eastAsia="es-MX"/>
              </w:rPr>
            </w:pPr>
          </w:p>
        </w:tc>
        <w:tc>
          <w:tcPr>
            <w:tcW w:w="663" w:type="dxa"/>
            <w:shd w:val="clear" w:color="auto" w:fill="auto"/>
            <w:noWrap/>
            <w:vAlign w:val="center"/>
            <w:hideMark/>
          </w:tcPr>
          <w:p w14:paraId="5219984D"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p>
        </w:tc>
        <w:tc>
          <w:tcPr>
            <w:tcW w:w="663" w:type="dxa"/>
            <w:shd w:val="clear" w:color="auto" w:fill="auto"/>
            <w:noWrap/>
            <w:vAlign w:val="center"/>
            <w:hideMark/>
          </w:tcPr>
          <w:p w14:paraId="3AF4ABC6"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53%</w:t>
            </w:r>
          </w:p>
        </w:tc>
        <w:tc>
          <w:tcPr>
            <w:tcW w:w="662" w:type="dxa"/>
            <w:shd w:val="clear" w:color="auto" w:fill="auto"/>
            <w:noWrap/>
            <w:vAlign w:val="center"/>
            <w:hideMark/>
          </w:tcPr>
          <w:p w14:paraId="576E90B0"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54%</w:t>
            </w:r>
          </w:p>
        </w:tc>
        <w:tc>
          <w:tcPr>
            <w:tcW w:w="663" w:type="dxa"/>
            <w:shd w:val="clear" w:color="auto" w:fill="auto"/>
            <w:noWrap/>
            <w:vAlign w:val="center"/>
            <w:hideMark/>
          </w:tcPr>
          <w:p w14:paraId="47B18DE6"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59%</w:t>
            </w:r>
          </w:p>
        </w:tc>
        <w:tc>
          <w:tcPr>
            <w:tcW w:w="663" w:type="dxa"/>
            <w:shd w:val="clear" w:color="auto" w:fill="auto"/>
            <w:noWrap/>
            <w:vAlign w:val="center"/>
            <w:hideMark/>
          </w:tcPr>
          <w:p w14:paraId="019D81DB"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65%</w:t>
            </w:r>
          </w:p>
        </w:tc>
        <w:tc>
          <w:tcPr>
            <w:tcW w:w="662" w:type="dxa"/>
            <w:shd w:val="clear" w:color="auto" w:fill="auto"/>
            <w:noWrap/>
            <w:vAlign w:val="center"/>
            <w:hideMark/>
          </w:tcPr>
          <w:p w14:paraId="128B651C"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70%</w:t>
            </w:r>
          </w:p>
        </w:tc>
        <w:tc>
          <w:tcPr>
            <w:tcW w:w="663" w:type="dxa"/>
            <w:shd w:val="clear" w:color="auto" w:fill="auto"/>
            <w:noWrap/>
            <w:vAlign w:val="center"/>
            <w:hideMark/>
          </w:tcPr>
          <w:p w14:paraId="08B29FA5"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72%</w:t>
            </w:r>
          </w:p>
        </w:tc>
        <w:tc>
          <w:tcPr>
            <w:tcW w:w="663" w:type="dxa"/>
            <w:shd w:val="clear" w:color="auto" w:fill="auto"/>
            <w:noWrap/>
            <w:vAlign w:val="center"/>
            <w:hideMark/>
          </w:tcPr>
          <w:p w14:paraId="47A32BF5"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73%</w:t>
            </w:r>
          </w:p>
        </w:tc>
      </w:tr>
    </w:tbl>
    <w:p w14:paraId="252BF36E" w14:textId="77777777" w:rsidR="007B386A" w:rsidRPr="00D3116E" w:rsidRDefault="007B386A" w:rsidP="007B386A">
      <w:pPr>
        <w:spacing w:after="0" w:line="240" w:lineRule="auto"/>
        <w:rPr>
          <w:rFonts w:ascii="Times New Roman" w:eastAsia="Calibri" w:hAnsi="Times New Roman" w:cs="Times New Roman"/>
          <w:b/>
          <w:sz w:val="14"/>
          <w:szCs w:val="24"/>
          <w:lang w:val="es-MX"/>
        </w:rPr>
      </w:pPr>
    </w:p>
    <w:tbl>
      <w:tblPr>
        <w:tblW w:w="8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1276"/>
        <w:gridCol w:w="659"/>
        <w:gridCol w:w="660"/>
        <w:gridCol w:w="660"/>
        <w:gridCol w:w="660"/>
        <w:gridCol w:w="659"/>
        <w:gridCol w:w="660"/>
        <w:gridCol w:w="660"/>
        <w:gridCol w:w="660"/>
        <w:gridCol w:w="660"/>
      </w:tblGrid>
      <w:tr w:rsidR="007B386A" w:rsidRPr="00C862FF" w14:paraId="0899F73C" w14:textId="77777777" w:rsidTr="009C38B2">
        <w:trPr>
          <w:trHeight w:val="300"/>
        </w:trPr>
        <w:tc>
          <w:tcPr>
            <w:tcW w:w="2547" w:type="dxa"/>
            <w:gridSpan w:val="2"/>
            <w:vMerge w:val="restart"/>
            <w:shd w:val="clear" w:color="auto" w:fill="auto"/>
            <w:noWrap/>
            <w:vAlign w:val="center"/>
            <w:hideMark/>
          </w:tcPr>
          <w:p w14:paraId="22269190" w14:textId="151E6379" w:rsidR="007B386A" w:rsidRPr="00C862FF" w:rsidRDefault="007B386A" w:rsidP="006237DE">
            <w:pPr>
              <w:spacing w:after="0" w:line="240" w:lineRule="auto"/>
              <w:rPr>
                <w:rFonts w:ascii="Times New Roman" w:eastAsia="Times New Roman" w:hAnsi="Times New Roman" w:cs="Times New Roman"/>
                <w:b/>
                <w:sz w:val="20"/>
                <w:szCs w:val="20"/>
                <w:lang w:val="es-MX" w:eastAsia="es-MX"/>
              </w:rPr>
            </w:pPr>
            <w:r w:rsidRPr="00C862FF">
              <w:rPr>
                <w:rFonts w:ascii="Calibri" w:eastAsia="Times New Roman" w:hAnsi="Calibri" w:cs="Calibri"/>
                <w:b/>
                <w:color w:val="000000"/>
                <w:lang w:val="es-MX" w:eastAsia="es-MX"/>
              </w:rPr>
              <w:t xml:space="preserve">Perú </w:t>
            </w:r>
            <w:r w:rsidR="00D244C3">
              <w:rPr>
                <w:rFonts w:ascii="Calibri" w:eastAsia="Times New Roman" w:hAnsi="Calibri" w:cs="Calibri"/>
                <w:b/>
                <w:color w:val="000000"/>
                <w:lang w:val="es-MX" w:eastAsia="es-MX"/>
              </w:rPr>
              <w:t>–</w:t>
            </w:r>
            <w:r w:rsidRPr="00C862FF">
              <w:rPr>
                <w:rFonts w:ascii="Calibri" w:eastAsia="Times New Roman" w:hAnsi="Calibri" w:cs="Calibri"/>
                <w:b/>
                <w:color w:val="000000"/>
                <w:lang w:val="es-MX" w:eastAsia="es-MX"/>
              </w:rPr>
              <w:t>ECE</w:t>
            </w:r>
          </w:p>
        </w:tc>
        <w:tc>
          <w:tcPr>
            <w:tcW w:w="5938" w:type="dxa"/>
            <w:gridSpan w:val="9"/>
            <w:shd w:val="clear" w:color="auto" w:fill="auto"/>
            <w:noWrap/>
            <w:vAlign w:val="bottom"/>
            <w:hideMark/>
          </w:tcPr>
          <w:p w14:paraId="3CAB098B" w14:textId="77777777" w:rsidR="007B386A" w:rsidRPr="00C862FF" w:rsidRDefault="007B386A" w:rsidP="006237DE">
            <w:pPr>
              <w:spacing w:after="0" w:line="240" w:lineRule="auto"/>
              <w:rPr>
                <w:rFonts w:ascii="Times New Roman" w:eastAsia="Times New Roman" w:hAnsi="Times New Roman" w:cs="Times New Roman"/>
                <w:i/>
                <w:sz w:val="20"/>
                <w:szCs w:val="20"/>
                <w:lang w:val="es-MX" w:eastAsia="es-MX"/>
              </w:rPr>
            </w:pPr>
            <w:r w:rsidRPr="00C862FF">
              <w:rPr>
                <w:rFonts w:ascii="Calibri" w:eastAsia="Times New Roman" w:hAnsi="Calibri" w:cs="Calibri"/>
                <w:i/>
                <w:color w:val="000000"/>
                <w:lang w:val="es-MX" w:eastAsia="es-MX"/>
              </w:rPr>
              <w:t>Puntaje promedio estandarizado. Media = 500 y desv. est. = 100</w:t>
            </w:r>
          </w:p>
        </w:tc>
      </w:tr>
      <w:tr w:rsidR="007B386A" w:rsidRPr="00C862FF" w14:paraId="5E628547" w14:textId="77777777" w:rsidTr="009C38B2">
        <w:trPr>
          <w:trHeight w:val="300"/>
        </w:trPr>
        <w:tc>
          <w:tcPr>
            <w:tcW w:w="2547" w:type="dxa"/>
            <w:gridSpan w:val="2"/>
            <w:vMerge/>
            <w:shd w:val="clear" w:color="auto" w:fill="auto"/>
            <w:noWrap/>
            <w:vAlign w:val="bottom"/>
            <w:hideMark/>
          </w:tcPr>
          <w:p w14:paraId="15AE7531" w14:textId="77777777" w:rsidR="007B386A" w:rsidRPr="00C862FF" w:rsidRDefault="007B386A" w:rsidP="006237DE">
            <w:pPr>
              <w:spacing w:after="0" w:line="240" w:lineRule="auto"/>
              <w:rPr>
                <w:rFonts w:ascii="Calibri" w:eastAsia="Times New Roman" w:hAnsi="Calibri" w:cs="Calibri"/>
                <w:color w:val="000000"/>
                <w:lang w:val="es-MX" w:eastAsia="es-MX"/>
              </w:rPr>
            </w:pPr>
          </w:p>
        </w:tc>
        <w:tc>
          <w:tcPr>
            <w:tcW w:w="659" w:type="dxa"/>
            <w:shd w:val="clear" w:color="auto" w:fill="auto"/>
            <w:noWrap/>
            <w:vAlign w:val="center"/>
            <w:hideMark/>
          </w:tcPr>
          <w:p w14:paraId="60D29BB6" w14:textId="77777777" w:rsidR="007B386A" w:rsidRPr="00C862FF" w:rsidRDefault="007B386A" w:rsidP="006237DE">
            <w:pPr>
              <w:spacing w:after="0" w:line="240" w:lineRule="auto"/>
              <w:jc w:val="center"/>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2007</w:t>
            </w:r>
          </w:p>
        </w:tc>
        <w:tc>
          <w:tcPr>
            <w:tcW w:w="660" w:type="dxa"/>
            <w:shd w:val="clear" w:color="auto" w:fill="auto"/>
            <w:noWrap/>
            <w:vAlign w:val="center"/>
            <w:hideMark/>
          </w:tcPr>
          <w:p w14:paraId="0AAC76D4" w14:textId="77777777" w:rsidR="007B386A" w:rsidRPr="00C862FF" w:rsidRDefault="007B386A" w:rsidP="006237DE">
            <w:pPr>
              <w:spacing w:after="0" w:line="240" w:lineRule="auto"/>
              <w:jc w:val="center"/>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2008</w:t>
            </w:r>
          </w:p>
        </w:tc>
        <w:tc>
          <w:tcPr>
            <w:tcW w:w="660" w:type="dxa"/>
            <w:shd w:val="clear" w:color="auto" w:fill="auto"/>
            <w:noWrap/>
            <w:vAlign w:val="center"/>
            <w:hideMark/>
          </w:tcPr>
          <w:p w14:paraId="15575119" w14:textId="77777777" w:rsidR="007B386A" w:rsidRPr="00C862FF" w:rsidRDefault="007B386A" w:rsidP="006237DE">
            <w:pPr>
              <w:spacing w:after="0" w:line="240" w:lineRule="auto"/>
              <w:jc w:val="center"/>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2009</w:t>
            </w:r>
          </w:p>
        </w:tc>
        <w:tc>
          <w:tcPr>
            <w:tcW w:w="660" w:type="dxa"/>
            <w:shd w:val="clear" w:color="auto" w:fill="auto"/>
            <w:noWrap/>
            <w:vAlign w:val="center"/>
            <w:hideMark/>
          </w:tcPr>
          <w:p w14:paraId="51CEFAC2" w14:textId="77777777" w:rsidR="007B386A" w:rsidRPr="00C862FF" w:rsidRDefault="007B386A" w:rsidP="006237DE">
            <w:pPr>
              <w:spacing w:after="0" w:line="240" w:lineRule="auto"/>
              <w:jc w:val="center"/>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2010</w:t>
            </w:r>
          </w:p>
        </w:tc>
        <w:tc>
          <w:tcPr>
            <w:tcW w:w="659" w:type="dxa"/>
            <w:shd w:val="clear" w:color="auto" w:fill="auto"/>
            <w:noWrap/>
            <w:vAlign w:val="center"/>
            <w:hideMark/>
          </w:tcPr>
          <w:p w14:paraId="0C76B3AE" w14:textId="77777777" w:rsidR="007B386A" w:rsidRPr="00C862FF" w:rsidRDefault="007B386A" w:rsidP="006237DE">
            <w:pPr>
              <w:spacing w:after="0" w:line="240" w:lineRule="auto"/>
              <w:jc w:val="center"/>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2011</w:t>
            </w:r>
          </w:p>
        </w:tc>
        <w:tc>
          <w:tcPr>
            <w:tcW w:w="660" w:type="dxa"/>
            <w:shd w:val="clear" w:color="auto" w:fill="auto"/>
            <w:noWrap/>
            <w:vAlign w:val="center"/>
            <w:hideMark/>
          </w:tcPr>
          <w:p w14:paraId="40D7CD76" w14:textId="77777777" w:rsidR="007B386A" w:rsidRPr="00C862FF" w:rsidRDefault="007B386A" w:rsidP="006237DE">
            <w:pPr>
              <w:spacing w:after="0" w:line="240" w:lineRule="auto"/>
              <w:jc w:val="center"/>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2012</w:t>
            </w:r>
          </w:p>
        </w:tc>
        <w:tc>
          <w:tcPr>
            <w:tcW w:w="660" w:type="dxa"/>
            <w:shd w:val="clear" w:color="auto" w:fill="auto"/>
            <w:noWrap/>
            <w:vAlign w:val="center"/>
            <w:hideMark/>
          </w:tcPr>
          <w:p w14:paraId="31F20B00" w14:textId="77777777" w:rsidR="007B386A" w:rsidRPr="00C862FF" w:rsidRDefault="007B386A" w:rsidP="006237DE">
            <w:pPr>
              <w:spacing w:after="0" w:line="240" w:lineRule="auto"/>
              <w:jc w:val="center"/>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2013</w:t>
            </w:r>
          </w:p>
        </w:tc>
        <w:tc>
          <w:tcPr>
            <w:tcW w:w="660" w:type="dxa"/>
            <w:shd w:val="clear" w:color="auto" w:fill="auto"/>
            <w:noWrap/>
            <w:vAlign w:val="center"/>
            <w:hideMark/>
          </w:tcPr>
          <w:p w14:paraId="2D9CBE64" w14:textId="77777777" w:rsidR="007B386A" w:rsidRPr="00C862FF" w:rsidRDefault="007B386A" w:rsidP="006237DE">
            <w:pPr>
              <w:spacing w:after="0" w:line="240" w:lineRule="auto"/>
              <w:jc w:val="center"/>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2014</w:t>
            </w:r>
          </w:p>
        </w:tc>
        <w:tc>
          <w:tcPr>
            <w:tcW w:w="660" w:type="dxa"/>
            <w:shd w:val="clear" w:color="auto" w:fill="auto"/>
            <w:noWrap/>
            <w:vAlign w:val="center"/>
            <w:hideMark/>
          </w:tcPr>
          <w:p w14:paraId="7140CF6D" w14:textId="77777777" w:rsidR="007B386A" w:rsidRPr="00C862FF" w:rsidRDefault="007B386A" w:rsidP="006237DE">
            <w:pPr>
              <w:spacing w:after="0" w:line="240" w:lineRule="auto"/>
              <w:jc w:val="center"/>
              <w:rPr>
                <w:rFonts w:ascii="Calibri" w:eastAsia="Times New Roman" w:hAnsi="Calibri" w:cs="Calibri"/>
                <w:b/>
                <w:color w:val="000000"/>
                <w:lang w:val="es-MX" w:eastAsia="es-MX"/>
              </w:rPr>
            </w:pPr>
            <w:r w:rsidRPr="00C862FF">
              <w:rPr>
                <w:rFonts w:ascii="Calibri" w:eastAsia="Times New Roman" w:hAnsi="Calibri" w:cs="Calibri"/>
                <w:b/>
                <w:color w:val="000000"/>
                <w:lang w:val="es-MX" w:eastAsia="es-MX"/>
              </w:rPr>
              <w:t>2015</w:t>
            </w:r>
          </w:p>
        </w:tc>
      </w:tr>
      <w:tr w:rsidR="007B386A" w:rsidRPr="00C862FF" w14:paraId="00484BB2" w14:textId="77777777" w:rsidTr="009C38B2">
        <w:trPr>
          <w:trHeight w:val="315"/>
        </w:trPr>
        <w:tc>
          <w:tcPr>
            <w:tcW w:w="1271" w:type="dxa"/>
            <w:vMerge w:val="restart"/>
            <w:shd w:val="clear" w:color="auto" w:fill="auto"/>
            <w:noWrap/>
            <w:vAlign w:val="bottom"/>
            <w:hideMark/>
          </w:tcPr>
          <w:p w14:paraId="049FD83A" w14:textId="49DACF94" w:rsidR="007B386A" w:rsidRPr="00C862FF" w:rsidRDefault="007B386A" w:rsidP="009C38B2">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2</w:t>
            </w:r>
            <w:r w:rsidR="005E3D27">
              <w:rPr>
                <w:rFonts w:ascii="Calibri" w:eastAsia="Times New Roman" w:hAnsi="Calibri" w:cs="Calibri"/>
                <w:color w:val="000000"/>
                <w:lang w:val="es-MX" w:eastAsia="es-MX"/>
              </w:rPr>
              <w:t>º</w:t>
            </w:r>
            <w:r w:rsidRPr="00C862FF">
              <w:rPr>
                <w:rFonts w:ascii="Calibri" w:eastAsia="Times New Roman" w:hAnsi="Calibri" w:cs="Calibri"/>
                <w:color w:val="000000"/>
                <w:lang w:val="es-MX" w:eastAsia="es-MX"/>
              </w:rPr>
              <w:t xml:space="preserve"> grado primaria</w:t>
            </w:r>
            <w:r w:rsidR="009C38B2" w:rsidRPr="009C38B2">
              <w:rPr>
                <w:rFonts w:ascii="Calibri" w:eastAsia="Times New Roman" w:hAnsi="Calibri" w:cs="Calibri"/>
                <w:color w:val="000000"/>
                <w:vertAlign w:val="superscript"/>
                <w:lang w:val="es-MX" w:eastAsia="es-MX"/>
              </w:rPr>
              <w:t>I</w:t>
            </w:r>
          </w:p>
        </w:tc>
        <w:tc>
          <w:tcPr>
            <w:tcW w:w="1276" w:type="dxa"/>
            <w:shd w:val="clear" w:color="auto" w:fill="auto"/>
            <w:noWrap/>
            <w:vAlign w:val="bottom"/>
            <w:hideMark/>
          </w:tcPr>
          <w:p w14:paraId="0336DDF9" w14:textId="77777777" w:rsidR="007B386A" w:rsidRPr="00C862FF" w:rsidRDefault="007B386A" w:rsidP="006237DE">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Lengua</w:t>
            </w:r>
          </w:p>
        </w:tc>
        <w:tc>
          <w:tcPr>
            <w:tcW w:w="659" w:type="dxa"/>
            <w:shd w:val="clear" w:color="auto" w:fill="auto"/>
            <w:noWrap/>
            <w:vAlign w:val="center"/>
            <w:hideMark/>
          </w:tcPr>
          <w:p w14:paraId="6AEE5612" w14:textId="77777777" w:rsidR="007B386A" w:rsidRPr="00C862FF" w:rsidRDefault="007B386A" w:rsidP="006237DE">
            <w:pPr>
              <w:spacing w:after="0" w:line="240" w:lineRule="auto"/>
              <w:jc w:val="center"/>
              <w:rPr>
                <w:rFonts w:ascii="Calibri" w:eastAsia="Times New Roman" w:hAnsi="Calibri" w:cs="Calibri"/>
                <w:lang w:val="es-MX" w:eastAsia="es-MX"/>
              </w:rPr>
            </w:pPr>
            <w:r w:rsidRPr="00C862FF">
              <w:rPr>
                <w:rFonts w:ascii="Calibri" w:eastAsia="Times New Roman" w:hAnsi="Calibri" w:cs="Calibri"/>
                <w:lang w:val="es-MX" w:eastAsia="es-MX"/>
              </w:rPr>
              <w:t>500</w:t>
            </w:r>
          </w:p>
        </w:tc>
        <w:tc>
          <w:tcPr>
            <w:tcW w:w="660" w:type="dxa"/>
            <w:shd w:val="clear" w:color="auto" w:fill="auto"/>
            <w:noWrap/>
            <w:vAlign w:val="center"/>
            <w:hideMark/>
          </w:tcPr>
          <w:p w14:paraId="5468EEB8" w14:textId="77777777" w:rsidR="007B386A" w:rsidRPr="00C862FF" w:rsidRDefault="007B386A" w:rsidP="006237DE">
            <w:pPr>
              <w:spacing w:after="0" w:line="240" w:lineRule="auto"/>
              <w:jc w:val="center"/>
              <w:rPr>
                <w:rFonts w:ascii="Calibri" w:eastAsia="Times New Roman" w:hAnsi="Calibri" w:cs="Calibri"/>
                <w:lang w:val="es-MX" w:eastAsia="es-MX"/>
              </w:rPr>
            </w:pPr>
            <w:r w:rsidRPr="00C862FF">
              <w:rPr>
                <w:rFonts w:ascii="Calibri" w:eastAsia="Times New Roman" w:hAnsi="Calibri" w:cs="Calibri"/>
                <w:lang w:val="es-MX" w:eastAsia="es-MX"/>
              </w:rPr>
              <w:t>503</w:t>
            </w:r>
          </w:p>
        </w:tc>
        <w:tc>
          <w:tcPr>
            <w:tcW w:w="660" w:type="dxa"/>
            <w:shd w:val="clear" w:color="auto" w:fill="auto"/>
            <w:noWrap/>
            <w:vAlign w:val="center"/>
            <w:hideMark/>
          </w:tcPr>
          <w:p w14:paraId="589AF544" w14:textId="77777777" w:rsidR="007B386A" w:rsidRPr="00C862FF" w:rsidRDefault="007B386A" w:rsidP="006237DE">
            <w:pPr>
              <w:spacing w:after="0" w:line="240" w:lineRule="auto"/>
              <w:jc w:val="center"/>
              <w:rPr>
                <w:rFonts w:ascii="Calibri" w:eastAsia="Times New Roman" w:hAnsi="Calibri" w:cs="Calibri"/>
                <w:lang w:val="es-MX" w:eastAsia="es-MX"/>
              </w:rPr>
            </w:pPr>
            <w:r w:rsidRPr="00C862FF">
              <w:rPr>
                <w:rFonts w:ascii="Calibri" w:eastAsia="Times New Roman" w:hAnsi="Calibri" w:cs="Calibri"/>
                <w:lang w:val="es-MX" w:eastAsia="es-MX"/>
              </w:rPr>
              <w:t>524</w:t>
            </w:r>
          </w:p>
        </w:tc>
        <w:tc>
          <w:tcPr>
            <w:tcW w:w="660" w:type="dxa"/>
            <w:shd w:val="clear" w:color="auto" w:fill="auto"/>
            <w:noWrap/>
            <w:vAlign w:val="center"/>
            <w:hideMark/>
          </w:tcPr>
          <w:p w14:paraId="4BC0052C" w14:textId="77777777" w:rsidR="007B386A" w:rsidRPr="00C862FF" w:rsidRDefault="007B386A" w:rsidP="006237DE">
            <w:pPr>
              <w:spacing w:after="0" w:line="240" w:lineRule="auto"/>
              <w:jc w:val="center"/>
              <w:rPr>
                <w:rFonts w:ascii="Calibri" w:eastAsia="Times New Roman" w:hAnsi="Calibri" w:cs="Calibri"/>
                <w:lang w:val="es-MX" w:eastAsia="es-MX"/>
              </w:rPr>
            </w:pPr>
            <w:r w:rsidRPr="00C862FF">
              <w:rPr>
                <w:rFonts w:ascii="Calibri" w:eastAsia="Times New Roman" w:hAnsi="Calibri" w:cs="Calibri"/>
                <w:lang w:val="es-MX" w:eastAsia="es-MX"/>
              </w:rPr>
              <w:t>536</w:t>
            </w:r>
          </w:p>
        </w:tc>
        <w:tc>
          <w:tcPr>
            <w:tcW w:w="659" w:type="dxa"/>
            <w:shd w:val="clear" w:color="auto" w:fill="auto"/>
            <w:noWrap/>
            <w:vAlign w:val="center"/>
            <w:hideMark/>
          </w:tcPr>
          <w:p w14:paraId="2093502A" w14:textId="77777777" w:rsidR="007B386A" w:rsidRPr="00C862FF" w:rsidRDefault="007B386A" w:rsidP="006237DE">
            <w:pPr>
              <w:spacing w:after="0" w:line="240" w:lineRule="auto"/>
              <w:jc w:val="center"/>
              <w:rPr>
                <w:rFonts w:ascii="Calibri" w:eastAsia="Times New Roman" w:hAnsi="Calibri" w:cs="Calibri"/>
                <w:lang w:val="es-MX" w:eastAsia="es-MX"/>
              </w:rPr>
            </w:pPr>
            <w:r w:rsidRPr="00C862FF">
              <w:rPr>
                <w:rFonts w:ascii="Calibri" w:eastAsia="Times New Roman" w:hAnsi="Calibri" w:cs="Calibri"/>
                <w:lang w:val="es-MX" w:eastAsia="es-MX"/>
              </w:rPr>
              <w:t>535</w:t>
            </w:r>
          </w:p>
        </w:tc>
        <w:tc>
          <w:tcPr>
            <w:tcW w:w="660" w:type="dxa"/>
            <w:shd w:val="clear" w:color="auto" w:fill="auto"/>
            <w:noWrap/>
            <w:vAlign w:val="center"/>
            <w:hideMark/>
          </w:tcPr>
          <w:p w14:paraId="4E77134E" w14:textId="77777777" w:rsidR="007B386A" w:rsidRPr="00C862FF" w:rsidRDefault="007B386A" w:rsidP="006237DE">
            <w:pPr>
              <w:spacing w:after="0" w:line="240" w:lineRule="auto"/>
              <w:jc w:val="center"/>
              <w:rPr>
                <w:rFonts w:ascii="Calibri" w:eastAsia="Times New Roman" w:hAnsi="Calibri" w:cs="Calibri"/>
                <w:lang w:val="es-MX" w:eastAsia="es-MX"/>
              </w:rPr>
            </w:pPr>
            <w:r w:rsidRPr="00C862FF">
              <w:rPr>
                <w:rFonts w:ascii="Calibri" w:eastAsia="Times New Roman" w:hAnsi="Calibri" w:cs="Calibri"/>
                <w:lang w:val="es-MX" w:eastAsia="es-MX"/>
              </w:rPr>
              <w:t>541</w:t>
            </w:r>
          </w:p>
        </w:tc>
        <w:tc>
          <w:tcPr>
            <w:tcW w:w="660" w:type="dxa"/>
            <w:shd w:val="clear" w:color="auto" w:fill="auto"/>
            <w:noWrap/>
            <w:vAlign w:val="center"/>
            <w:hideMark/>
          </w:tcPr>
          <w:p w14:paraId="492C6C14" w14:textId="77777777" w:rsidR="007B386A" w:rsidRPr="00C862FF" w:rsidRDefault="007B386A" w:rsidP="006237DE">
            <w:pPr>
              <w:spacing w:after="0" w:line="240" w:lineRule="auto"/>
              <w:jc w:val="center"/>
              <w:rPr>
                <w:rFonts w:ascii="Calibri" w:eastAsia="Times New Roman" w:hAnsi="Calibri" w:cs="Calibri"/>
                <w:lang w:val="es-MX" w:eastAsia="es-MX"/>
              </w:rPr>
            </w:pPr>
            <w:r w:rsidRPr="00C862FF">
              <w:rPr>
                <w:rFonts w:ascii="Calibri" w:eastAsia="Times New Roman" w:hAnsi="Calibri" w:cs="Calibri"/>
                <w:lang w:val="es-MX" w:eastAsia="es-MX"/>
              </w:rPr>
              <w:t>545</w:t>
            </w:r>
          </w:p>
        </w:tc>
        <w:tc>
          <w:tcPr>
            <w:tcW w:w="660" w:type="dxa"/>
            <w:shd w:val="clear" w:color="auto" w:fill="auto"/>
            <w:noWrap/>
            <w:vAlign w:val="center"/>
            <w:hideMark/>
          </w:tcPr>
          <w:p w14:paraId="483B25D0"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568</w:t>
            </w:r>
          </w:p>
        </w:tc>
        <w:tc>
          <w:tcPr>
            <w:tcW w:w="660" w:type="dxa"/>
            <w:shd w:val="clear" w:color="auto" w:fill="auto"/>
            <w:noWrap/>
            <w:vAlign w:val="center"/>
            <w:hideMark/>
          </w:tcPr>
          <w:p w14:paraId="202681A5" w14:textId="77777777" w:rsidR="007B386A" w:rsidRPr="00C862FF" w:rsidRDefault="007B386A" w:rsidP="006237DE">
            <w:pPr>
              <w:spacing w:after="0" w:line="240" w:lineRule="auto"/>
              <w:jc w:val="center"/>
              <w:rPr>
                <w:rFonts w:ascii="Calibri" w:eastAsia="Times New Roman" w:hAnsi="Calibri" w:cs="Calibri"/>
                <w:lang w:val="es-MX" w:eastAsia="es-MX"/>
              </w:rPr>
            </w:pPr>
            <w:r w:rsidRPr="00C862FF">
              <w:rPr>
                <w:rFonts w:ascii="Calibri" w:eastAsia="Times New Roman" w:hAnsi="Calibri" w:cs="Calibri"/>
                <w:lang w:val="es-MX" w:eastAsia="es-MX"/>
              </w:rPr>
              <w:t>592</w:t>
            </w:r>
          </w:p>
        </w:tc>
      </w:tr>
      <w:tr w:rsidR="007B386A" w:rsidRPr="00C862FF" w14:paraId="5173C80A" w14:textId="77777777" w:rsidTr="009C38B2">
        <w:trPr>
          <w:trHeight w:val="300"/>
        </w:trPr>
        <w:tc>
          <w:tcPr>
            <w:tcW w:w="1271" w:type="dxa"/>
            <w:vMerge/>
            <w:shd w:val="clear" w:color="auto" w:fill="auto"/>
            <w:noWrap/>
            <w:vAlign w:val="bottom"/>
            <w:hideMark/>
          </w:tcPr>
          <w:p w14:paraId="708C9A57" w14:textId="77777777" w:rsidR="007B386A" w:rsidRPr="00C862FF" w:rsidRDefault="007B386A" w:rsidP="006237DE">
            <w:pPr>
              <w:spacing w:after="0" w:line="240" w:lineRule="auto"/>
              <w:rPr>
                <w:rFonts w:ascii="Calibri" w:eastAsia="Times New Roman" w:hAnsi="Calibri" w:cs="Calibri"/>
                <w:lang w:val="es-MX" w:eastAsia="es-MX"/>
              </w:rPr>
            </w:pPr>
          </w:p>
        </w:tc>
        <w:tc>
          <w:tcPr>
            <w:tcW w:w="1276" w:type="dxa"/>
            <w:shd w:val="clear" w:color="auto" w:fill="auto"/>
            <w:noWrap/>
            <w:vAlign w:val="bottom"/>
            <w:hideMark/>
          </w:tcPr>
          <w:p w14:paraId="5D0A0207" w14:textId="77777777" w:rsidR="007B386A" w:rsidRPr="00C862FF" w:rsidRDefault="007B386A" w:rsidP="006237DE">
            <w:pPr>
              <w:spacing w:after="0" w:line="240" w:lineRule="auto"/>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Matemática</w:t>
            </w:r>
          </w:p>
        </w:tc>
        <w:tc>
          <w:tcPr>
            <w:tcW w:w="659" w:type="dxa"/>
            <w:shd w:val="clear" w:color="auto" w:fill="auto"/>
            <w:noWrap/>
            <w:vAlign w:val="center"/>
            <w:hideMark/>
          </w:tcPr>
          <w:p w14:paraId="63FCA985" w14:textId="77777777" w:rsidR="007B386A" w:rsidRPr="00C862FF" w:rsidRDefault="007B386A" w:rsidP="006237DE">
            <w:pPr>
              <w:spacing w:after="0" w:line="240" w:lineRule="auto"/>
              <w:jc w:val="center"/>
              <w:rPr>
                <w:rFonts w:ascii="Calibri" w:eastAsia="Times New Roman" w:hAnsi="Calibri" w:cs="Calibri"/>
                <w:lang w:val="es-MX" w:eastAsia="es-MX"/>
              </w:rPr>
            </w:pPr>
            <w:r w:rsidRPr="00C862FF">
              <w:rPr>
                <w:rFonts w:ascii="Calibri" w:eastAsia="Times New Roman" w:hAnsi="Calibri" w:cs="Calibri"/>
                <w:lang w:val="es-MX" w:eastAsia="es-MX"/>
              </w:rPr>
              <w:t>500</w:t>
            </w:r>
          </w:p>
        </w:tc>
        <w:tc>
          <w:tcPr>
            <w:tcW w:w="660" w:type="dxa"/>
            <w:shd w:val="clear" w:color="auto" w:fill="auto"/>
            <w:noWrap/>
            <w:vAlign w:val="center"/>
            <w:hideMark/>
          </w:tcPr>
          <w:p w14:paraId="6F00517E" w14:textId="77777777" w:rsidR="007B386A" w:rsidRPr="00C862FF" w:rsidRDefault="007B386A" w:rsidP="006237DE">
            <w:pPr>
              <w:spacing w:after="0" w:line="240" w:lineRule="auto"/>
              <w:jc w:val="center"/>
              <w:rPr>
                <w:rFonts w:ascii="Calibri" w:eastAsia="Times New Roman" w:hAnsi="Calibri" w:cs="Calibri"/>
                <w:lang w:val="es-MX" w:eastAsia="es-MX"/>
              </w:rPr>
            </w:pPr>
            <w:r w:rsidRPr="00C862FF">
              <w:rPr>
                <w:rFonts w:ascii="Calibri" w:eastAsia="Times New Roman" w:hAnsi="Calibri" w:cs="Calibri"/>
                <w:lang w:val="es-MX" w:eastAsia="es-MX"/>
              </w:rPr>
              <w:t>512</w:t>
            </w:r>
          </w:p>
        </w:tc>
        <w:tc>
          <w:tcPr>
            <w:tcW w:w="660" w:type="dxa"/>
            <w:shd w:val="clear" w:color="auto" w:fill="auto"/>
            <w:noWrap/>
            <w:vAlign w:val="center"/>
            <w:hideMark/>
          </w:tcPr>
          <w:p w14:paraId="7A434A7A" w14:textId="77777777" w:rsidR="007B386A" w:rsidRPr="00C862FF" w:rsidRDefault="007B386A" w:rsidP="006237DE">
            <w:pPr>
              <w:spacing w:after="0" w:line="240" w:lineRule="auto"/>
              <w:jc w:val="center"/>
              <w:rPr>
                <w:rFonts w:ascii="Calibri" w:eastAsia="Times New Roman" w:hAnsi="Calibri" w:cs="Calibri"/>
                <w:lang w:val="es-MX" w:eastAsia="es-MX"/>
              </w:rPr>
            </w:pPr>
            <w:r w:rsidRPr="00C862FF">
              <w:rPr>
                <w:rFonts w:ascii="Calibri" w:eastAsia="Times New Roman" w:hAnsi="Calibri" w:cs="Calibri"/>
                <w:lang w:val="es-MX" w:eastAsia="es-MX"/>
              </w:rPr>
              <w:t>520</w:t>
            </w:r>
          </w:p>
        </w:tc>
        <w:tc>
          <w:tcPr>
            <w:tcW w:w="660" w:type="dxa"/>
            <w:shd w:val="clear" w:color="auto" w:fill="auto"/>
            <w:noWrap/>
            <w:vAlign w:val="center"/>
            <w:hideMark/>
          </w:tcPr>
          <w:p w14:paraId="028D2655" w14:textId="77777777" w:rsidR="007B386A" w:rsidRPr="00C862FF" w:rsidRDefault="007B386A" w:rsidP="006237DE">
            <w:pPr>
              <w:spacing w:after="0" w:line="240" w:lineRule="auto"/>
              <w:jc w:val="center"/>
              <w:rPr>
                <w:rFonts w:ascii="Calibri" w:eastAsia="Times New Roman" w:hAnsi="Calibri" w:cs="Calibri"/>
                <w:lang w:val="es-MX" w:eastAsia="es-MX"/>
              </w:rPr>
            </w:pPr>
            <w:r w:rsidRPr="00C862FF">
              <w:rPr>
                <w:rFonts w:ascii="Calibri" w:eastAsia="Times New Roman" w:hAnsi="Calibri" w:cs="Calibri"/>
                <w:lang w:val="es-MX" w:eastAsia="es-MX"/>
              </w:rPr>
              <w:t>519</w:t>
            </w:r>
          </w:p>
        </w:tc>
        <w:tc>
          <w:tcPr>
            <w:tcW w:w="659" w:type="dxa"/>
            <w:shd w:val="clear" w:color="auto" w:fill="auto"/>
            <w:noWrap/>
            <w:vAlign w:val="center"/>
            <w:hideMark/>
          </w:tcPr>
          <w:p w14:paraId="7C042FAA" w14:textId="77777777" w:rsidR="007B386A" w:rsidRPr="00C862FF" w:rsidRDefault="007B386A" w:rsidP="006237DE">
            <w:pPr>
              <w:spacing w:after="0" w:line="240" w:lineRule="auto"/>
              <w:jc w:val="center"/>
              <w:rPr>
                <w:rFonts w:ascii="Calibri" w:eastAsia="Times New Roman" w:hAnsi="Calibri" w:cs="Calibri"/>
                <w:lang w:val="es-MX" w:eastAsia="es-MX"/>
              </w:rPr>
            </w:pPr>
            <w:r w:rsidRPr="00C862FF">
              <w:rPr>
                <w:rFonts w:ascii="Calibri" w:eastAsia="Times New Roman" w:hAnsi="Calibri" w:cs="Calibri"/>
                <w:lang w:val="es-MX" w:eastAsia="es-MX"/>
              </w:rPr>
              <w:t>519</w:t>
            </w:r>
          </w:p>
        </w:tc>
        <w:tc>
          <w:tcPr>
            <w:tcW w:w="660" w:type="dxa"/>
            <w:shd w:val="clear" w:color="auto" w:fill="auto"/>
            <w:noWrap/>
            <w:vAlign w:val="center"/>
            <w:hideMark/>
          </w:tcPr>
          <w:p w14:paraId="47A59415" w14:textId="77777777" w:rsidR="007B386A" w:rsidRPr="00C862FF" w:rsidRDefault="007B386A" w:rsidP="006237DE">
            <w:pPr>
              <w:spacing w:after="0" w:line="240" w:lineRule="auto"/>
              <w:jc w:val="center"/>
              <w:rPr>
                <w:rFonts w:ascii="Calibri" w:eastAsia="Times New Roman" w:hAnsi="Calibri" w:cs="Calibri"/>
                <w:lang w:val="es-MX" w:eastAsia="es-MX"/>
              </w:rPr>
            </w:pPr>
            <w:r w:rsidRPr="00C862FF">
              <w:rPr>
                <w:rFonts w:ascii="Calibri" w:eastAsia="Times New Roman" w:hAnsi="Calibri" w:cs="Calibri"/>
                <w:lang w:val="es-MX" w:eastAsia="es-MX"/>
              </w:rPr>
              <w:t>523</w:t>
            </w:r>
          </w:p>
        </w:tc>
        <w:tc>
          <w:tcPr>
            <w:tcW w:w="660" w:type="dxa"/>
            <w:shd w:val="clear" w:color="auto" w:fill="auto"/>
            <w:noWrap/>
            <w:vAlign w:val="center"/>
            <w:hideMark/>
          </w:tcPr>
          <w:p w14:paraId="362EB5D5"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526</w:t>
            </w:r>
          </w:p>
        </w:tc>
        <w:tc>
          <w:tcPr>
            <w:tcW w:w="660" w:type="dxa"/>
            <w:shd w:val="clear" w:color="auto" w:fill="auto"/>
            <w:noWrap/>
            <w:vAlign w:val="center"/>
            <w:hideMark/>
          </w:tcPr>
          <w:p w14:paraId="39027BCE"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560</w:t>
            </w:r>
          </w:p>
        </w:tc>
        <w:tc>
          <w:tcPr>
            <w:tcW w:w="660" w:type="dxa"/>
            <w:shd w:val="clear" w:color="auto" w:fill="auto"/>
            <w:noWrap/>
            <w:vAlign w:val="center"/>
            <w:hideMark/>
          </w:tcPr>
          <w:p w14:paraId="2F5455FE" w14:textId="77777777" w:rsidR="007B386A" w:rsidRPr="00C862FF" w:rsidRDefault="007B386A" w:rsidP="006237DE">
            <w:pPr>
              <w:spacing w:after="0" w:line="240" w:lineRule="auto"/>
              <w:jc w:val="center"/>
              <w:rPr>
                <w:rFonts w:ascii="Calibri" w:eastAsia="Times New Roman" w:hAnsi="Calibri" w:cs="Calibri"/>
                <w:color w:val="000000"/>
                <w:lang w:val="es-MX" w:eastAsia="es-MX"/>
              </w:rPr>
            </w:pPr>
            <w:r w:rsidRPr="00C862FF">
              <w:rPr>
                <w:rFonts w:ascii="Calibri" w:eastAsia="Times New Roman" w:hAnsi="Calibri" w:cs="Calibri"/>
                <w:color w:val="000000"/>
                <w:lang w:val="es-MX" w:eastAsia="es-MX"/>
              </w:rPr>
              <w:t>575</w:t>
            </w:r>
          </w:p>
        </w:tc>
      </w:tr>
    </w:tbl>
    <w:p w14:paraId="61CE0E82" w14:textId="77777777" w:rsidR="007B386A" w:rsidRDefault="007B386A" w:rsidP="007B386A">
      <w:pPr>
        <w:tabs>
          <w:tab w:val="left" w:pos="1997"/>
        </w:tabs>
        <w:jc w:val="both"/>
      </w:pPr>
      <w:r>
        <w:t xml:space="preserve">Fuente: elaboración propia en base a resultados de </w:t>
      </w:r>
      <w:r w:rsidRPr="00DE1747">
        <w:t>ONE 2007</w:t>
      </w:r>
      <w:r>
        <w:t>-</w:t>
      </w:r>
      <w:r w:rsidRPr="00DE1747">
        <w:t xml:space="preserve"> 2013</w:t>
      </w:r>
      <w:r>
        <w:t>,</w:t>
      </w:r>
      <w:r w:rsidRPr="00DE1747">
        <w:t xml:space="preserve"> SAEB 1999-2015, SIMCE 2001-2016, SA</w:t>
      </w:r>
      <w:r>
        <w:t>BER 2005-2016, ENLACE 2008-2014 y ECE 2007-2015.</w:t>
      </w:r>
    </w:p>
    <w:p w14:paraId="165B7E34" w14:textId="6E45B5E9" w:rsidR="00C6147C" w:rsidRPr="005F3DFA" w:rsidRDefault="009C38B2" w:rsidP="00487BAC">
      <w:r w:rsidRPr="001E1612">
        <w:rPr>
          <w:rFonts w:ascii="Calibri" w:eastAsia="Times New Roman" w:hAnsi="Calibri" w:cs="Calibri"/>
          <w:color w:val="000000"/>
          <w:vertAlign w:val="superscript"/>
          <w:lang w:eastAsia="es-MX"/>
        </w:rPr>
        <w:t xml:space="preserve">I, II, III, IV, V, VI, VII </w:t>
      </w:r>
      <w:r w:rsidRPr="009C38B2">
        <w:rPr>
          <w:rFonts w:ascii="Calibri" w:eastAsia="Times New Roman" w:hAnsi="Calibri" w:cs="Calibri"/>
          <w:color w:val="000000"/>
          <w:lang w:eastAsia="es-MX"/>
        </w:rPr>
        <w:t>A continuación se detallan las edades te</w:t>
      </w:r>
      <w:r>
        <w:rPr>
          <w:rFonts w:ascii="Calibri" w:eastAsia="Times New Roman" w:hAnsi="Calibri" w:cs="Calibri"/>
          <w:color w:val="000000"/>
          <w:lang w:eastAsia="es-MX"/>
        </w:rPr>
        <w:t>óricas que corresponden a cada año de estudio.</w:t>
      </w:r>
      <w:r>
        <w:t xml:space="preserve"> Es relevante considerar que, debido a los altos niveles de sobreedad existentes en estos países, también asisten a estos grados estudiantes de edades superiores. </w:t>
      </w:r>
      <w:r w:rsidR="005E3D27">
        <w:t>I</w:t>
      </w:r>
      <w:r>
        <w:t xml:space="preserve">: 7 años, II: </w:t>
      </w:r>
      <w:r w:rsidR="001E1612">
        <w:t>9</w:t>
      </w:r>
      <w:r>
        <w:t xml:space="preserve"> años, III: </w:t>
      </w:r>
      <w:r w:rsidR="001E1612">
        <w:t>10</w:t>
      </w:r>
      <w:r>
        <w:t xml:space="preserve"> años, </w:t>
      </w:r>
      <w:r w:rsidR="001E1612">
        <w:t>IV: 11 años, V: 14 años, VI: 16 años, VII: 17 años</w:t>
      </w:r>
      <w:r w:rsidR="00487BAC">
        <w:t>. En anexo se presenta una tabla comparativa de estructuras de niveles</w:t>
      </w:r>
      <w:r w:rsidR="009F2729">
        <w:t>.</w:t>
      </w:r>
      <w:r w:rsidR="005E3D27">
        <w:t xml:space="preserve"> </w:t>
      </w:r>
      <w:r w:rsidR="00E72E12" w:rsidRPr="005F3DFA">
        <w:t>Al analizar la</w:t>
      </w:r>
      <w:r w:rsidR="0045709B">
        <w:t>s</w:t>
      </w:r>
      <w:r w:rsidR="00E72E12" w:rsidRPr="005F3DFA">
        <w:t xml:space="preserve"> tabla</w:t>
      </w:r>
      <w:r w:rsidR="0045709B">
        <w:t>s</w:t>
      </w:r>
      <w:r w:rsidR="00E72E12" w:rsidRPr="005F3DFA">
        <w:t xml:space="preserve"> se pueden encontrar trayectorias muy variadas de los países. </w:t>
      </w:r>
      <w:r w:rsidR="006C1B49" w:rsidRPr="005F3DFA">
        <w:rPr>
          <w:b/>
        </w:rPr>
        <w:t>Perú</w:t>
      </w:r>
      <w:r w:rsidR="006C1B49" w:rsidRPr="005F3DFA">
        <w:t xml:space="preserve"> muestra mejoras en todas las prueb</w:t>
      </w:r>
      <w:r w:rsidR="00BB0D8A">
        <w:t>as analizadas</w:t>
      </w:r>
      <w:r w:rsidR="006C1B49" w:rsidRPr="005F3DFA">
        <w:t xml:space="preserve"> desde un punto de partida muy bajo hasta llegar más cerca del promedio regional</w:t>
      </w:r>
      <w:r w:rsidR="005F3DFA" w:rsidRPr="005F3DFA">
        <w:t>,</w:t>
      </w:r>
      <w:r w:rsidR="00C6147C" w:rsidRPr="005F3DFA">
        <w:t xml:space="preserve"> tanto en primaria como en secundaria. La prueba nacional </w:t>
      </w:r>
      <w:r w:rsidR="00C6147C" w:rsidRPr="005F3DFA">
        <w:rPr>
          <w:rFonts w:ascii="Calibri" w:eastAsia="Calibri" w:hAnsi="Calibri" w:cs="Times New Roman"/>
        </w:rPr>
        <w:t xml:space="preserve">de 2do grado </w:t>
      </w:r>
      <w:r w:rsidR="001E1612">
        <w:rPr>
          <w:rFonts w:ascii="Calibri" w:eastAsia="Calibri" w:hAnsi="Calibri" w:cs="Times New Roman"/>
        </w:rPr>
        <w:t xml:space="preserve">(Tabla 3) </w:t>
      </w:r>
      <w:r w:rsidR="00C6147C" w:rsidRPr="005F3DFA">
        <w:rPr>
          <w:rFonts w:ascii="Calibri" w:eastAsia="Calibri" w:hAnsi="Calibri" w:cs="Times New Roman"/>
        </w:rPr>
        <w:t xml:space="preserve">perfila una mejora muy marcada. Entre 2007 </w:t>
      </w:r>
      <w:r w:rsidR="00BB0D8A">
        <w:rPr>
          <w:rFonts w:ascii="Calibri" w:eastAsia="Calibri" w:hAnsi="Calibri" w:cs="Times New Roman"/>
        </w:rPr>
        <w:t>y 2015 en lectura</w:t>
      </w:r>
      <w:r w:rsidR="00C6147C" w:rsidRPr="005F3DFA">
        <w:rPr>
          <w:rFonts w:ascii="Calibri" w:eastAsia="Calibri" w:hAnsi="Calibri" w:cs="Times New Roman"/>
        </w:rPr>
        <w:t xml:space="preserve"> el puntaje se incrementa 92 pun</w:t>
      </w:r>
      <w:r w:rsidR="00F638A2">
        <w:rPr>
          <w:rFonts w:ascii="Calibri" w:eastAsia="Calibri" w:hAnsi="Calibri" w:cs="Times New Roman"/>
        </w:rPr>
        <w:t xml:space="preserve">tos, y en </w:t>
      </w:r>
      <w:r w:rsidR="00486A4D">
        <w:rPr>
          <w:rFonts w:ascii="Calibri" w:eastAsia="Calibri" w:hAnsi="Calibri" w:cs="Times New Roman"/>
        </w:rPr>
        <w:t>Matemática</w:t>
      </w:r>
      <w:r w:rsidR="00F638A2">
        <w:rPr>
          <w:rFonts w:ascii="Calibri" w:eastAsia="Calibri" w:hAnsi="Calibri" w:cs="Times New Roman"/>
        </w:rPr>
        <w:t xml:space="preserve"> 75 (escala con</w:t>
      </w:r>
      <w:r w:rsidR="00C6147C" w:rsidRPr="005F3DFA">
        <w:rPr>
          <w:rFonts w:ascii="Calibri" w:eastAsia="Calibri" w:hAnsi="Calibri" w:cs="Times New Roman"/>
        </w:rPr>
        <w:t xml:space="preserve"> </w:t>
      </w:r>
      <w:r w:rsidR="00BE3137">
        <w:rPr>
          <w:rFonts w:ascii="Calibri" w:eastAsia="Calibri" w:hAnsi="Calibri" w:cs="Times New Roman"/>
        </w:rPr>
        <w:t>desviación</w:t>
      </w:r>
      <w:r w:rsidR="00BE3137" w:rsidRPr="005F3DFA">
        <w:rPr>
          <w:rFonts w:ascii="Calibri" w:eastAsia="Calibri" w:hAnsi="Calibri" w:cs="Times New Roman"/>
        </w:rPr>
        <w:t xml:space="preserve"> </w:t>
      </w:r>
      <w:r w:rsidR="00C6147C" w:rsidRPr="005F3DFA">
        <w:rPr>
          <w:rFonts w:ascii="Calibri" w:eastAsia="Calibri" w:hAnsi="Calibri" w:cs="Times New Roman"/>
        </w:rPr>
        <w:t>estándar de 100 puntos</w:t>
      </w:r>
      <w:r w:rsidR="00F638A2">
        <w:rPr>
          <w:rFonts w:ascii="Calibri" w:eastAsia="Calibri" w:hAnsi="Calibri" w:cs="Times New Roman"/>
        </w:rPr>
        <w:t>)</w:t>
      </w:r>
      <w:r w:rsidR="006C1B49" w:rsidRPr="005F3DFA">
        <w:t xml:space="preserve">. </w:t>
      </w:r>
      <w:r w:rsidR="00C6147C" w:rsidRPr="005F3DFA">
        <w:t>Estos resultados también se reflejan en las evaluaciones SERCE/TERCE</w:t>
      </w:r>
      <w:r w:rsidR="001E1612">
        <w:t xml:space="preserve"> (Tabla 2)</w:t>
      </w:r>
      <w:r w:rsidR="00C6147C" w:rsidRPr="005F3DFA">
        <w:t>.</w:t>
      </w:r>
    </w:p>
    <w:p w14:paraId="32AE354B" w14:textId="47D42D0B" w:rsidR="006C1B49" w:rsidRPr="005F3DFA" w:rsidRDefault="00927447" w:rsidP="00927447">
      <w:pPr>
        <w:tabs>
          <w:tab w:val="left" w:pos="709"/>
        </w:tabs>
        <w:jc w:val="both"/>
      </w:pPr>
      <w:r>
        <w:lastRenderedPageBreak/>
        <w:tab/>
      </w:r>
      <w:r w:rsidR="00C6147C" w:rsidRPr="005F3DFA">
        <w:t>También se destaca la mejora en las evaluaciones de</w:t>
      </w:r>
      <w:r w:rsidR="00BB0D8A">
        <w:t xml:space="preserve"> PISA</w:t>
      </w:r>
      <w:r w:rsidR="001E1612">
        <w:t xml:space="preserve"> (Tabla 2)</w:t>
      </w:r>
      <w:r w:rsidR="00C6147C" w:rsidRPr="005F3DFA">
        <w:t>. Es el único país que muestra mejoras estadísticamente significativas con los resultados re</w:t>
      </w:r>
      <w:r w:rsidR="00BB0D8A">
        <w:t>-</w:t>
      </w:r>
      <w:r w:rsidR="00C6147C" w:rsidRPr="005F3DFA">
        <w:t>escalados</w:t>
      </w:r>
      <w:r w:rsidR="00F638A2">
        <w:t xml:space="preserve"> de 2015</w:t>
      </w:r>
      <w:r w:rsidR="00C6147C" w:rsidRPr="005F3DFA">
        <w:t xml:space="preserve">. Esta </w:t>
      </w:r>
      <w:r w:rsidR="00F638A2">
        <w:t>mejora se logró</w:t>
      </w:r>
      <w:r w:rsidR="006C1B49" w:rsidRPr="005F3DFA">
        <w:t xml:space="preserve"> en </w:t>
      </w:r>
      <w:r w:rsidR="00F638A2">
        <w:t>un contexto de</w:t>
      </w:r>
      <w:r w:rsidR="006C1B49" w:rsidRPr="005F3DFA">
        <w:t xml:space="preserve"> grandes avances en la inclusión y la trayecto</w:t>
      </w:r>
      <w:r w:rsidR="00F638A2">
        <w:t>ria de los alumnos</w:t>
      </w:r>
      <w:r w:rsidR="0074474F">
        <w:t xml:space="preserve"> (Rivas</w:t>
      </w:r>
      <w:r>
        <w:t>,</w:t>
      </w:r>
      <w:r w:rsidR="0074474F">
        <w:t xml:space="preserve"> 2015)</w:t>
      </w:r>
      <w:r w:rsidR="00F638A2">
        <w:t xml:space="preserve">. Con </w:t>
      </w:r>
      <w:r w:rsidR="006C1B49" w:rsidRPr="005F3DFA">
        <w:t>deudas en el terreno de las desigualdades, Perú muestra un camino de mejoramiento educativo notable en el siglo XXI.</w:t>
      </w:r>
    </w:p>
    <w:p w14:paraId="0151C6F5" w14:textId="03609573" w:rsidR="0045709B" w:rsidRDefault="00927447" w:rsidP="00927447">
      <w:pPr>
        <w:tabs>
          <w:tab w:val="left" w:pos="709"/>
        </w:tabs>
        <w:jc w:val="both"/>
      </w:pPr>
      <w:r>
        <w:tab/>
      </w:r>
      <w:r w:rsidR="006C1B49" w:rsidRPr="005F3DFA">
        <w:t xml:space="preserve">Partiendo de una situación muy distinta, </w:t>
      </w:r>
      <w:r w:rsidR="006C1B49" w:rsidRPr="005F3DFA">
        <w:rPr>
          <w:b/>
        </w:rPr>
        <w:t>Chile</w:t>
      </w:r>
      <w:r w:rsidR="006C1B49" w:rsidRPr="005F3DFA">
        <w:t xml:space="preserve"> parece haber mejorado en </w:t>
      </w:r>
      <w:r w:rsidR="0045709B">
        <w:t xml:space="preserve">el nivel primario, manteniéndose </w:t>
      </w:r>
      <w:r w:rsidR="006C1B49" w:rsidRPr="005F3DFA">
        <w:t xml:space="preserve">por encima de los demás países analizados. </w:t>
      </w:r>
      <w:r w:rsidR="004410CE" w:rsidRPr="005F3DFA">
        <w:t>L</w:t>
      </w:r>
      <w:r w:rsidR="006C1B49" w:rsidRPr="005F3DFA">
        <w:t xml:space="preserve">as mejoras en la prueba de la UNESCO se destacan en </w:t>
      </w:r>
      <w:r w:rsidR="00486A4D">
        <w:t>Matemática</w:t>
      </w:r>
      <w:r w:rsidR="00F638A2">
        <w:t>, mientras en SIMCE fueron mucho más leves</w:t>
      </w:r>
      <w:r w:rsidR="006C1B49" w:rsidRPr="005F3DFA">
        <w:t xml:space="preserve">. </w:t>
      </w:r>
    </w:p>
    <w:p w14:paraId="7942B43D" w14:textId="2B51FC2D" w:rsidR="006C1B49" w:rsidRPr="005F3DFA" w:rsidRDefault="00927447" w:rsidP="00927447">
      <w:pPr>
        <w:tabs>
          <w:tab w:val="left" w:pos="709"/>
        </w:tabs>
        <w:jc w:val="both"/>
      </w:pPr>
      <w:r>
        <w:tab/>
      </w:r>
      <w:r w:rsidR="006C1B49" w:rsidRPr="005F3DFA">
        <w:t>En el nivel secundario</w:t>
      </w:r>
      <w:r w:rsidR="004410CE" w:rsidRPr="005F3DFA">
        <w:t xml:space="preserve">, los resultados de PISA </w:t>
      </w:r>
      <w:r w:rsidR="001E1612">
        <w:t xml:space="preserve">(Tabla 2) </w:t>
      </w:r>
      <w:r w:rsidR="004410CE" w:rsidRPr="005F3DFA">
        <w:t>muestran cierto estancamiento en ambas áreas, con una mejora no significativa. Cabe señalar que</w:t>
      </w:r>
      <w:r w:rsidR="006C1B49" w:rsidRPr="005F3DFA">
        <w:t xml:space="preserve"> las mejoras en PISA se dieron sobre todo en el ciclo 2000 a 2006</w:t>
      </w:r>
      <w:r w:rsidR="00BB0D8A">
        <w:t>, que ya no puede ser comparado con las pruebas re-escaladas de 2015</w:t>
      </w:r>
      <w:r w:rsidR="0045709B">
        <w:t>, dejando abierto el interrogante si se trató de una mejora en los aprendizajes o en la tasa de respuesta de los alumnos</w:t>
      </w:r>
      <w:r w:rsidR="004410CE" w:rsidRPr="005F3DFA">
        <w:t>. L</w:t>
      </w:r>
      <w:r w:rsidR="006C1B49" w:rsidRPr="005F3DFA">
        <w:t xml:space="preserve">os resultados en las pruebas nacionales </w:t>
      </w:r>
      <w:r w:rsidR="0045709B">
        <w:t xml:space="preserve">en el nivel medio </w:t>
      </w:r>
      <w:r w:rsidR="001E1612">
        <w:t xml:space="preserve">(Tabla 3) </w:t>
      </w:r>
      <w:r w:rsidR="006C1B49" w:rsidRPr="005F3DFA">
        <w:t xml:space="preserve">son en cierto sentido contradictorios, con mejoras en </w:t>
      </w:r>
      <w:r w:rsidR="00486A4D">
        <w:t>Matemática</w:t>
      </w:r>
      <w:r w:rsidR="006C1B49" w:rsidRPr="005F3DFA">
        <w:t xml:space="preserve"> y </w:t>
      </w:r>
      <w:r w:rsidR="004410CE" w:rsidRPr="005F3DFA">
        <w:t xml:space="preserve">cierto </w:t>
      </w:r>
      <w:r w:rsidR="006C1B49" w:rsidRPr="005F3DFA">
        <w:t>retroceso en lectura</w:t>
      </w:r>
      <w:r w:rsidR="004410CE" w:rsidRPr="005F3DFA">
        <w:t xml:space="preserve"> en </w:t>
      </w:r>
      <w:r w:rsidR="00F638A2">
        <w:t xml:space="preserve">los </w:t>
      </w:r>
      <w:r w:rsidR="004410CE" w:rsidRPr="005F3DFA">
        <w:t>años recientes</w:t>
      </w:r>
      <w:r w:rsidR="006C1B49" w:rsidRPr="005F3DFA">
        <w:t>.</w:t>
      </w:r>
      <w:r w:rsidR="004410CE" w:rsidRPr="005F3DFA">
        <w:t xml:space="preserve"> </w:t>
      </w:r>
      <w:r w:rsidR="0045709B">
        <w:t>De todas formas, Chile se mantiene por encima del resto de los países en los resultados de PISA.</w:t>
      </w:r>
    </w:p>
    <w:p w14:paraId="1434BFFA" w14:textId="531C5AE0" w:rsidR="004410CE" w:rsidRPr="005F3DFA" w:rsidRDefault="00927447" w:rsidP="00927447">
      <w:pPr>
        <w:tabs>
          <w:tab w:val="left" w:pos="709"/>
        </w:tabs>
        <w:jc w:val="both"/>
      </w:pPr>
      <w:r>
        <w:rPr>
          <w:b/>
        </w:rPr>
        <w:tab/>
      </w:r>
      <w:r w:rsidR="006C1B49" w:rsidRPr="005F3DFA">
        <w:rPr>
          <w:b/>
        </w:rPr>
        <w:t>Brasil</w:t>
      </w:r>
      <w:r w:rsidR="006C1B49" w:rsidRPr="005F3DFA">
        <w:t xml:space="preserve"> </w:t>
      </w:r>
      <w:r w:rsidR="00BB0D8A">
        <w:t xml:space="preserve">muestra </w:t>
      </w:r>
      <w:r w:rsidR="006C1B49" w:rsidRPr="005F3DFA">
        <w:t xml:space="preserve">una marcada diferencia en sus avances en la calidad educativa en el nivel primario y medio. En </w:t>
      </w:r>
      <w:r w:rsidR="0045709B">
        <w:t>el nivel primario el país mejoró</w:t>
      </w:r>
      <w:r w:rsidR="006C1B49" w:rsidRPr="005F3DFA">
        <w:t xml:space="preserve"> en las pruebas internacionales de la UNESCO en </w:t>
      </w:r>
      <w:r w:rsidR="00486A4D">
        <w:t>Matemática</w:t>
      </w:r>
      <w:r w:rsidR="001E1612">
        <w:t xml:space="preserve"> (Tabla 2)</w:t>
      </w:r>
      <w:r w:rsidR="004410CE" w:rsidRPr="005F3DFA">
        <w:t>, con un incremento de 20 puntos, pero no así en lectura</w:t>
      </w:r>
      <w:r w:rsidR="006C1B49" w:rsidRPr="005F3DFA">
        <w:t xml:space="preserve">. Las pruebas nacionales </w:t>
      </w:r>
      <w:r w:rsidR="001E1612">
        <w:t xml:space="preserve">(Tabla 3) </w:t>
      </w:r>
      <w:r w:rsidR="006C1B49" w:rsidRPr="005F3DFA">
        <w:t xml:space="preserve">también indican un ciclo de mejora desde </w:t>
      </w:r>
      <w:r w:rsidR="004410CE" w:rsidRPr="005F3DFA">
        <w:t xml:space="preserve">2007 </w:t>
      </w:r>
      <w:r w:rsidR="006C1B49" w:rsidRPr="005F3DFA">
        <w:t>hasta 2015</w:t>
      </w:r>
      <w:r w:rsidR="004410CE" w:rsidRPr="005F3DFA">
        <w:t xml:space="preserve">, con incrementos </w:t>
      </w:r>
      <w:r w:rsidR="00B82618">
        <w:t xml:space="preserve">importantes en ambas áreas (20 en lectura y 26 en </w:t>
      </w:r>
      <w:r w:rsidR="00486A4D">
        <w:t>Matemática</w:t>
      </w:r>
      <w:r w:rsidR="004410CE" w:rsidRPr="005F3DFA">
        <w:t>, en una escala con un</w:t>
      </w:r>
      <w:r w:rsidR="00BE3137">
        <w:t>a</w:t>
      </w:r>
      <w:r w:rsidR="004410CE" w:rsidRPr="005F3DFA">
        <w:t xml:space="preserve"> </w:t>
      </w:r>
      <w:r w:rsidR="00BE3137">
        <w:rPr>
          <w:rFonts w:ascii="Calibri" w:eastAsia="Calibri" w:hAnsi="Calibri" w:cs="Times New Roman"/>
        </w:rPr>
        <w:t>desviación</w:t>
      </w:r>
      <w:r w:rsidR="00BE3137" w:rsidRPr="005F3DFA">
        <w:rPr>
          <w:rFonts w:ascii="Calibri" w:eastAsia="Calibri" w:hAnsi="Calibri" w:cs="Times New Roman"/>
        </w:rPr>
        <w:t xml:space="preserve"> </w:t>
      </w:r>
      <w:r w:rsidR="004410CE" w:rsidRPr="005F3DFA">
        <w:t>estándar de 50 puntos</w:t>
      </w:r>
      <w:r w:rsidR="00B82618">
        <w:t>)</w:t>
      </w:r>
      <w:r w:rsidR="006C1B49" w:rsidRPr="005F3DFA">
        <w:t xml:space="preserve">. </w:t>
      </w:r>
    </w:p>
    <w:p w14:paraId="0F0980F3" w14:textId="31F4EB18" w:rsidR="006C1B49" w:rsidRPr="005F3DFA" w:rsidRDefault="00927447" w:rsidP="00927447">
      <w:pPr>
        <w:tabs>
          <w:tab w:val="left" w:pos="709"/>
        </w:tabs>
        <w:jc w:val="both"/>
      </w:pPr>
      <w:r>
        <w:tab/>
      </w:r>
      <w:r w:rsidR="00B604C2">
        <w:t>En el nivel medio</w:t>
      </w:r>
      <w:r w:rsidR="00486A4D">
        <w:t>,</w:t>
      </w:r>
      <w:r w:rsidR="00B604C2">
        <w:t xml:space="preserve"> la prueba SAEB </w:t>
      </w:r>
      <w:r w:rsidR="001E1612">
        <w:t xml:space="preserve">(Tabla 3) </w:t>
      </w:r>
      <w:r w:rsidR="00B604C2">
        <w:t>muestra mejoras leves en el noveno año, no así en el último año de secundaria. Mientras tanto, l</w:t>
      </w:r>
      <w:r w:rsidR="006C1B49" w:rsidRPr="005F3DFA">
        <w:t>a prueba P</w:t>
      </w:r>
      <w:r w:rsidR="00C20B7E">
        <w:t xml:space="preserve">ISA </w:t>
      </w:r>
      <w:r w:rsidR="001E1612">
        <w:t xml:space="preserve">(Tabla 2) </w:t>
      </w:r>
      <w:r w:rsidR="00C20B7E">
        <w:t xml:space="preserve">no muestra </w:t>
      </w:r>
      <w:r w:rsidR="006C1B49" w:rsidRPr="005F3DFA">
        <w:t>avances</w:t>
      </w:r>
      <w:r w:rsidR="00C20B7E">
        <w:t xml:space="preserve"> significativos</w:t>
      </w:r>
      <w:r w:rsidR="00B604C2">
        <w:t>: l</w:t>
      </w:r>
      <w:r w:rsidR="004410CE" w:rsidRPr="005F3DFA">
        <w:t xml:space="preserve">a mejora de Brasil se identifica más </w:t>
      </w:r>
      <w:r w:rsidR="006C1B49" w:rsidRPr="005F3DFA">
        <w:t>en la primera etapa, entre 2000 y 2006</w:t>
      </w:r>
      <w:r w:rsidR="00BB0D8A">
        <w:t xml:space="preserve"> (período que ya no se puede comparar</w:t>
      </w:r>
      <w:r w:rsidR="004410CE" w:rsidRPr="005F3DFA">
        <w:t xml:space="preserve"> con </w:t>
      </w:r>
      <w:r w:rsidR="00BB0D8A">
        <w:t xml:space="preserve">los </w:t>
      </w:r>
      <w:r w:rsidR="004410CE" w:rsidRPr="005F3DFA">
        <w:t>resultados re</w:t>
      </w:r>
      <w:r w:rsidR="00BB0D8A">
        <w:t>-</w:t>
      </w:r>
      <w:r w:rsidR="004410CE" w:rsidRPr="005F3DFA">
        <w:t>escalados)</w:t>
      </w:r>
      <w:r w:rsidR="006C1B49" w:rsidRPr="005F3DFA">
        <w:t xml:space="preserve">. Cabe destacar que estos resultados se enmarcan en un ciclo de gran expansión del acceso a la educación secundaria y de reducción de </w:t>
      </w:r>
      <w:r w:rsidR="00C20B7E">
        <w:t>la repetición</w:t>
      </w:r>
      <w:r w:rsidR="0074474F">
        <w:t xml:space="preserve"> (Rivas</w:t>
      </w:r>
      <w:r>
        <w:t>,</w:t>
      </w:r>
      <w:r w:rsidR="0074474F">
        <w:t xml:space="preserve"> 2015)</w:t>
      </w:r>
      <w:r w:rsidR="006C1B49" w:rsidRPr="005F3DFA">
        <w:t>.</w:t>
      </w:r>
    </w:p>
    <w:p w14:paraId="5970D656" w14:textId="244AB89A" w:rsidR="00B604C2" w:rsidRDefault="00927447" w:rsidP="00927447">
      <w:pPr>
        <w:tabs>
          <w:tab w:val="left" w:pos="709"/>
        </w:tabs>
        <w:jc w:val="both"/>
      </w:pPr>
      <w:r>
        <w:rPr>
          <w:b/>
        </w:rPr>
        <w:tab/>
      </w:r>
      <w:r w:rsidR="006C1B49" w:rsidRPr="005F3DFA">
        <w:rPr>
          <w:b/>
        </w:rPr>
        <w:t>México</w:t>
      </w:r>
      <w:r w:rsidR="006C1B49" w:rsidRPr="005F3DFA">
        <w:t xml:space="preserve"> también tiende a un</w:t>
      </w:r>
      <w:r w:rsidR="004410CE" w:rsidRPr="005F3DFA">
        <w:t xml:space="preserve"> comportamiento divergente en el nivel secundario y convergente en primaria</w:t>
      </w:r>
      <w:r w:rsidR="006C1B49" w:rsidRPr="005F3DFA">
        <w:t xml:space="preserve">. Lo más notable es la mejora en </w:t>
      </w:r>
      <w:r w:rsidR="00486A4D">
        <w:t>Matemática</w:t>
      </w:r>
      <w:r w:rsidR="006C1B49" w:rsidRPr="005F3DFA">
        <w:t xml:space="preserve"> en el nivel primario, tanto en las pruebas internacionales </w:t>
      </w:r>
      <w:r w:rsidR="00A338A1" w:rsidRPr="005F3DFA">
        <w:t xml:space="preserve">(incremento de 24 puntos) </w:t>
      </w:r>
      <w:r w:rsidR="001E1612">
        <w:t xml:space="preserve">(Tabla 2) </w:t>
      </w:r>
      <w:r w:rsidR="006C1B49" w:rsidRPr="005F3DFA">
        <w:t>como, especialmente, en las nacionales</w:t>
      </w:r>
      <w:r w:rsidR="001E1612">
        <w:t xml:space="preserve"> (Tabla 3)</w:t>
      </w:r>
      <w:r w:rsidR="00A338A1" w:rsidRPr="005F3DFA">
        <w:t xml:space="preserve">, donde crece 88 puntos en una escala </w:t>
      </w:r>
      <w:r w:rsidR="00BE3137" w:rsidRPr="005F3DFA">
        <w:t>cuy</w:t>
      </w:r>
      <w:r w:rsidR="00BE3137">
        <w:t>a</w:t>
      </w:r>
      <w:r w:rsidR="00BE3137" w:rsidRPr="005F3DFA">
        <w:t xml:space="preserve"> </w:t>
      </w:r>
      <w:r w:rsidR="00BE3137">
        <w:rPr>
          <w:rFonts w:ascii="Calibri" w:eastAsia="Calibri" w:hAnsi="Calibri" w:cs="Times New Roman"/>
        </w:rPr>
        <w:t>desviación</w:t>
      </w:r>
      <w:r w:rsidR="00BE3137" w:rsidRPr="005F3DFA">
        <w:rPr>
          <w:rFonts w:ascii="Calibri" w:eastAsia="Calibri" w:hAnsi="Calibri" w:cs="Times New Roman"/>
        </w:rPr>
        <w:t xml:space="preserve"> </w:t>
      </w:r>
      <w:r w:rsidR="00A338A1" w:rsidRPr="005F3DFA">
        <w:t>estándar es de 100</w:t>
      </w:r>
      <w:r w:rsidR="006C1B49" w:rsidRPr="005F3DFA">
        <w:t xml:space="preserve">. </w:t>
      </w:r>
      <w:r w:rsidR="00A338A1" w:rsidRPr="005F3DFA">
        <w:t>Lengua muestra, para la prueba nacional, una mejora significativa pero más leve, mientras que en las prue</w:t>
      </w:r>
      <w:r w:rsidR="00C20B7E">
        <w:t xml:space="preserve">bas UNESCO se mantiene estable. </w:t>
      </w:r>
    </w:p>
    <w:p w14:paraId="7AA49642" w14:textId="6198A0C5" w:rsidR="006C1B49" w:rsidRPr="005F3DFA" w:rsidRDefault="00927447" w:rsidP="00927447">
      <w:pPr>
        <w:jc w:val="both"/>
      </w:pPr>
      <w:r>
        <w:tab/>
      </w:r>
      <w:r w:rsidR="006C1B49" w:rsidRPr="005F3DFA">
        <w:t>En PISA</w:t>
      </w:r>
      <w:r w:rsidR="00A338A1" w:rsidRPr="005F3DFA">
        <w:t xml:space="preserve"> el país</w:t>
      </w:r>
      <w:r w:rsidR="006C1B49" w:rsidRPr="005F3DFA">
        <w:t xml:space="preserve"> oscila con vaivenes </w:t>
      </w:r>
      <w:r w:rsidR="00A338A1" w:rsidRPr="005F3DFA">
        <w:t>que tienden a u</w:t>
      </w:r>
      <w:r w:rsidR="005D78F0">
        <w:t>n escenario de estabilidad</w:t>
      </w:r>
      <w:r w:rsidR="001E1612">
        <w:t xml:space="preserve"> (Tabla 2)</w:t>
      </w:r>
      <w:r w:rsidR="006C1B49" w:rsidRPr="005F3DFA">
        <w:t xml:space="preserve">. En las pruebas nacionales </w:t>
      </w:r>
      <w:r w:rsidR="001E1612">
        <w:t xml:space="preserve">(Tabla 3) </w:t>
      </w:r>
      <w:r w:rsidR="006C1B49" w:rsidRPr="005F3DFA">
        <w:t xml:space="preserve">se observan </w:t>
      </w:r>
      <w:r w:rsidR="00A338A1" w:rsidRPr="005F3DFA">
        <w:t>compo</w:t>
      </w:r>
      <w:r w:rsidR="005D78F0">
        <w:t>rtamientos opuestos:</w:t>
      </w:r>
      <w:r w:rsidR="00A338A1" w:rsidRPr="005F3DFA">
        <w:t xml:space="preserve"> </w:t>
      </w:r>
      <w:r w:rsidR="006C1B49" w:rsidRPr="005F3DFA">
        <w:t xml:space="preserve">mejoras </w:t>
      </w:r>
      <w:r w:rsidR="00A338A1" w:rsidRPr="005F3DFA">
        <w:t xml:space="preserve">muy marcadas en </w:t>
      </w:r>
      <w:r w:rsidR="00486A4D">
        <w:t>Matemática</w:t>
      </w:r>
      <w:r w:rsidR="00A338A1" w:rsidRPr="005F3DFA">
        <w:t>, mientras que en lectura hay una leve tendencia a la caída</w:t>
      </w:r>
      <w:r w:rsidR="002A6FFA">
        <w:t>. También México logró</w:t>
      </w:r>
      <w:r w:rsidR="006C1B49" w:rsidRPr="005F3DFA">
        <w:t xml:space="preserve"> un incremento de las tasas de acceso al nivel medio, desde </w:t>
      </w:r>
      <w:r w:rsidR="005D78F0">
        <w:t>un punto</w:t>
      </w:r>
      <w:r w:rsidR="002A6FFA">
        <w:t xml:space="preserve"> de partida muy bajo</w:t>
      </w:r>
      <w:r w:rsidR="006C1B49" w:rsidRPr="005F3DFA">
        <w:t>.</w:t>
      </w:r>
    </w:p>
    <w:p w14:paraId="172553B8" w14:textId="72E3E6B3" w:rsidR="006C1B49" w:rsidRPr="005F3DFA" w:rsidRDefault="00927447" w:rsidP="00927447">
      <w:pPr>
        <w:jc w:val="both"/>
      </w:pPr>
      <w:r>
        <w:tab/>
      </w:r>
      <w:r w:rsidR="006C1B49" w:rsidRPr="005F3DFA">
        <w:t xml:space="preserve">En </w:t>
      </w:r>
      <w:r w:rsidR="006C1B49" w:rsidRPr="005F3DFA">
        <w:rPr>
          <w:b/>
        </w:rPr>
        <w:t>Colombia</w:t>
      </w:r>
      <w:r w:rsidR="006C1B49" w:rsidRPr="005F3DFA">
        <w:t xml:space="preserve">, los resultados muestran estabilidad </w:t>
      </w:r>
      <w:r w:rsidR="005D78F0">
        <w:t>en ambos niveles educativos</w:t>
      </w:r>
      <w:r w:rsidR="00A338A1" w:rsidRPr="005F3DFA">
        <w:t xml:space="preserve">. Las pruebas de UNESCO de primaria </w:t>
      </w:r>
      <w:r w:rsidR="001E1612">
        <w:t xml:space="preserve">(Tabla 2) </w:t>
      </w:r>
      <w:r w:rsidR="00A338A1" w:rsidRPr="005F3DFA">
        <w:t xml:space="preserve">presentan una leve tendencia a la mejora, que es estadísticamente significativa sólo en </w:t>
      </w:r>
      <w:r w:rsidR="00486A4D">
        <w:t>Matemática</w:t>
      </w:r>
      <w:r w:rsidR="00A338A1" w:rsidRPr="005F3DFA">
        <w:t>. Las pruebas nacionales</w:t>
      </w:r>
      <w:r w:rsidR="001E1612">
        <w:t xml:space="preserve"> (Tabla 3)</w:t>
      </w:r>
      <w:r w:rsidR="00A338A1" w:rsidRPr="005F3DFA">
        <w:t xml:space="preserve">, por el contrario, se muestran </w:t>
      </w:r>
      <w:r w:rsidR="00C20B7E">
        <w:t xml:space="preserve">invariantes en la comparación. </w:t>
      </w:r>
      <w:r w:rsidR="00A338A1" w:rsidRPr="005F3DFA">
        <w:t xml:space="preserve">En </w:t>
      </w:r>
      <w:r w:rsidR="006C1B49" w:rsidRPr="005F3DFA">
        <w:t xml:space="preserve">las pruebas internacionales </w:t>
      </w:r>
      <w:r w:rsidR="001E1612">
        <w:t xml:space="preserve">(Tabla 2) </w:t>
      </w:r>
      <w:r w:rsidR="006C1B49" w:rsidRPr="005F3DFA">
        <w:t>de PISA (luego de ser re</w:t>
      </w:r>
      <w:r w:rsidR="005D78F0">
        <w:t>-</w:t>
      </w:r>
      <w:r w:rsidR="006C1B49" w:rsidRPr="005F3DFA">
        <w:t xml:space="preserve">escaladas para ser comparables en el tiempo) </w:t>
      </w:r>
      <w:r w:rsidR="00A338A1" w:rsidRPr="005F3DFA">
        <w:t xml:space="preserve">y en las pruebas </w:t>
      </w:r>
      <w:r w:rsidR="005D78F0">
        <w:lastRenderedPageBreak/>
        <w:t>nacionales SABER</w:t>
      </w:r>
      <w:r w:rsidR="001E1612">
        <w:t xml:space="preserve"> (Tabla 2)</w:t>
      </w:r>
      <w:r w:rsidR="005D78F0">
        <w:t>,</w:t>
      </w:r>
      <w:r w:rsidR="006C1B49" w:rsidRPr="005F3DFA">
        <w:t xml:space="preserve"> </w:t>
      </w:r>
      <w:r w:rsidR="00A338A1" w:rsidRPr="005F3DFA">
        <w:t>prácticamente no hay varia</w:t>
      </w:r>
      <w:r w:rsidR="005D78F0">
        <w:t>ciones</w:t>
      </w:r>
      <w:r w:rsidR="00A338A1" w:rsidRPr="005F3DFA">
        <w:t xml:space="preserve">. La serie de tiempo completa muestra </w:t>
      </w:r>
      <w:r w:rsidR="006C1B49" w:rsidRPr="005F3DFA">
        <w:t xml:space="preserve">vaivenes difíciles de explicar. </w:t>
      </w:r>
      <w:r w:rsidR="002A6FFA">
        <w:t>Lo que sí se destaca es</w:t>
      </w:r>
      <w:r w:rsidR="006C1B49" w:rsidRPr="005F3DFA">
        <w:t xml:space="preserve"> un gran avance del país en el aumento de las tasas de escolaridad y reducción de la sobreedad en el nivel secundario</w:t>
      </w:r>
      <w:r w:rsidR="0074474F">
        <w:t xml:space="preserve"> (Rivas</w:t>
      </w:r>
      <w:r w:rsidR="00ED0A53">
        <w:t>,</w:t>
      </w:r>
      <w:r w:rsidR="0074474F">
        <w:t xml:space="preserve"> 2015)</w:t>
      </w:r>
      <w:r w:rsidR="006C1B49" w:rsidRPr="005F3DFA">
        <w:t xml:space="preserve">. </w:t>
      </w:r>
    </w:p>
    <w:p w14:paraId="0E09897F" w14:textId="2C165C5C" w:rsidR="006C1B49" w:rsidRPr="005F3DFA" w:rsidRDefault="00ED0A53" w:rsidP="00ED0A53">
      <w:pPr>
        <w:tabs>
          <w:tab w:val="left" w:pos="709"/>
        </w:tabs>
        <w:jc w:val="both"/>
      </w:pPr>
      <w:r>
        <w:tab/>
      </w:r>
      <w:r w:rsidR="006C1B49" w:rsidRPr="005F3DFA">
        <w:t xml:space="preserve">En </w:t>
      </w:r>
      <w:r w:rsidR="006C1B49" w:rsidRPr="005F3DFA">
        <w:rPr>
          <w:b/>
        </w:rPr>
        <w:t>Uruguay</w:t>
      </w:r>
      <w:r w:rsidR="006C1B49" w:rsidRPr="005F3DFA">
        <w:t xml:space="preserve"> se observa un ciclo de estabilidad en los resultados</w:t>
      </w:r>
      <w:r w:rsidR="00A338A1" w:rsidRPr="005F3DFA">
        <w:t xml:space="preserve"> en el nivel primario</w:t>
      </w:r>
      <w:r w:rsidR="002A6FFA">
        <w:t xml:space="preserve"> en las pruebas internacionales</w:t>
      </w:r>
      <w:r w:rsidR="00A338A1" w:rsidRPr="005F3DFA">
        <w:t xml:space="preserve"> y </w:t>
      </w:r>
      <w:r w:rsidR="002A6FFA">
        <w:t>una</w:t>
      </w:r>
      <w:r w:rsidR="00A338A1" w:rsidRPr="005F3DFA">
        <w:t xml:space="preserve"> tendencia divergente en secundaria</w:t>
      </w:r>
      <w:r w:rsidR="006C1B49" w:rsidRPr="005F3DFA">
        <w:t xml:space="preserve">. </w:t>
      </w:r>
      <w:r w:rsidR="00A338A1" w:rsidRPr="005F3DFA">
        <w:t xml:space="preserve">No existen pruebas nacionales para contrastar estos avances. Los resultados de las pruebas UNESCO </w:t>
      </w:r>
      <w:r w:rsidR="001E1612">
        <w:t xml:space="preserve">(Tabla 2) </w:t>
      </w:r>
      <w:r w:rsidR="00A338A1" w:rsidRPr="005F3DFA">
        <w:t xml:space="preserve">posicionan al país como el único que no ha alcanzado mejoras en ninguna de </w:t>
      </w:r>
      <w:r w:rsidR="005D78F0">
        <w:t>las dos áreas analizadas.</w:t>
      </w:r>
      <w:r w:rsidR="00C20B7E">
        <w:t xml:space="preserve"> </w:t>
      </w:r>
      <w:r w:rsidR="00A338A1" w:rsidRPr="005F3DFA">
        <w:t xml:space="preserve">En PISA, Uruguay muestra dos tendencias opuestas: mejora leve en lectura, de 10 puntos de diferencia, que no alcanza significancia estadística, y caída en </w:t>
      </w:r>
      <w:r w:rsidR="00486A4D">
        <w:t>Matemática</w:t>
      </w:r>
      <w:r w:rsidR="00A338A1" w:rsidRPr="005F3DFA">
        <w:t xml:space="preserve"> de cerca de</w:t>
      </w:r>
      <w:r w:rsidR="005D78F0">
        <w:t xml:space="preserve"> 20 puntos.</w:t>
      </w:r>
    </w:p>
    <w:p w14:paraId="1EEC83D6" w14:textId="366CD23A" w:rsidR="006C1B49" w:rsidRDefault="00ED0A53" w:rsidP="00ED0A53">
      <w:pPr>
        <w:tabs>
          <w:tab w:val="left" w:pos="709"/>
        </w:tabs>
        <w:jc w:val="both"/>
      </w:pPr>
      <w:r>
        <w:tab/>
      </w:r>
      <w:r w:rsidR="006C1B49" w:rsidRPr="005F3DFA">
        <w:t xml:space="preserve">En </w:t>
      </w:r>
      <w:r w:rsidR="006C1B49" w:rsidRPr="005F3DFA">
        <w:rPr>
          <w:b/>
        </w:rPr>
        <w:t>Argentina</w:t>
      </w:r>
      <w:r w:rsidR="006C1B49" w:rsidRPr="005F3DFA">
        <w:t xml:space="preserve"> hay </w:t>
      </w:r>
      <w:r w:rsidR="007F14C8" w:rsidRPr="005F3DFA">
        <w:t xml:space="preserve">incrementos </w:t>
      </w:r>
      <w:r w:rsidR="006C1B49" w:rsidRPr="005F3DFA">
        <w:t>en el nivel primario tanto en las pruebas nacionales como internacionales</w:t>
      </w:r>
      <w:r w:rsidR="007F14C8" w:rsidRPr="005F3DFA">
        <w:t xml:space="preserve">, aunque en el primer caso la mejora se observa más intensamente en lectura, mientras que en el segundo sólo en </w:t>
      </w:r>
      <w:r w:rsidR="00486A4D">
        <w:t>Matemática</w:t>
      </w:r>
      <w:r w:rsidR="006C1B49" w:rsidRPr="005F3DFA">
        <w:t xml:space="preserve">. </w:t>
      </w:r>
      <w:r w:rsidR="007F14C8" w:rsidRPr="005F3DFA">
        <w:t xml:space="preserve">En las pruebas nacionales </w:t>
      </w:r>
      <w:r w:rsidR="001E1612">
        <w:t xml:space="preserve">(Tabla 3) </w:t>
      </w:r>
      <w:r w:rsidR="007F14C8" w:rsidRPr="005F3DFA">
        <w:t xml:space="preserve">no hay posibilidad de establecer la significancia estadística de estas diferencias, y en las pruebas SERCE-TERCE </w:t>
      </w:r>
      <w:r w:rsidR="001E1612">
        <w:t xml:space="preserve">(Tabla 2) </w:t>
      </w:r>
      <w:r w:rsidR="007F14C8" w:rsidRPr="005F3DFA">
        <w:t xml:space="preserve">la mejora es significativa sólo en </w:t>
      </w:r>
      <w:r w:rsidR="00486A4D">
        <w:t>Matemática</w:t>
      </w:r>
      <w:r w:rsidR="007F14C8" w:rsidRPr="005F3DFA">
        <w:t xml:space="preserve"> (17 puntos). En secundaria los escen</w:t>
      </w:r>
      <w:r w:rsidR="002A6FFA">
        <w:t>arios también son divergentes: e</w:t>
      </w:r>
      <w:r w:rsidR="007F14C8" w:rsidRPr="005F3DFA">
        <w:t xml:space="preserve">n </w:t>
      </w:r>
      <w:r w:rsidR="006C1B49" w:rsidRPr="005F3DFA">
        <w:t xml:space="preserve">las pruebas nacionales </w:t>
      </w:r>
      <w:r w:rsidR="001E1612">
        <w:t xml:space="preserve">(Tabla 3) </w:t>
      </w:r>
      <w:r w:rsidR="006C1B49" w:rsidRPr="005F3DFA">
        <w:t>se constatan mejoras</w:t>
      </w:r>
      <w:r w:rsidR="007F14C8" w:rsidRPr="005F3DFA">
        <w:t xml:space="preserve">, más intensas en </w:t>
      </w:r>
      <w:r w:rsidR="00486A4D">
        <w:t>Matemática</w:t>
      </w:r>
      <w:r w:rsidR="007F14C8" w:rsidRPr="005F3DFA">
        <w:t xml:space="preserve"> que en </w:t>
      </w:r>
      <w:r w:rsidR="00486A4D">
        <w:t>Lengua</w:t>
      </w:r>
      <w:r w:rsidR="005D78F0">
        <w:t xml:space="preserve">. </w:t>
      </w:r>
      <w:r w:rsidR="007F14C8" w:rsidRPr="005F3DFA">
        <w:t xml:space="preserve">En cambio, </w:t>
      </w:r>
      <w:r w:rsidR="00C20B7E">
        <w:t xml:space="preserve">en las pruebas PISA </w:t>
      </w:r>
      <w:r w:rsidR="001E1612">
        <w:t xml:space="preserve">(Tabla 2) </w:t>
      </w:r>
      <w:r w:rsidR="00C20B7E">
        <w:t>hay</w:t>
      </w:r>
      <w:r w:rsidR="007F14C8" w:rsidRPr="005F3DFA">
        <w:t xml:space="preserve"> </w:t>
      </w:r>
      <w:r w:rsidR="006C1B49" w:rsidRPr="005F3DFA">
        <w:t xml:space="preserve">estabilidad hasta </w:t>
      </w:r>
      <w:r w:rsidR="007F14C8" w:rsidRPr="005F3DFA">
        <w:t xml:space="preserve">el año </w:t>
      </w:r>
      <w:r w:rsidR="006C1B49" w:rsidRPr="005F3DFA">
        <w:t>2012</w:t>
      </w:r>
      <w:r w:rsidR="005D78F0">
        <w:t>, mientras en la prueba 2015 fue anulada su participación por un problema en el marco muestral</w:t>
      </w:r>
      <w:r w:rsidR="006C1B49" w:rsidRPr="005F3DFA">
        <w:t>.</w:t>
      </w:r>
    </w:p>
    <w:p w14:paraId="397F4607" w14:textId="75F31636" w:rsidR="009D19EF" w:rsidRPr="005F3DFA" w:rsidRDefault="00ED0A53" w:rsidP="00ED0A53">
      <w:pPr>
        <w:tabs>
          <w:tab w:val="left" w:pos="709"/>
        </w:tabs>
        <w:jc w:val="both"/>
      </w:pPr>
      <w:r>
        <w:tab/>
      </w:r>
      <w:r w:rsidR="009D19EF">
        <w:t>Esta breve síntesis muestra algunas de las contradicciones entre distintos tipos de pruebas nacionales e internacionales. La mirada más específica a cada variación de un año a otro de cada prueba abre más contradicciones, que no han sido planteadas aquí por una cuestión de espac</w:t>
      </w:r>
      <w:r w:rsidR="002A6FFA">
        <w:t>io</w:t>
      </w:r>
      <w:r w:rsidR="009D19EF" w:rsidRPr="007F41C5">
        <w:t>.</w:t>
      </w:r>
      <w:r w:rsidR="009D19EF">
        <w:t xml:space="preserve"> </w:t>
      </w:r>
      <w:r w:rsidR="002A6FFA">
        <w:t>Las</w:t>
      </w:r>
      <w:r w:rsidR="009D19EF">
        <w:t xml:space="preserve"> pruebas </w:t>
      </w:r>
      <w:r w:rsidR="002A6FFA">
        <w:t xml:space="preserve">analizadas </w:t>
      </w:r>
      <w:r w:rsidR="009D19EF">
        <w:t>tienen criterios distintos, pero resulta llamativo que tengan en tantos casos resultados divergentes.</w:t>
      </w:r>
    </w:p>
    <w:p w14:paraId="44703A71" w14:textId="77777777" w:rsidR="00E72E12" w:rsidRDefault="00E72E12" w:rsidP="00A84E1A">
      <w:pPr>
        <w:jc w:val="both"/>
        <w:rPr>
          <w:b/>
        </w:rPr>
      </w:pPr>
    </w:p>
    <w:p w14:paraId="207EDF63" w14:textId="77777777" w:rsidR="00A84E1A" w:rsidRPr="00FB6FD7" w:rsidRDefault="00A84E1A" w:rsidP="00A84E1A">
      <w:pPr>
        <w:jc w:val="both"/>
        <w:rPr>
          <w:b/>
        </w:rPr>
      </w:pPr>
      <w:r w:rsidRPr="00FB6FD7">
        <w:rPr>
          <w:b/>
        </w:rPr>
        <w:t>Discusión</w:t>
      </w:r>
    </w:p>
    <w:p w14:paraId="3E4CA6BE" w14:textId="07C9D331" w:rsidR="00192872" w:rsidRDefault="00192872" w:rsidP="00DD2D50">
      <w:pPr>
        <w:ind w:firstLine="708"/>
        <w:jc w:val="both"/>
      </w:pPr>
      <w:r>
        <w:t xml:space="preserve">¿Qué países mejoraron la calidad de los aprendizajes en América Latina? ¿Cómo sabemos si mejoraron? Las respuestas a la primera pregunta </w:t>
      </w:r>
      <w:r w:rsidR="00C20B7E">
        <w:t>parecen</w:t>
      </w:r>
      <w:r>
        <w:t xml:space="preserve"> simples. La aparición de las pruebas estandarizadas como PISA favorece una perspectiva comparada de los sistemas educativos entre paí</w:t>
      </w:r>
      <w:r w:rsidR="00FB3E2C">
        <w:t>ses y en su evolución temporal.</w:t>
      </w:r>
      <w:r>
        <w:t xml:space="preserve"> Bastaría leer las evaluaciones internacionales para comparar lo</w:t>
      </w:r>
      <w:r w:rsidR="00FB3E2C">
        <w:t>s resultados. Algunos analistas y</w:t>
      </w:r>
      <w:r>
        <w:t xml:space="preserve"> tomadores de decision</w:t>
      </w:r>
      <w:r w:rsidR="00FB3E2C">
        <w:t>es</w:t>
      </w:r>
      <w:r>
        <w:t xml:space="preserve"> recurren a este novedoso recurso para abreviar al máximo la compleja definición de “calidad educativa”. Esto constituye la primera </w:t>
      </w:r>
      <w:r w:rsidR="00D244C3">
        <w:t xml:space="preserve">dimensión </w:t>
      </w:r>
      <w:r>
        <w:t xml:space="preserve">de la calidad educativa. </w:t>
      </w:r>
    </w:p>
    <w:p w14:paraId="1DA58F55" w14:textId="64B7A34A" w:rsidR="00192872" w:rsidRDefault="00192872" w:rsidP="00DD2D50">
      <w:pPr>
        <w:ind w:firstLine="708"/>
        <w:jc w:val="both"/>
      </w:pPr>
      <w:r>
        <w:t xml:space="preserve">Este artículo muestra que las respuestas a la segunda pregunta no son tan sencillas. Comprender qué miden las evaluaciones, qué tan fiables son y cuáles son sus riesgos metodológicos nos lleva a la segunda </w:t>
      </w:r>
      <w:r w:rsidR="00D244C3">
        <w:t xml:space="preserve">dimensión </w:t>
      </w:r>
      <w:r>
        <w:t>de la calidad educativa. En este</w:t>
      </w:r>
      <w:r w:rsidR="00FB3E2C">
        <w:t xml:space="preserve"> artículo mostramos</w:t>
      </w:r>
      <w:r>
        <w:t xml:space="preserve"> que </w:t>
      </w:r>
      <w:r w:rsidR="00FB3E2C">
        <w:t>no es posible</w:t>
      </w:r>
      <w:r>
        <w:t xml:space="preserve"> entender qué países mejoraron en América Latina sin saber realmente qué miden las evaluaciones. </w:t>
      </w:r>
    </w:p>
    <w:p w14:paraId="73786E37" w14:textId="79D8646F" w:rsidR="00BF6659" w:rsidRDefault="00192872" w:rsidP="00DD2D50">
      <w:pPr>
        <w:ind w:firstLine="708"/>
        <w:jc w:val="both"/>
      </w:pPr>
      <w:r>
        <w:t xml:space="preserve">El </w:t>
      </w:r>
      <w:r w:rsidR="00FB3E2C">
        <w:t>artículo</w:t>
      </w:r>
      <w:r>
        <w:t xml:space="preserve"> está basado en dos tipos de evidencias empíricas. </w:t>
      </w:r>
      <w:r w:rsidR="00BF6659" w:rsidRPr="00BF6659">
        <w:t xml:space="preserve">La </w:t>
      </w:r>
      <w:r w:rsidR="00BF6659">
        <w:t xml:space="preserve">primera </w:t>
      </w:r>
      <w:r w:rsidR="009D19EF">
        <w:t xml:space="preserve">evidencia empírica </w:t>
      </w:r>
      <w:r w:rsidR="00BF6659" w:rsidRPr="00BF6659">
        <w:t xml:space="preserve">está centrada en la prueba PISA de la OECD. En base a la reconstrucción de las tasas de respuesta de los alumnos de los países de América Latina que participan de PISA, hemos hallado </w:t>
      </w:r>
      <w:r w:rsidR="00BF6659" w:rsidRPr="00BF6659">
        <w:lastRenderedPageBreak/>
        <w:t xml:space="preserve">que existen serios problemas para garantizar la validez metodológica de las comparaciones inter-temporales de los resultados. </w:t>
      </w:r>
    </w:p>
    <w:p w14:paraId="6E2938FA" w14:textId="77777777" w:rsidR="00192872" w:rsidRDefault="00BF6659" w:rsidP="00DD2D50">
      <w:pPr>
        <w:ind w:firstLine="708"/>
        <w:jc w:val="both"/>
      </w:pPr>
      <w:r>
        <w:t xml:space="preserve">Un segundo tipo de evidencia empírica permite ensanchar la mirada a partir de </w:t>
      </w:r>
      <w:r w:rsidR="00192872">
        <w:t>la</w:t>
      </w:r>
      <w:r>
        <w:t xml:space="preserve"> comparación sistemática </w:t>
      </w:r>
      <w:r w:rsidR="00192872">
        <w:t>de distintos tipos de evaluaciones de la calidad educativa aplicadas en América Latina. El estudio comparado de pruebas nacionales e inte</w:t>
      </w:r>
      <w:r>
        <w:t xml:space="preserve">rnacionales nos permite mostrar </w:t>
      </w:r>
      <w:r w:rsidR="00192872">
        <w:t>múltiples contr</w:t>
      </w:r>
      <w:r>
        <w:t>adicciones entre los resultados</w:t>
      </w:r>
      <w:r w:rsidR="00192872">
        <w:t>.</w:t>
      </w:r>
    </w:p>
    <w:p w14:paraId="3E7BB88B" w14:textId="29C209BC" w:rsidR="00192872" w:rsidRDefault="00192872" w:rsidP="00DD2D50">
      <w:pPr>
        <w:ind w:firstLine="708"/>
        <w:jc w:val="both"/>
      </w:pPr>
      <w:r>
        <w:t xml:space="preserve">En este trabajo se presentan evidencias concretas que contestan la pregunta acerca de qué países mejoraron la calidad de los aprendizajes en América Latina con una respuesta frustrante pero realista: no lo sabemos de manera concluyente. </w:t>
      </w:r>
      <w:r w:rsidR="002F69CC">
        <w:t>N</w:t>
      </w:r>
      <w:r>
        <w:t>ecesitamos mirar distintas fuentes de evaluación de los aprendizajes</w:t>
      </w:r>
      <w:r w:rsidR="007358C7">
        <w:t>, desarrollar estudios longitudinales</w:t>
      </w:r>
      <w:r w:rsidR="001A4CEC">
        <w:t xml:space="preserve"> de valor agregado</w:t>
      </w:r>
      <w:r w:rsidR="007358C7">
        <w:t>,</w:t>
      </w:r>
      <w:r>
        <w:t xml:space="preserve"> y </w:t>
      </w:r>
      <w:r w:rsidR="007358C7">
        <w:t xml:space="preserve">de este modo </w:t>
      </w:r>
      <w:r w:rsidR="001A4CEC">
        <w:t>ampliar las posibilidades de abordaje</w:t>
      </w:r>
      <w:r>
        <w:t xml:space="preserve"> para aproximarnos a respuestas </w:t>
      </w:r>
      <w:r w:rsidR="001A4CEC">
        <w:t>siempre parciales pero más robustas</w:t>
      </w:r>
      <w:r>
        <w:t xml:space="preserve">. </w:t>
      </w:r>
    </w:p>
    <w:p w14:paraId="2B6391BA" w14:textId="0EB452C4" w:rsidR="00192872" w:rsidRDefault="009D19EF" w:rsidP="00DD2D50">
      <w:pPr>
        <w:ind w:firstLine="708"/>
        <w:jc w:val="both"/>
      </w:pPr>
      <w:r>
        <w:t>Esto es importante p</w:t>
      </w:r>
      <w:r w:rsidR="00192872">
        <w:t xml:space="preserve">orque las lecturas rápidas, sesgadas o no, de los medios de comunicación y de muchos analistas, pueden </w:t>
      </w:r>
      <w:r w:rsidR="00DE4455">
        <w:t>llegar a ser equivocadas y elaborar</w:t>
      </w:r>
      <w:r w:rsidR="00192872">
        <w:t xml:space="preserve"> diagnósticos mal enfocados en base a informac</w:t>
      </w:r>
      <w:r>
        <w:t>ión errónea</w:t>
      </w:r>
      <w:r w:rsidR="00192872">
        <w:t>.</w:t>
      </w:r>
    </w:p>
    <w:p w14:paraId="25DA4F42" w14:textId="0FDC5056" w:rsidR="004C450F" w:rsidRDefault="00192872" w:rsidP="00DD2D50">
      <w:pPr>
        <w:ind w:firstLine="708"/>
        <w:jc w:val="both"/>
      </w:pPr>
      <w:r>
        <w:t xml:space="preserve">Para entender qué países mejoraron la calidad educativa debemos </w:t>
      </w:r>
      <w:r w:rsidR="009D19EF">
        <w:t>conocer los problemas metodológicos de las pruebas y ensanchar la mirada aprovechando la multiplicación de evaluaciones de estos últimos años.</w:t>
      </w:r>
      <w:r>
        <w:t xml:space="preserve"> Esto es apenas la punta del iceberg. Lo que miden las pruebas estandarizadas es una foto parcial de lo que ocurre en la enorme complejidad de un sistema educativo. </w:t>
      </w:r>
    </w:p>
    <w:p w14:paraId="5453255E" w14:textId="77777777" w:rsidR="00ED48ED" w:rsidRDefault="004C450F" w:rsidP="00DD2D50">
      <w:pPr>
        <w:ind w:firstLine="708"/>
        <w:jc w:val="both"/>
      </w:pPr>
      <w:r w:rsidRPr="009D19EF">
        <w:t>Como indican las miradas más profundas de la educación comparada</w:t>
      </w:r>
      <w:r w:rsidR="00BF6659" w:rsidRPr="009D19EF">
        <w:t>:</w:t>
      </w:r>
      <w:r w:rsidR="00020058" w:rsidRPr="009D19EF">
        <w:t xml:space="preserve"> </w:t>
      </w:r>
    </w:p>
    <w:p w14:paraId="431F63C7" w14:textId="3559ED47" w:rsidR="004C450F" w:rsidRPr="00020058" w:rsidRDefault="00D23F80" w:rsidP="00073449">
      <w:pPr>
        <w:spacing w:line="240" w:lineRule="atLeast"/>
        <w:ind w:left="737"/>
        <w:jc w:val="both"/>
      </w:pPr>
      <w:r>
        <w:t>“</w:t>
      </w:r>
      <w:r w:rsidR="00020058" w:rsidRPr="009D19EF">
        <w:t>PISA es una brillante forma de gran-ciencia-social para mapear resultados, pero de ninguna manera antropológica, histórica o cultural es trabajo ´comparado´. Sin embargo, es una contribución a la educación comparada porque establece nuevos laberintos antropológicos, históricos y culturales acerca de qué significan esos resultados</w:t>
      </w:r>
      <w:r>
        <w:t>”</w:t>
      </w:r>
      <w:r w:rsidR="00020058" w:rsidRPr="009D19EF">
        <w:t xml:space="preserve"> (Cowen, 2011</w:t>
      </w:r>
      <w:r w:rsidR="001C251F">
        <w:t xml:space="preserve">, </w:t>
      </w:r>
      <w:r w:rsidR="00C91136">
        <w:t>p.</w:t>
      </w:r>
      <w:r w:rsidR="001C251F">
        <w:t xml:space="preserve"> 261</w:t>
      </w:r>
      <w:r w:rsidR="00020058" w:rsidRPr="009D19EF">
        <w:t>).</w:t>
      </w:r>
    </w:p>
    <w:p w14:paraId="2643AA1A" w14:textId="55F082DA" w:rsidR="004C450F" w:rsidRDefault="004C450F" w:rsidP="00DD2D50">
      <w:pPr>
        <w:ind w:firstLine="708"/>
        <w:jc w:val="both"/>
      </w:pPr>
      <w:r>
        <w:t>PISA y otras evaluaciones</w:t>
      </w:r>
      <w:r w:rsidR="00DE4455">
        <w:t xml:space="preserve"> son fuentes </w:t>
      </w:r>
      <w:r w:rsidR="00D23F80">
        <w:t>necesarias,</w:t>
      </w:r>
      <w:r>
        <w:t xml:space="preserve"> pero no determinantes. Para leer sus resultados hay que to</w:t>
      </w:r>
      <w:r w:rsidR="00DE4455">
        <w:t>mar precauciones metodológicas, comparar</w:t>
      </w:r>
      <w:r>
        <w:t xml:space="preserve"> diversas fuentes y seguir las series de resultados durante varias edicione</w:t>
      </w:r>
      <w:r w:rsidR="00DE4455">
        <w:t xml:space="preserve">s en el tiempo, sabiendo que </w:t>
      </w:r>
      <w:r>
        <w:t>en todas las pruebas hay cambios metodológicos o de contextos de aplicación. La estabilización de los resultados en varias pruebas nos permite establecer mayores niveles de fiabilidad y confianza en la validez interpretativa de las pruebas. Así podemos ver que casos como Perú han logrado mejoras notables en diversos registros</w:t>
      </w:r>
      <w:r w:rsidR="00072C8A">
        <w:t>, mientras Chile parece haber logrado mejoras en la primera década del siglo XXI y ubicarse por encima del resto de los países participantes de las pruebas internacionales en América Latina</w:t>
      </w:r>
      <w:r>
        <w:t>.</w:t>
      </w:r>
    </w:p>
    <w:p w14:paraId="0CE17500" w14:textId="06D8B8AB" w:rsidR="00DC5A84" w:rsidRDefault="004C450F" w:rsidP="00DD2D50">
      <w:pPr>
        <w:ind w:firstLine="708"/>
        <w:jc w:val="both"/>
      </w:pPr>
      <w:r>
        <w:t xml:space="preserve">Para seguir comprendiendo mejor estos procesos es necesario apelar a estudios sobre la cultura que rodea </w:t>
      </w:r>
      <w:r w:rsidR="00746D92">
        <w:t>a</w:t>
      </w:r>
      <w:r>
        <w:t xml:space="preserve"> los </w:t>
      </w:r>
      <w:r w:rsidR="00020058">
        <w:t>sistemas educativos (Alexander</w:t>
      </w:r>
      <w:r w:rsidR="00FB3E2C">
        <w:t>, 2001;</w:t>
      </w:r>
      <w:r w:rsidR="00020058">
        <w:t xml:space="preserve"> Carnoy</w:t>
      </w:r>
      <w:r w:rsidR="00FB3E2C">
        <w:t>,</w:t>
      </w:r>
      <w:r w:rsidR="00020058">
        <w:t xml:space="preserve"> </w:t>
      </w:r>
      <w:r w:rsidR="008A3CD9">
        <w:t>2007</w:t>
      </w:r>
      <w:r>
        <w:t>)</w:t>
      </w:r>
      <w:r w:rsidR="00BF6659">
        <w:t xml:space="preserve"> y hacia evaluaciones más integr</w:t>
      </w:r>
      <w:r w:rsidR="00FB3E2C">
        <w:t>ales</w:t>
      </w:r>
      <w:r>
        <w:t xml:space="preserve">. </w:t>
      </w:r>
      <w:r w:rsidR="00790651">
        <w:t xml:space="preserve">Es importante analizar las características del currículo de cada país y sus tradiciones culturales y pedagógicas. </w:t>
      </w:r>
      <w:r w:rsidR="00A472A6">
        <w:t xml:space="preserve">Esta es la tercera </w:t>
      </w:r>
      <w:r w:rsidR="00D244C3">
        <w:t xml:space="preserve">dimensión </w:t>
      </w:r>
      <w:r w:rsidR="00A472A6">
        <w:t xml:space="preserve">de la calidad educativa, que incorpora diversas perspectivas metodológicas y realiza análisis históricos, culturales, sociológicos y pedagógicos de los sistemas educativos, buscando comprender en qué </w:t>
      </w:r>
      <w:r w:rsidR="00184B94">
        <w:t>contextos aprenden los alumnos</w:t>
      </w:r>
      <w:r w:rsidR="00A472A6">
        <w:t>.</w:t>
      </w:r>
    </w:p>
    <w:p w14:paraId="48E85C63" w14:textId="77777777" w:rsidR="00D23F80" w:rsidRDefault="00D23F80" w:rsidP="00487BAC">
      <w:pPr>
        <w:jc w:val="both"/>
        <w:rPr>
          <w:b/>
        </w:rPr>
      </w:pPr>
    </w:p>
    <w:p w14:paraId="3E67B074" w14:textId="3A82D9C0" w:rsidR="00487BAC" w:rsidRPr="00FB6FD7" w:rsidRDefault="00487BAC" w:rsidP="00487BAC">
      <w:pPr>
        <w:jc w:val="both"/>
        <w:rPr>
          <w:b/>
        </w:rPr>
      </w:pPr>
      <w:r>
        <w:rPr>
          <w:b/>
        </w:rPr>
        <w:lastRenderedPageBreak/>
        <w:t xml:space="preserve">Anexo – estructura de niveles y años de estudio </w:t>
      </w:r>
    </w:p>
    <w:p w14:paraId="7B075E21" w14:textId="77777777" w:rsidR="00487BAC" w:rsidRDefault="00487BAC" w:rsidP="00487BAC">
      <w:pPr>
        <w:jc w:val="both"/>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992"/>
        <w:gridCol w:w="1129"/>
        <w:gridCol w:w="1324"/>
        <w:gridCol w:w="1053"/>
        <w:gridCol w:w="1129"/>
        <w:gridCol w:w="1129"/>
        <w:gridCol w:w="1129"/>
        <w:gridCol w:w="1207"/>
      </w:tblGrid>
      <w:tr w:rsidR="00487BAC" w:rsidRPr="00487BAC" w14:paraId="5231474C" w14:textId="77777777" w:rsidTr="00487BAC">
        <w:trPr>
          <w:trHeight w:val="300"/>
          <w:jc w:val="center"/>
        </w:trPr>
        <w:tc>
          <w:tcPr>
            <w:tcW w:w="851" w:type="dxa"/>
            <w:shd w:val="clear" w:color="auto" w:fill="auto"/>
            <w:noWrap/>
            <w:vAlign w:val="bottom"/>
            <w:hideMark/>
          </w:tcPr>
          <w:p w14:paraId="64B3247A" w14:textId="77777777" w:rsidR="00487BAC" w:rsidRPr="00487BAC" w:rsidRDefault="00487BAC" w:rsidP="0037052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Año de estudio</w:t>
            </w:r>
          </w:p>
        </w:tc>
        <w:tc>
          <w:tcPr>
            <w:tcW w:w="992" w:type="dxa"/>
            <w:shd w:val="clear" w:color="auto" w:fill="auto"/>
            <w:noWrap/>
            <w:vAlign w:val="bottom"/>
            <w:hideMark/>
          </w:tcPr>
          <w:p w14:paraId="478B4C57" w14:textId="77777777" w:rsidR="00487BAC" w:rsidRPr="00487BAC" w:rsidRDefault="00487BAC" w:rsidP="0037052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Edad teórica</w:t>
            </w:r>
          </w:p>
        </w:tc>
        <w:tc>
          <w:tcPr>
            <w:tcW w:w="1129" w:type="dxa"/>
            <w:shd w:val="clear" w:color="auto" w:fill="auto"/>
            <w:noWrap/>
            <w:vAlign w:val="center"/>
            <w:hideMark/>
          </w:tcPr>
          <w:p w14:paraId="45FC6E49" w14:textId="77777777" w:rsidR="00487BAC" w:rsidRPr="00487BAC" w:rsidRDefault="00487BAC" w:rsidP="00487BA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Argentina</w:t>
            </w:r>
          </w:p>
        </w:tc>
        <w:tc>
          <w:tcPr>
            <w:tcW w:w="1324" w:type="dxa"/>
            <w:shd w:val="clear" w:color="auto" w:fill="auto"/>
            <w:noWrap/>
            <w:vAlign w:val="center"/>
            <w:hideMark/>
          </w:tcPr>
          <w:p w14:paraId="001FC7B5" w14:textId="77777777" w:rsidR="00487BAC" w:rsidRPr="00487BAC" w:rsidRDefault="00487BAC" w:rsidP="00487BA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Brasil</w:t>
            </w:r>
          </w:p>
        </w:tc>
        <w:tc>
          <w:tcPr>
            <w:tcW w:w="1053" w:type="dxa"/>
            <w:shd w:val="clear" w:color="auto" w:fill="auto"/>
            <w:noWrap/>
            <w:vAlign w:val="center"/>
            <w:hideMark/>
          </w:tcPr>
          <w:p w14:paraId="5E3D0E6B" w14:textId="77777777" w:rsidR="00487BAC" w:rsidRPr="00487BAC" w:rsidRDefault="00487BAC" w:rsidP="00487BA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Chile</w:t>
            </w:r>
          </w:p>
        </w:tc>
        <w:tc>
          <w:tcPr>
            <w:tcW w:w="1129" w:type="dxa"/>
            <w:shd w:val="clear" w:color="auto" w:fill="auto"/>
            <w:noWrap/>
            <w:vAlign w:val="center"/>
            <w:hideMark/>
          </w:tcPr>
          <w:p w14:paraId="675F0A65" w14:textId="77777777" w:rsidR="00487BAC" w:rsidRPr="00487BAC" w:rsidRDefault="00487BAC" w:rsidP="00487BA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Colombia</w:t>
            </w:r>
          </w:p>
        </w:tc>
        <w:tc>
          <w:tcPr>
            <w:tcW w:w="1129" w:type="dxa"/>
            <w:shd w:val="clear" w:color="auto" w:fill="auto"/>
            <w:noWrap/>
            <w:vAlign w:val="center"/>
            <w:hideMark/>
          </w:tcPr>
          <w:p w14:paraId="441E9FA8" w14:textId="77777777" w:rsidR="00487BAC" w:rsidRPr="00487BAC" w:rsidRDefault="00487BA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México</w:t>
            </w:r>
          </w:p>
        </w:tc>
        <w:tc>
          <w:tcPr>
            <w:tcW w:w="1129" w:type="dxa"/>
            <w:shd w:val="clear" w:color="auto" w:fill="auto"/>
            <w:noWrap/>
            <w:vAlign w:val="center"/>
            <w:hideMark/>
          </w:tcPr>
          <w:p w14:paraId="65DFB723" w14:textId="77777777" w:rsidR="00487BAC" w:rsidRPr="00487BAC" w:rsidRDefault="00487BA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Perú</w:t>
            </w:r>
          </w:p>
        </w:tc>
        <w:tc>
          <w:tcPr>
            <w:tcW w:w="195" w:type="dxa"/>
            <w:shd w:val="clear" w:color="auto" w:fill="auto"/>
            <w:noWrap/>
            <w:vAlign w:val="center"/>
            <w:hideMark/>
          </w:tcPr>
          <w:p w14:paraId="5281A204" w14:textId="77777777" w:rsidR="00487BAC" w:rsidRPr="00487BAC" w:rsidRDefault="00487BA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Uruguay</w:t>
            </w:r>
          </w:p>
        </w:tc>
      </w:tr>
      <w:tr w:rsidR="00487BAC" w:rsidRPr="00487BAC" w14:paraId="20B6761D" w14:textId="77777777" w:rsidTr="00487BAC">
        <w:trPr>
          <w:trHeight w:val="300"/>
          <w:jc w:val="center"/>
        </w:trPr>
        <w:tc>
          <w:tcPr>
            <w:tcW w:w="851" w:type="dxa"/>
            <w:shd w:val="clear" w:color="auto" w:fill="auto"/>
            <w:noWrap/>
            <w:vAlign w:val="bottom"/>
            <w:hideMark/>
          </w:tcPr>
          <w:p w14:paraId="47891244" w14:textId="2BD254B0" w:rsidR="00487BAC" w:rsidRPr="00487BAC" w:rsidRDefault="00487BAC" w:rsidP="0037052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1</w:t>
            </w:r>
            <w:r w:rsidR="005E3D27">
              <w:rPr>
                <w:rFonts w:ascii="Calibri" w:eastAsia="Times New Roman" w:hAnsi="Calibri" w:cs="Calibri"/>
                <w:color w:val="000000"/>
                <w:lang w:eastAsia="es-AR"/>
              </w:rPr>
              <w:t>º</w:t>
            </w:r>
          </w:p>
        </w:tc>
        <w:tc>
          <w:tcPr>
            <w:tcW w:w="992" w:type="dxa"/>
            <w:shd w:val="clear" w:color="auto" w:fill="auto"/>
            <w:noWrap/>
            <w:vAlign w:val="bottom"/>
            <w:hideMark/>
          </w:tcPr>
          <w:p w14:paraId="708E8481" w14:textId="77777777" w:rsidR="00487BAC" w:rsidRPr="00487BAC" w:rsidRDefault="00487BAC" w:rsidP="0037052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6 años</w:t>
            </w:r>
          </w:p>
        </w:tc>
        <w:tc>
          <w:tcPr>
            <w:tcW w:w="1129" w:type="dxa"/>
            <w:vMerge w:val="restart"/>
            <w:shd w:val="clear" w:color="000000" w:fill="D9E1F2"/>
            <w:noWrap/>
            <w:vAlign w:val="center"/>
            <w:hideMark/>
          </w:tcPr>
          <w:p w14:paraId="267E45D8" w14:textId="77777777" w:rsidR="00487BAC" w:rsidRPr="00487BAC" w:rsidRDefault="00487BAC" w:rsidP="00487BA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Educación Primaria</w:t>
            </w:r>
          </w:p>
        </w:tc>
        <w:tc>
          <w:tcPr>
            <w:tcW w:w="1324" w:type="dxa"/>
            <w:vMerge w:val="restart"/>
            <w:shd w:val="clear" w:color="000000" w:fill="BDD7EE"/>
            <w:noWrap/>
            <w:vAlign w:val="center"/>
            <w:hideMark/>
          </w:tcPr>
          <w:p w14:paraId="554A4868" w14:textId="77777777" w:rsidR="00487BAC" w:rsidRPr="00487BAC" w:rsidRDefault="00487BAC" w:rsidP="00487BA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Enseñanza Fundamental</w:t>
            </w:r>
          </w:p>
        </w:tc>
        <w:tc>
          <w:tcPr>
            <w:tcW w:w="1053" w:type="dxa"/>
            <w:vMerge w:val="restart"/>
            <w:shd w:val="clear" w:color="000000" w:fill="BDD7EE"/>
            <w:noWrap/>
            <w:vAlign w:val="center"/>
            <w:hideMark/>
          </w:tcPr>
          <w:p w14:paraId="1DC8AEED" w14:textId="77777777" w:rsidR="00487BAC" w:rsidRPr="00487BAC" w:rsidRDefault="00487BAC" w:rsidP="00487BA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Educación básica</w:t>
            </w:r>
          </w:p>
        </w:tc>
        <w:tc>
          <w:tcPr>
            <w:tcW w:w="1129" w:type="dxa"/>
            <w:vMerge w:val="restart"/>
            <w:shd w:val="clear" w:color="000000" w:fill="D9E1F2"/>
            <w:noWrap/>
            <w:vAlign w:val="center"/>
            <w:hideMark/>
          </w:tcPr>
          <w:p w14:paraId="36EB7837" w14:textId="77777777" w:rsidR="00487BAC" w:rsidRPr="00487BAC" w:rsidRDefault="00487BA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Educación Primaria</w:t>
            </w:r>
          </w:p>
        </w:tc>
        <w:tc>
          <w:tcPr>
            <w:tcW w:w="1129" w:type="dxa"/>
            <w:vMerge w:val="restart"/>
            <w:shd w:val="clear" w:color="000000" w:fill="D9E1F2"/>
            <w:noWrap/>
            <w:vAlign w:val="center"/>
            <w:hideMark/>
          </w:tcPr>
          <w:p w14:paraId="026F9FB7" w14:textId="77777777" w:rsidR="00487BAC" w:rsidRPr="00487BAC" w:rsidRDefault="00487BA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Educación básica</w:t>
            </w:r>
          </w:p>
        </w:tc>
        <w:tc>
          <w:tcPr>
            <w:tcW w:w="1129" w:type="dxa"/>
            <w:vMerge w:val="restart"/>
            <w:shd w:val="clear" w:color="000000" w:fill="D9E1F2"/>
            <w:noWrap/>
            <w:vAlign w:val="center"/>
            <w:hideMark/>
          </w:tcPr>
          <w:p w14:paraId="0F4ED8C5" w14:textId="77777777" w:rsidR="00487BAC" w:rsidRPr="00487BAC" w:rsidRDefault="00487BA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Educación básica</w:t>
            </w:r>
          </w:p>
        </w:tc>
        <w:tc>
          <w:tcPr>
            <w:tcW w:w="195" w:type="dxa"/>
            <w:vMerge w:val="restart"/>
            <w:shd w:val="clear" w:color="000000" w:fill="D9E1F2"/>
            <w:noWrap/>
            <w:vAlign w:val="center"/>
            <w:hideMark/>
          </w:tcPr>
          <w:p w14:paraId="5EDEB444" w14:textId="77777777" w:rsidR="00487BAC" w:rsidRPr="00487BAC" w:rsidRDefault="00487BA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Educación Primaria</w:t>
            </w:r>
          </w:p>
        </w:tc>
      </w:tr>
      <w:tr w:rsidR="00487BAC" w:rsidRPr="00487BAC" w14:paraId="6FD267B5" w14:textId="77777777" w:rsidTr="00487BAC">
        <w:trPr>
          <w:trHeight w:val="300"/>
          <w:jc w:val="center"/>
        </w:trPr>
        <w:tc>
          <w:tcPr>
            <w:tcW w:w="851" w:type="dxa"/>
            <w:shd w:val="clear" w:color="auto" w:fill="auto"/>
            <w:noWrap/>
            <w:vAlign w:val="bottom"/>
            <w:hideMark/>
          </w:tcPr>
          <w:p w14:paraId="12DDEF1C" w14:textId="0E4B0029" w:rsidR="00487BAC" w:rsidRPr="00487BAC" w:rsidRDefault="00487BAC" w:rsidP="0037052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2</w:t>
            </w:r>
            <w:r w:rsidR="005E3D27">
              <w:rPr>
                <w:rFonts w:ascii="Calibri" w:eastAsia="Times New Roman" w:hAnsi="Calibri" w:cs="Calibri"/>
                <w:color w:val="000000"/>
                <w:lang w:eastAsia="es-AR"/>
              </w:rPr>
              <w:t>º</w:t>
            </w:r>
          </w:p>
        </w:tc>
        <w:tc>
          <w:tcPr>
            <w:tcW w:w="992" w:type="dxa"/>
            <w:shd w:val="clear" w:color="auto" w:fill="auto"/>
            <w:noWrap/>
            <w:vAlign w:val="bottom"/>
            <w:hideMark/>
          </w:tcPr>
          <w:p w14:paraId="672ABDF7" w14:textId="77777777" w:rsidR="00487BAC" w:rsidRPr="00487BAC" w:rsidRDefault="00487BAC" w:rsidP="0037052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7 años</w:t>
            </w:r>
          </w:p>
        </w:tc>
        <w:tc>
          <w:tcPr>
            <w:tcW w:w="1129" w:type="dxa"/>
            <w:vMerge/>
            <w:vAlign w:val="center"/>
            <w:hideMark/>
          </w:tcPr>
          <w:p w14:paraId="6DC6A0CB"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324" w:type="dxa"/>
            <w:vMerge/>
            <w:vAlign w:val="center"/>
            <w:hideMark/>
          </w:tcPr>
          <w:p w14:paraId="78137372"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053" w:type="dxa"/>
            <w:vMerge/>
            <w:vAlign w:val="center"/>
            <w:hideMark/>
          </w:tcPr>
          <w:p w14:paraId="1D40C53E"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129" w:type="dxa"/>
            <w:vMerge/>
            <w:vAlign w:val="center"/>
            <w:hideMark/>
          </w:tcPr>
          <w:p w14:paraId="58DB937E"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129" w:type="dxa"/>
            <w:vMerge/>
            <w:vAlign w:val="center"/>
            <w:hideMark/>
          </w:tcPr>
          <w:p w14:paraId="7AB63CE9"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129" w:type="dxa"/>
            <w:vMerge/>
            <w:vAlign w:val="center"/>
            <w:hideMark/>
          </w:tcPr>
          <w:p w14:paraId="3C4BA550"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95" w:type="dxa"/>
            <w:vMerge/>
            <w:vAlign w:val="center"/>
            <w:hideMark/>
          </w:tcPr>
          <w:p w14:paraId="3D11D2D7" w14:textId="77777777" w:rsidR="00487BAC" w:rsidRPr="00487BAC" w:rsidRDefault="00487BAC">
            <w:pPr>
              <w:spacing w:after="0" w:line="240" w:lineRule="auto"/>
              <w:jc w:val="center"/>
              <w:rPr>
                <w:rFonts w:ascii="Calibri" w:eastAsia="Times New Roman" w:hAnsi="Calibri" w:cs="Calibri"/>
                <w:color w:val="000000"/>
                <w:lang w:eastAsia="es-AR"/>
              </w:rPr>
            </w:pPr>
          </w:p>
        </w:tc>
      </w:tr>
      <w:tr w:rsidR="00487BAC" w:rsidRPr="00487BAC" w14:paraId="6ACBF6C8" w14:textId="77777777" w:rsidTr="00487BAC">
        <w:trPr>
          <w:trHeight w:val="300"/>
          <w:jc w:val="center"/>
        </w:trPr>
        <w:tc>
          <w:tcPr>
            <w:tcW w:w="851" w:type="dxa"/>
            <w:shd w:val="clear" w:color="auto" w:fill="auto"/>
            <w:noWrap/>
            <w:vAlign w:val="bottom"/>
            <w:hideMark/>
          </w:tcPr>
          <w:p w14:paraId="75E17047" w14:textId="0F3B9C89" w:rsidR="00487BAC" w:rsidRPr="00487BAC" w:rsidRDefault="00487BAC" w:rsidP="0037052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3</w:t>
            </w:r>
            <w:r w:rsidR="005E3D27">
              <w:rPr>
                <w:rFonts w:ascii="Calibri" w:eastAsia="Times New Roman" w:hAnsi="Calibri" w:cs="Calibri"/>
                <w:color w:val="000000"/>
                <w:lang w:eastAsia="es-AR"/>
              </w:rPr>
              <w:t>º</w:t>
            </w:r>
          </w:p>
        </w:tc>
        <w:tc>
          <w:tcPr>
            <w:tcW w:w="992" w:type="dxa"/>
            <w:shd w:val="clear" w:color="auto" w:fill="auto"/>
            <w:noWrap/>
            <w:vAlign w:val="bottom"/>
            <w:hideMark/>
          </w:tcPr>
          <w:p w14:paraId="649D58CA" w14:textId="77777777" w:rsidR="00487BAC" w:rsidRPr="00487BAC" w:rsidRDefault="00487BAC" w:rsidP="0037052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8 años</w:t>
            </w:r>
          </w:p>
        </w:tc>
        <w:tc>
          <w:tcPr>
            <w:tcW w:w="1129" w:type="dxa"/>
            <w:vMerge/>
            <w:vAlign w:val="center"/>
            <w:hideMark/>
          </w:tcPr>
          <w:p w14:paraId="0364271C"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324" w:type="dxa"/>
            <w:vMerge/>
            <w:vAlign w:val="center"/>
            <w:hideMark/>
          </w:tcPr>
          <w:p w14:paraId="343D1BF6"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053" w:type="dxa"/>
            <w:vMerge/>
            <w:vAlign w:val="center"/>
            <w:hideMark/>
          </w:tcPr>
          <w:p w14:paraId="27668E73"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129" w:type="dxa"/>
            <w:vMerge/>
            <w:vAlign w:val="center"/>
            <w:hideMark/>
          </w:tcPr>
          <w:p w14:paraId="2473A2B4"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129" w:type="dxa"/>
            <w:vMerge/>
            <w:vAlign w:val="center"/>
            <w:hideMark/>
          </w:tcPr>
          <w:p w14:paraId="03358D77"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129" w:type="dxa"/>
            <w:vMerge/>
            <w:vAlign w:val="center"/>
            <w:hideMark/>
          </w:tcPr>
          <w:p w14:paraId="3880B8F1"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95" w:type="dxa"/>
            <w:vMerge/>
            <w:vAlign w:val="center"/>
            <w:hideMark/>
          </w:tcPr>
          <w:p w14:paraId="3D43BD8F" w14:textId="77777777" w:rsidR="00487BAC" w:rsidRPr="00487BAC" w:rsidRDefault="00487BAC">
            <w:pPr>
              <w:spacing w:after="0" w:line="240" w:lineRule="auto"/>
              <w:jc w:val="center"/>
              <w:rPr>
                <w:rFonts w:ascii="Calibri" w:eastAsia="Times New Roman" w:hAnsi="Calibri" w:cs="Calibri"/>
                <w:color w:val="000000"/>
                <w:lang w:eastAsia="es-AR"/>
              </w:rPr>
            </w:pPr>
          </w:p>
        </w:tc>
      </w:tr>
      <w:tr w:rsidR="00487BAC" w:rsidRPr="00487BAC" w14:paraId="0E8E67C7" w14:textId="77777777" w:rsidTr="00487BAC">
        <w:trPr>
          <w:trHeight w:val="300"/>
          <w:jc w:val="center"/>
        </w:trPr>
        <w:tc>
          <w:tcPr>
            <w:tcW w:w="851" w:type="dxa"/>
            <w:shd w:val="clear" w:color="auto" w:fill="auto"/>
            <w:noWrap/>
            <w:vAlign w:val="bottom"/>
            <w:hideMark/>
          </w:tcPr>
          <w:p w14:paraId="2DC73CB6" w14:textId="1897E620" w:rsidR="00487BAC" w:rsidRPr="00487BAC" w:rsidRDefault="00487BAC" w:rsidP="0037052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4</w:t>
            </w:r>
            <w:r w:rsidR="005E3D27">
              <w:rPr>
                <w:rFonts w:ascii="Calibri" w:eastAsia="Times New Roman" w:hAnsi="Calibri" w:cs="Calibri"/>
                <w:color w:val="000000"/>
                <w:lang w:eastAsia="es-AR"/>
              </w:rPr>
              <w:t>º</w:t>
            </w:r>
          </w:p>
        </w:tc>
        <w:tc>
          <w:tcPr>
            <w:tcW w:w="992" w:type="dxa"/>
            <w:shd w:val="clear" w:color="auto" w:fill="auto"/>
            <w:noWrap/>
            <w:vAlign w:val="bottom"/>
            <w:hideMark/>
          </w:tcPr>
          <w:p w14:paraId="4F70D4E1" w14:textId="77777777" w:rsidR="00487BAC" w:rsidRPr="00487BAC" w:rsidRDefault="00487BAC" w:rsidP="0037052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9 años</w:t>
            </w:r>
          </w:p>
        </w:tc>
        <w:tc>
          <w:tcPr>
            <w:tcW w:w="1129" w:type="dxa"/>
            <w:vMerge/>
            <w:vAlign w:val="center"/>
            <w:hideMark/>
          </w:tcPr>
          <w:p w14:paraId="36A38F82"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324" w:type="dxa"/>
            <w:vMerge/>
            <w:vAlign w:val="center"/>
            <w:hideMark/>
          </w:tcPr>
          <w:p w14:paraId="3BC54AEA"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053" w:type="dxa"/>
            <w:vMerge/>
            <w:vAlign w:val="center"/>
            <w:hideMark/>
          </w:tcPr>
          <w:p w14:paraId="1AD7C0F0"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129" w:type="dxa"/>
            <w:vMerge/>
            <w:vAlign w:val="center"/>
            <w:hideMark/>
          </w:tcPr>
          <w:p w14:paraId="62116711"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129" w:type="dxa"/>
            <w:vMerge/>
            <w:vAlign w:val="center"/>
            <w:hideMark/>
          </w:tcPr>
          <w:p w14:paraId="50ABD3A3"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129" w:type="dxa"/>
            <w:vMerge/>
            <w:vAlign w:val="center"/>
            <w:hideMark/>
          </w:tcPr>
          <w:p w14:paraId="6AE2F399"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95" w:type="dxa"/>
            <w:vMerge/>
            <w:vAlign w:val="center"/>
            <w:hideMark/>
          </w:tcPr>
          <w:p w14:paraId="1FA81731" w14:textId="77777777" w:rsidR="00487BAC" w:rsidRPr="00487BAC" w:rsidRDefault="00487BAC">
            <w:pPr>
              <w:spacing w:after="0" w:line="240" w:lineRule="auto"/>
              <w:jc w:val="center"/>
              <w:rPr>
                <w:rFonts w:ascii="Calibri" w:eastAsia="Times New Roman" w:hAnsi="Calibri" w:cs="Calibri"/>
                <w:color w:val="000000"/>
                <w:lang w:eastAsia="es-AR"/>
              </w:rPr>
            </w:pPr>
          </w:p>
        </w:tc>
      </w:tr>
      <w:tr w:rsidR="00487BAC" w:rsidRPr="00487BAC" w14:paraId="0B4B9716" w14:textId="77777777" w:rsidTr="00487BAC">
        <w:trPr>
          <w:trHeight w:val="300"/>
          <w:jc w:val="center"/>
        </w:trPr>
        <w:tc>
          <w:tcPr>
            <w:tcW w:w="851" w:type="dxa"/>
            <w:shd w:val="clear" w:color="auto" w:fill="auto"/>
            <w:noWrap/>
            <w:vAlign w:val="bottom"/>
            <w:hideMark/>
          </w:tcPr>
          <w:p w14:paraId="083000E2" w14:textId="20CFFE8D" w:rsidR="00487BAC" w:rsidRPr="00487BAC" w:rsidRDefault="00487BAC" w:rsidP="0037052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5</w:t>
            </w:r>
            <w:r w:rsidR="005E3D27">
              <w:rPr>
                <w:rFonts w:ascii="Calibri" w:eastAsia="Times New Roman" w:hAnsi="Calibri" w:cs="Calibri"/>
                <w:color w:val="000000"/>
                <w:lang w:eastAsia="es-AR"/>
              </w:rPr>
              <w:t>º</w:t>
            </w:r>
          </w:p>
        </w:tc>
        <w:tc>
          <w:tcPr>
            <w:tcW w:w="992" w:type="dxa"/>
            <w:shd w:val="clear" w:color="auto" w:fill="auto"/>
            <w:noWrap/>
            <w:vAlign w:val="bottom"/>
            <w:hideMark/>
          </w:tcPr>
          <w:p w14:paraId="349E8B6F" w14:textId="77777777" w:rsidR="00487BAC" w:rsidRPr="00487BAC" w:rsidRDefault="00487BAC" w:rsidP="0037052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10 años</w:t>
            </w:r>
          </w:p>
        </w:tc>
        <w:tc>
          <w:tcPr>
            <w:tcW w:w="1129" w:type="dxa"/>
            <w:vMerge/>
            <w:vAlign w:val="center"/>
            <w:hideMark/>
          </w:tcPr>
          <w:p w14:paraId="4157F70B"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324" w:type="dxa"/>
            <w:vMerge/>
            <w:vAlign w:val="center"/>
            <w:hideMark/>
          </w:tcPr>
          <w:p w14:paraId="66AD330A"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053" w:type="dxa"/>
            <w:vMerge/>
            <w:vAlign w:val="center"/>
            <w:hideMark/>
          </w:tcPr>
          <w:p w14:paraId="1D8C02DE"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129" w:type="dxa"/>
            <w:vMerge/>
            <w:vAlign w:val="center"/>
            <w:hideMark/>
          </w:tcPr>
          <w:p w14:paraId="1F56B845"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129" w:type="dxa"/>
            <w:vMerge/>
            <w:vAlign w:val="center"/>
            <w:hideMark/>
          </w:tcPr>
          <w:p w14:paraId="5CE7FCB1"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129" w:type="dxa"/>
            <w:vMerge/>
            <w:vAlign w:val="center"/>
            <w:hideMark/>
          </w:tcPr>
          <w:p w14:paraId="4AD5F308"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95" w:type="dxa"/>
            <w:vMerge/>
            <w:vAlign w:val="center"/>
            <w:hideMark/>
          </w:tcPr>
          <w:p w14:paraId="0CD966DB" w14:textId="77777777" w:rsidR="00487BAC" w:rsidRPr="00487BAC" w:rsidRDefault="00487BAC">
            <w:pPr>
              <w:spacing w:after="0" w:line="240" w:lineRule="auto"/>
              <w:jc w:val="center"/>
              <w:rPr>
                <w:rFonts w:ascii="Calibri" w:eastAsia="Times New Roman" w:hAnsi="Calibri" w:cs="Calibri"/>
                <w:color w:val="000000"/>
                <w:lang w:eastAsia="es-AR"/>
              </w:rPr>
            </w:pPr>
          </w:p>
        </w:tc>
      </w:tr>
      <w:tr w:rsidR="00487BAC" w:rsidRPr="00487BAC" w14:paraId="0776579A" w14:textId="77777777" w:rsidTr="00487BAC">
        <w:trPr>
          <w:trHeight w:val="300"/>
          <w:jc w:val="center"/>
        </w:trPr>
        <w:tc>
          <w:tcPr>
            <w:tcW w:w="851" w:type="dxa"/>
            <w:shd w:val="clear" w:color="auto" w:fill="auto"/>
            <w:noWrap/>
            <w:vAlign w:val="bottom"/>
            <w:hideMark/>
          </w:tcPr>
          <w:p w14:paraId="6DEFCAF5" w14:textId="39B36B5B" w:rsidR="00487BAC" w:rsidRPr="00487BAC" w:rsidRDefault="00487BAC" w:rsidP="0037052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6</w:t>
            </w:r>
            <w:r w:rsidR="005E3D27">
              <w:rPr>
                <w:rFonts w:ascii="Calibri" w:eastAsia="Times New Roman" w:hAnsi="Calibri" w:cs="Calibri"/>
                <w:color w:val="000000"/>
                <w:lang w:eastAsia="es-AR"/>
              </w:rPr>
              <w:t>º</w:t>
            </w:r>
          </w:p>
        </w:tc>
        <w:tc>
          <w:tcPr>
            <w:tcW w:w="992" w:type="dxa"/>
            <w:shd w:val="clear" w:color="auto" w:fill="auto"/>
            <w:noWrap/>
            <w:vAlign w:val="bottom"/>
            <w:hideMark/>
          </w:tcPr>
          <w:p w14:paraId="2349FA0A" w14:textId="77777777" w:rsidR="00487BAC" w:rsidRPr="00487BAC" w:rsidRDefault="00487BAC" w:rsidP="0037052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11 años</w:t>
            </w:r>
          </w:p>
        </w:tc>
        <w:tc>
          <w:tcPr>
            <w:tcW w:w="1129" w:type="dxa"/>
            <w:vMerge/>
            <w:vAlign w:val="center"/>
            <w:hideMark/>
          </w:tcPr>
          <w:p w14:paraId="680A0DCC"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324" w:type="dxa"/>
            <w:vMerge/>
            <w:vAlign w:val="center"/>
            <w:hideMark/>
          </w:tcPr>
          <w:p w14:paraId="64C045D7"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053" w:type="dxa"/>
            <w:vMerge/>
            <w:vAlign w:val="center"/>
            <w:hideMark/>
          </w:tcPr>
          <w:p w14:paraId="3F44372D"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129" w:type="dxa"/>
            <w:vMerge w:val="restart"/>
            <w:shd w:val="clear" w:color="000000" w:fill="C6E0B4"/>
            <w:noWrap/>
            <w:vAlign w:val="center"/>
            <w:hideMark/>
          </w:tcPr>
          <w:p w14:paraId="37058CAB" w14:textId="77777777" w:rsidR="00487BAC" w:rsidRPr="00487BAC" w:rsidRDefault="00487BA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Educación Secundaria</w:t>
            </w:r>
          </w:p>
        </w:tc>
        <w:tc>
          <w:tcPr>
            <w:tcW w:w="1129" w:type="dxa"/>
            <w:vMerge/>
            <w:vAlign w:val="center"/>
            <w:hideMark/>
          </w:tcPr>
          <w:p w14:paraId="6AF2555C"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129" w:type="dxa"/>
            <w:vMerge/>
            <w:vAlign w:val="center"/>
            <w:hideMark/>
          </w:tcPr>
          <w:p w14:paraId="6DC19112"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95" w:type="dxa"/>
            <w:vMerge/>
            <w:vAlign w:val="center"/>
            <w:hideMark/>
          </w:tcPr>
          <w:p w14:paraId="35E75A0C" w14:textId="77777777" w:rsidR="00487BAC" w:rsidRPr="00487BAC" w:rsidRDefault="00487BAC">
            <w:pPr>
              <w:spacing w:after="0" w:line="240" w:lineRule="auto"/>
              <w:jc w:val="center"/>
              <w:rPr>
                <w:rFonts w:ascii="Calibri" w:eastAsia="Times New Roman" w:hAnsi="Calibri" w:cs="Calibri"/>
                <w:color w:val="000000"/>
                <w:lang w:eastAsia="es-AR"/>
              </w:rPr>
            </w:pPr>
          </w:p>
        </w:tc>
      </w:tr>
      <w:tr w:rsidR="00487BAC" w:rsidRPr="00487BAC" w14:paraId="23F95B9D" w14:textId="77777777" w:rsidTr="00487BAC">
        <w:trPr>
          <w:trHeight w:val="300"/>
          <w:jc w:val="center"/>
        </w:trPr>
        <w:tc>
          <w:tcPr>
            <w:tcW w:w="851" w:type="dxa"/>
            <w:shd w:val="clear" w:color="auto" w:fill="auto"/>
            <w:noWrap/>
            <w:vAlign w:val="bottom"/>
            <w:hideMark/>
          </w:tcPr>
          <w:p w14:paraId="620B6F3B" w14:textId="09CBD8D9" w:rsidR="00487BAC" w:rsidRPr="00487BAC" w:rsidRDefault="00487BAC" w:rsidP="0037052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7</w:t>
            </w:r>
            <w:r w:rsidR="005E3D27">
              <w:rPr>
                <w:rFonts w:ascii="Calibri" w:eastAsia="Times New Roman" w:hAnsi="Calibri" w:cs="Calibri"/>
                <w:color w:val="000000"/>
                <w:lang w:eastAsia="es-AR"/>
              </w:rPr>
              <w:t>º</w:t>
            </w:r>
          </w:p>
        </w:tc>
        <w:tc>
          <w:tcPr>
            <w:tcW w:w="992" w:type="dxa"/>
            <w:shd w:val="clear" w:color="auto" w:fill="auto"/>
            <w:noWrap/>
            <w:vAlign w:val="bottom"/>
            <w:hideMark/>
          </w:tcPr>
          <w:p w14:paraId="6BB724CA" w14:textId="77777777" w:rsidR="00487BAC" w:rsidRPr="00487BAC" w:rsidRDefault="00487BAC" w:rsidP="0037052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12 años</w:t>
            </w:r>
          </w:p>
        </w:tc>
        <w:tc>
          <w:tcPr>
            <w:tcW w:w="1129" w:type="dxa"/>
            <w:vMerge w:val="restart"/>
            <w:shd w:val="clear" w:color="000000" w:fill="C6E0B4"/>
            <w:noWrap/>
            <w:vAlign w:val="center"/>
            <w:hideMark/>
          </w:tcPr>
          <w:p w14:paraId="6C0B4AF9" w14:textId="77777777" w:rsidR="00487BAC" w:rsidRPr="00487BAC" w:rsidRDefault="00487BAC" w:rsidP="00487BA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Educación Secundaria Básica</w:t>
            </w:r>
          </w:p>
        </w:tc>
        <w:tc>
          <w:tcPr>
            <w:tcW w:w="1324" w:type="dxa"/>
            <w:vMerge/>
            <w:vAlign w:val="center"/>
            <w:hideMark/>
          </w:tcPr>
          <w:p w14:paraId="08481A63"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053" w:type="dxa"/>
            <w:vMerge/>
            <w:vAlign w:val="center"/>
            <w:hideMark/>
          </w:tcPr>
          <w:p w14:paraId="5128F90B"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129" w:type="dxa"/>
            <w:vMerge/>
            <w:vAlign w:val="center"/>
            <w:hideMark/>
          </w:tcPr>
          <w:p w14:paraId="2BE6F3DD"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129" w:type="dxa"/>
            <w:vMerge w:val="restart"/>
            <w:shd w:val="clear" w:color="000000" w:fill="C6E0B4"/>
            <w:noWrap/>
            <w:vAlign w:val="center"/>
            <w:hideMark/>
          </w:tcPr>
          <w:p w14:paraId="56262918" w14:textId="77777777" w:rsidR="00487BAC" w:rsidRPr="00487BAC" w:rsidRDefault="00487BA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Educación Secundaria</w:t>
            </w:r>
          </w:p>
        </w:tc>
        <w:tc>
          <w:tcPr>
            <w:tcW w:w="1129" w:type="dxa"/>
            <w:vMerge w:val="restart"/>
            <w:shd w:val="clear" w:color="000000" w:fill="A9D08E"/>
            <w:noWrap/>
            <w:vAlign w:val="center"/>
            <w:hideMark/>
          </w:tcPr>
          <w:p w14:paraId="11036652" w14:textId="77777777" w:rsidR="00487BAC" w:rsidRPr="00487BAC" w:rsidRDefault="00487BA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Educación Secundaria</w:t>
            </w:r>
          </w:p>
        </w:tc>
        <w:tc>
          <w:tcPr>
            <w:tcW w:w="195" w:type="dxa"/>
            <w:vMerge w:val="restart"/>
            <w:shd w:val="clear" w:color="000000" w:fill="C6E0B4"/>
            <w:noWrap/>
            <w:vAlign w:val="center"/>
            <w:hideMark/>
          </w:tcPr>
          <w:p w14:paraId="4A792125" w14:textId="77777777" w:rsidR="00487BAC" w:rsidRPr="00487BAC" w:rsidRDefault="00487BA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Educación Secundaria Ciclo Básico</w:t>
            </w:r>
          </w:p>
        </w:tc>
      </w:tr>
      <w:tr w:rsidR="00487BAC" w:rsidRPr="00487BAC" w14:paraId="76636AB5" w14:textId="77777777" w:rsidTr="00487BAC">
        <w:trPr>
          <w:trHeight w:val="300"/>
          <w:jc w:val="center"/>
        </w:trPr>
        <w:tc>
          <w:tcPr>
            <w:tcW w:w="851" w:type="dxa"/>
            <w:shd w:val="clear" w:color="auto" w:fill="auto"/>
            <w:noWrap/>
            <w:vAlign w:val="bottom"/>
            <w:hideMark/>
          </w:tcPr>
          <w:p w14:paraId="303C6157" w14:textId="76A1B64C" w:rsidR="00487BAC" w:rsidRPr="00487BAC" w:rsidRDefault="00487BAC" w:rsidP="0037052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8</w:t>
            </w:r>
            <w:r w:rsidR="005E3D27">
              <w:rPr>
                <w:rFonts w:ascii="Calibri" w:eastAsia="Times New Roman" w:hAnsi="Calibri" w:cs="Calibri"/>
                <w:color w:val="000000"/>
                <w:lang w:eastAsia="es-AR"/>
              </w:rPr>
              <w:t>º</w:t>
            </w:r>
          </w:p>
        </w:tc>
        <w:tc>
          <w:tcPr>
            <w:tcW w:w="992" w:type="dxa"/>
            <w:shd w:val="clear" w:color="auto" w:fill="auto"/>
            <w:noWrap/>
            <w:vAlign w:val="bottom"/>
            <w:hideMark/>
          </w:tcPr>
          <w:p w14:paraId="176F0F24" w14:textId="77777777" w:rsidR="00487BAC" w:rsidRPr="00487BAC" w:rsidRDefault="00487BAC" w:rsidP="0037052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13 años</w:t>
            </w:r>
          </w:p>
        </w:tc>
        <w:tc>
          <w:tcPr>
            <w:tcW w:w="1129" w:type="dxa"/>
            <w:vMerge/>
            <w:vAlign w:val="center"/>
            <w:hideMark/>
          </w:tcPr>
          <w:p w14:paraId="1AA484F6"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324" w:type="dxa"/>
            <w:vMerge/>
            <w:vAlign w:val="center"/>
            <w:hideMark/>
          </w:tcPr>
          <w:p w14:paraId="348DA3A4"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053" w:type="dxa"/>
            <w:vMerge/>
            <w:vAlign w:val="center"/>
            <w:hideMark/>
          </w:tcPr>
          <w:p w14:paraId="38CB8EFD"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129" w:type="dxa"/>
            <w:vMerge/>
            <w:vAlign w:val="center"/>
            <w:hideMark/>
          </w:tcPr>
          <w:p w14:paraId="74395387"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129" w:type="dxa"/>
            <w:vMerge/>
            <w:vAlign w:val="center"/>
            <w:hideMark/>
          </w:tcPr>
          <w:p w14:paraId="56465728"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129" w:type="dxa"/>
            <w:vMerge/>
            <w:vAlign w:val="center"/>
            <w:hideMark/>
          </w:tcPr>
          <w:p w14:paraId="638A6FC6"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95" w:type="dxa"/>
            <w:vMerge/>
            <w:vAlign w:val="center"/>
            <w:hideMark/>
          </w:tcPr>
          <w:p w14:paraId="50EEDB64" w14:textId="77777777" w:rsidR="00487BAC" w:rsidRPr="00487BAC" w:rsidRDefault="00487BAC">
            <w:pPr>
              <w:spacing w:after="0" w:line="240" w:lineRule="auto"/>
              <w:jc w:val="center"/>
              <w:rPr>
                <w:rFonts w:ascii="Calibri" w:eastAsia="Times New Roman" w:hAnsi="Calibri" w:cs="Calibri"/>
                <w:color w:val="000000"/>
                <w:lang w:eastAsia="es-AR"/>
              </w:rPr>
            </w:pPr>
          </w:p>
        </w:tc>
      </w:tr>
      <w:tr w:rsidR="00487BAC" w:rsidRPr="00487BAC" w14:paraId="67CF54ED" w14:textId="77777777" w:rsidTr="00487BAC">
        <w:trPr>
          <w:trHeight w:val="300"/>
          <w:jc w:val="center"/>
        </w:trPr>
        <w:tc>
          <w:tcPr>
            <w:tcW w:w="851" w:type="dxa"/>
            <w:shd w:val="clear" w:color="auto" w:fill="auto"/>
            <w:noWrap/>
            <w:vAlign w:val="bottom"/>
            <w:hideMark/>
          </w:tcPr>
          <w:p w14:paraId="5F01AAB9" w14:textId="6A8E3730" w:rsidR="00487BAC" w:rsidRPr="00487BAC" w:rsidRDefault="00487BAC" w:rsidP="0037052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9</w:t>
            </w:r>
            <w:r w:rsidR="005E3D27">
              <w:rPr>
                <w:rFonts w:ascii="Calibri" w:eastAsia="Times New Roman" w:hAnsi="Calibri" w:cs="Calibri"/>
                <w:color w:val="000000"/>
                <w:lang w:eastAsia="es-AR"/>
              </w:rPr>
              <w:t>º</w:t>
            </w:r>
          </w:p>
        </w:tc>
        <w:tc>
          <w:tcPr>
            <w:tcW w:w="992" w:type="dxa"/>
            <w:shd w:val="clear" w:color="auto" w:fill="auto"/>
            <w:noWrap/>
            <w:vAlign w:val="bottom"/>
            <w:hideMark/>
          </w:tcPr>
          <w:p w14:paraId="5DFF568B" w14:textId="77777777" w:rsidR="00487BAC" w:rsidRPr="00487BAC" w:rsidRDefault="00487BAC" w:rsidP="0037052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14 años</w:t>
            </w:r>
          </w:p>
        </w:tc>
        <w:tc>
          <w:tcPr>
            <w:tcW w:w="1129" w:type="dxa"/>
            <w:vMerge/>
            <w:vAlign w:val="center"/>
            <w:hideMark/>
          </w:tcPr>
          <w:p w14:paraId="27A7FC72"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324" w:type="dxa"/>
            <w:vMerge/>
            <w:vAlign w:val="center"/>
            <w:hideMark/>
          </w:tcPr>
          <w:p w14:paraId="728C751B"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053" w:type="dxa"/>
            <w:vMerge w:val="restart"/>
            <w:shd w:val="clear" w:color="000000" w:fill="A9D08E"/>
            <w:noWrap/>
            <w:vAlign w:val="center"/>
            <w:hideMark/>
          </w:tcPr>
          <w:p w14:paraId="117588E5" w14:textId="77777777" w:rsidR="00487BAC" w:rsidRPr="00487BAC" w:rsidRDefault="00487BA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Educación Media</w:t>
            </w:r>
          </w:p>
        </w:tc>
        <w:tc>
          <w:tcPr>
            <w:tcW w:w="1129" w:type="dxa"/>
            <w:vMerge/>
            <w:vAlign w:val="center"/>
            <w:hideMark/>
          </w:tcPr>
          <w:p w14:paraId="651164DF"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129" w:type="dxa"/>
            <w:vMerge/>
            <w:vAlign w:val="center"/>
            <w:hideMark/>
          </w:tcPr>
          <w:p w14:paraId="6757BB3E"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129" w:type="dxa"/>
            <w:vMerge/>
            <w:vAlign w:val="center"/>
            <w:hideMark/>
          </w:tcPr>
          <w:p w14:paraId="2BB71982"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95" w:type="dxa"/>
            <w:vMerge/>
            <w:vAlign w:val="center"/>
            <w:hideMark/>
          </w:tcPr>
          <w:p w14:paraId="2A5A5DDB" w14:textId="77777777" w:rsidR="00487BAC" w:rsidRPr="00487BAC" w:rsidRDefault="00487BAC">
            <w:pPr>
              <w:spacing w:after="0" w:line="240" w:lineRule="auto"/>
              <w:jc w:val="center"/>
              <w:rPr>
                <w:rFonts w:ascii="Calibri" w:eastAsia="Times New Roman" w:hAnsi="Calibri" w:cs="Calibri"/>
                <w:color w:val="000000"/>
                <w:lang w:eastAsia="es-AR"/>
              </w:rPr>
            </w:pPr>
          </w:p>
        </w:tc>
      </w:tr>
      <w:tr w:rsidR="00487BAC" w:rsidRPr="00487BAC" w14:paraId="1288D419" w14:textId="77777777" w:rsidTr="00487BAC">
        <w:trPr>
          <w:trHeight w:val="300"/>
          <w:jc w:val="center"/>
        </w:trPr>
        <w:tc>
          <w:tcPr>
            <w:tcW w:w="851" w:type="dxa"/>
            <w:shd w:val="clear" w:color="auto" w:fill="auto"/>
            <w:noWrap/>
            <w:vAlign w:val="bottom"/>
            <w:hideMark/>
          </w:tcPr>
          <w:p w14:paraId="17F9F50C" w14:textId="23185BDB" w:rsidR="00487BAC" w:rsidRPr="00487BAC" w:rsidRDefault="00487BAC" w:rsidP="0037052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10</w:t>
            </w:r>
            <w:r w:rsidR="005E3D27">
              <w:rPr>
                <w:rFonts w:ascii="Calibri" w:eastAsia="Times New Roman" w:hAnsi="Calibri" w:cs="Calibri"/>
                <w:color w:val="000000"/>
                <w:lang w:eastAsia="es-AR"/>
              </w:rPr>
              <w:t>º</w:t>
            </w:r>
          </w:p>
        </w:tc>
        <w:tc>
          <w:tcPr>
            <w:tcW w:w="992" w:type="dxa"/>
            <w:shd w:val="clear" w:color="auto" w:fill="auto"/>
            <w:noWrap/>
            <w:vAlign w:val="bottom"/>
            <w:hideMark/>
          </w:tcPr>
          <w:p w14:paraId="6B3A84E1" w14:textId="77777777" w:rsidR="00487BAC" w:rsidRPr="00487BAC" w:rsidRDefault="00487BAC" w:rsidP="0037052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15 años</w:t>
            </w:r>
          </w:p>
        </w:tc>
        <w:tc>
          <w:tcPr>
            <w:tcW w:w="1129" w:type="dxa"/>
            <w:vMerge w:val="restart"/>
            <w:shd w:val="clear" w:color="000000" w:fill="A9D08E"/>
            <w:noWrap/>
            <w:vAlign w:val="center"/>
            <w:hideMark/>
          </w:tcPr>
          <w:p w14:paraId="3F089C6E" w14:textId="77777777" w:rsidR="00487BAC" w:rsidRPr="00487BAC" w:rsidRDefault="00487BAC" w:rsidP="00487BA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Educación Secundaria Orientada</w:t>
            </w:r>
          </w:p>
        </w:tc>
        <w:tc>
          <w:tcPr>
            <w:tcW w:w="1324" w:type="dxa"/>
            <w:vMerge w:val="restart"/>
            <w:shd w:val="clear" w:color="000000" w:fill="A9D08E"/>
            <w:noWrap/>
            <w:vAlign w:val="center"/>
            <w:hideMark/>
          </w:tcPr>
          <w:p w14:paraId="486608FE" w14:textId="77777777" w:rsidR="00487BAC" w:rsidRPr="00487BAC" w:rsidRDefault="00487BAC" w:rsidP="00487BA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Enseñanza Media</w:t>
            </w:r>
          </w:p>
        </w:tc>
        <w:tc>
          <w:tcPr>
            <w:tcW w:w="1053" w:type="dxa"/>
            <w:vMerge/>
            <w:vAlign w:val="center"/>
            <w:hideMark/>
          </w:tcPr>
          <w:p w14:paraId="0D73DABC"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129" w:type="dxa"/>
            <w:vMerge w:val="restart"/>
            <w:shd w:val="clear" w:color="000000" w:fill="A9D08E"/>
            <w:noWrap/>
            <w:vAlign w:val="center"/>
            <w:hideMark/>
          </w:tcPr>
          <w:p w14:paraId="309B0556" w14:textId="77777777" w:rsidR="00487BAC" w:rsidRPr="00487BAC" w:rsidRDefault="00487BA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Educación Media</w:t>
            </w:r>
          </w:p>
        </w:tc>
        <w:tc>
          <w:tcPr>
            <w:tcW w:w="1129" w:type="dxa"/>
            <w:vMerge w:val="restart"/>
            <w:shd w:val="clear" w:color="000000" w:fill="A9D08E"/>
            <w:noWrap/>
            <w:vAlign w:val="center"/>
            <w:hideMark/>
          </w:tcPr>
          <w:p w14:paraId="46288012" w14:textId="77777777" w:rsidR="00487BAC" w:rsidRPr="00487BAC" w:rsidRDefault="00487BA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Educación Media Superior</w:t>
            </w:r>
          </w:p>
        </w:tc>
        <w:tc>
          <w:tcPr>
            <w:tcW w:w="1129" w:type="dxa"/>
            <w:vMerge/>
            <w:vAlign w:val="center"/>
            <w:hideMark/>
          </w:tcPr>
          <w:p w14:paraId="1AC6057D" w14:textId="77777777" w:rsidR="00487BAC" w:rsidRPr="00487BAC" w:rsidRDefault="00487BAC">
            <w:pPr>
              <w:spacing w:after="0" w:line="240" w:lineRule="auto"/>
              <w:jc w:val="center"/>
              <w:rPr>
                <w:rFonts w:ascii="Calibri" w:eastAsia="Times New Roman" w:hAnsi="Calibri" w:cs="Calibri"/>
                <w:color w:val="000000"/>
                <w:lang w:eastAsia="es-AR"/>
              </w:rPr>
            </w:pPr>
          </w:p>
        </w:tc>
        <w:tc>
          <w:tcPr>
            <w:tcW w:w="195" w:type="dxa"/>
            <w:vMerge w:val="restart"/>
            <w:shd w:val="clear" w:color="000000" w:fill="A9D08E"/>
            <w:noWrap/>
            <w:vAlign w:val="center"/>
            <w:hideMark/>
          </w:tcPr>
          <w:p w14:paraId="39CD42CF" w14:textId="77777777" w:rsidR="00487BAC" w:rsidRPr="00487BAC" w:rsidRDefault="00487BAC">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Educación Secundaria Bachillerato</w:t>
            </w:r>
          </w:p>
        </w:tc>
      </w:tr>
      <w:tr w:rsidR="00487BAC" w:rsidRPr="00487BAC" w14:paraId="457BDB88" w14:textId="77777777" w:rsidTr="0037052C">
        <w:trPr>
          <w:trHeight w:val="300"/>
          <w:jc w:val="center"/>
        </w:trPr>
        <w:tc>
          <w:tcPr>
            <w:tcW w:w="851" w:type="dxa"/>
            <w:shd w:val="clear" w:color="auto" w:fill="auto"/>
            <w:noWrap/>
            <w:vAlign w:val="bottom"/>
            <w:hideMark/>
          </w:tcPr>
          <w:p w14:paraId="263D6ED8" w14:textId="1E6F3012" w:rsidR="00487BAC" w:rsidRPr="00487BAC" w:rsidRDefault="00487BAC" w:rsidP="00DD2D50">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11</w:t>
            </w:r>
            <w:r w:rsidR="005E3D27">
              <w:rPr>
                <w:rFonts w:ascii="Calibri" w:eastAsia="Times New Roman" w:hAnsi="Calibri" w:cs="Calibri"/>
                <w:color w:val="000000"/>
                <w:lang w:eastAsia="es-AR"/>
              </w:rPr>
              <w:t>º</w:t>
            </w:r>
          </w:p>
        </w:tc>
        <w:tc>
          <w:tcPr>
            <w:tcW w:w="992" w:type="dxa"/>
            <w:shd w:val="clear" w:color="auto" w:fill="auto"/>
            <w:noWrap/>
            <w:vAlign w:val="bottom"/>
            <w:hideMark/>
          </w:tcPr>
          <w:p w14:paraId="1DD20AF2" w14:textId="77777777" w:rsidR="00487BAC" w:rsidRPr="00487BAC" w:rsidRDefault="00487BAC" w:rsidP="0037052C">
            <w:pPr>
              <w:spacing w:after="0" w:line="240" w:lineRule="auto"/>
              <w:rPr>
                <w:rFonts w:ascii="Calibri" w:eastAsia="Times New Roman" w:hAnsi="Calibri" w:cs="Calibri"/>
                <w:color w:val="000000"/>
                <w:lang w:eastAsia="es-AR"/>
              </w:rPr>
            </w:pPr>
            <w:r w:rsidRPr="00487BAC">
              <w:rPr>
                <w:rFonts w:ascii="Calibri" w:eastAsia="Times New Roman" w:hAnsi="Calibri" w:cs="Calibri"/>
                <w:color w:val="000000"/>
                <w:lang w:eastAsia="es-AR"/>
              </w:rPr>
              <w:t>16 años</w:t>
            </w:r>
          </w:p>
        </w:tc>
        <w:tc>
          <w:tcPr>
            <w:tcW w:w="1129" w:type="dxa"/>
            <w:vMerge/>
            <w:vAlign w:val="center"/>
            <w:hideMark/>
          </w:tcPr>
          <w:p w14:paraId="1DFA9B6A" w14:textId="77777777" w:rsidR="00487BAC" w:rsidRPr="00487BAC" w:rsidRDefault="00487BAC" w:rsidP="0037052C">
            <w:pPr>
              <w:spacing w:after="0" w:line="240" w:lineRule="auto"/>
              <w:rPr>
                <w:rFonts w:ascii="Calibri" w:eastAsia="Times New Roman" w:hAnsi="Calibri" w:cs="Calibri"/>
                <w:color w:val="000000"/>
                <w:lang w:eastAsia="es-AR"/>
              </w:rPr>
            </w:pPr>
          </w:p>
        </w:tc>
        <w:tc>
          <w:tcPr>
            <w:tcW w:w="1324" w:type="dxa"/>
            <w:vMerge/>
            <w:vAlign w:val="center"/>
            <w:hideMark/>
          </w:tcPr>
          <w:p w14:paraId="3228FF82" w14:textId="77777777" w:rsidR="00487BAC" w:rsidRPr="00487BAC" w:rsidRDefault="00487BAC" w:rsidP="0037052C">
            <w:pPr>
              <w:spacing w:after="0" w:line="240" w:lineRule="auto"/>
              <w:rPr>
                <w:rFonts w:ascii="Calibri" w:eastAsia="Times New Roman" w:hAnsi="Calibri" w:cs="Calibri"/>
                <w:color w:val="000000"/>
                <w:lang w:eastAsia="es-AR"/>
              </w:rPr>
            </w:pPr>
          </w:p>
        </w:tc>
        <w:tc>
          <w:tcPr>
            <w:tcW w:w="1053" w:type="dxa"/>
            <w:vMerge/>
            <w:vAlign w:val="center"/>
            <w:hideMark/>
          </w:tcPr>
          <w:p w14:paraId="69DEFB6F" w14:textId="77777777" w:rsidR="00487BAC" w:rsidRPr="00487BAC" w:rsidRDefault="00487BAC" w:rsidP="0037052C">
            <w:pPr>
              <w:spacing w:after="0" w:line="240" w:lineRule="auto"/>
              <w:rPr>
                <w:rFonts w:ascii="Calibri" w:eastAsia="Times New Roman" w:hAnsi="Calibri" w:cs="Calibri"/>
                <w:color w:val="000000"/>
                <w:lang w:eastAsia="es-AR"/>
              </w:rPr>
            </w:pPr>
          </w:p>
        </w:tc>
        <w:tc>
          <w:tcPr>
            <w:tcW w:w="1129" w:type="dxa"/>
            <w:vMerge/>
            <w:vAlign w:val="center"/>
            <w:hideMark/>
          </w:tcPr>
          <w:p w14:paraId="2A60D008" w14:textId="77777777" w:rsidR="00487BAC" w:rsidRPr="00487BAC" w:rsidRDefault="00487BAC" w:rsidP="0037052C">
            <w:pPr>
              <w:spacing w:after="0" w:line="240" w:lineRule="auto"/>
              <w:rPr>
                <w:rFonts w:ascii="Calibri" w:eastAsia="Times New Roman" w:hAnsi="Calibri" w:cs="Calibri"/>
                <w:color w:val="000000"/>
                <w:lang w:eastAsia="es-AR"/>
              </w:rPr>
            </w:pPr>
          </w:p>
        </w:tc>
        <w:tc>
          <w:tcPr>
            <w:tcW w:w="1129" w:type="dxa"/>
            <w:vMerge/>
            <w:vAlign w:val="center"/>
            <w:hideMark/>
          </w:tcPr>
          <w:p w14:paraId="5F197C4D" w14:textId="77777777" w:rsidR="00487BAC" w:rsidRPr="00487BAC" w:rsidRDefault="00487BAC" w:rsidP="0037052C">
            <w:pPr>
              <w:spacing w:after="0" w:line="240" w:lineRule="auto"/>
              <w:rPr>
                <w:rFonts w:ascii="Calibri" w:eastAsia="Times New Roman" w:hAnsi="Calibri" w:cs="Calibri"/>
                <w:color w:val="000000"/>
                <w:lang w:eastAsia="es-AR"/>
              </w:rPr>
            </w:pPr>
          </w:p>
        </w:tc>
        <w:tc>
          <w:tcPr>
            <w:tcW w:w="1129" w:type="dxa"/>
            <w:vMerge/>
            <w:vAlign w:val="center"/>
            <w:hideMark/>
          </w:tcPr>
          <w:p w14:paraId="6FC2750E" w14:textId="77777777" w:rsidR="00487BAC" w:rsidRPr="00487BAC" w:rsidRDefault="00487BAC" w:rsidP="0037052C">
            <w:pPr>
              <w:spacing w:after="0" w:line="240" w:lineRule="auto"/>
              <w:rPr>
                <w:rFonts w:ascii="Calibri" w:eastAsia="Times New Roman" w:hAnsi="Calibri" w:cs="Calibri"/>
                <w:color w:val="000000"/>
                <w:lang w:eastAsia="es-AR"/>
              </w:rPr>
            </w:pPr>
          </w:p>
        </w:tc>
        <w:tc>
          <w:tcPr>
            <w:tcW w:w="195" w:type="dxa"/>
            <w:vMerge/>
            <w:vAlign w:val="center"/>
            <w:hideMark/>
          </w:tcPr>
          <w:p w14:paraId="1211872F" w14:textId="77777777" w:rsidR="00487BAC" w:rsidRPr="00487BAC" w:rsidRDefault="00487BAC" w:rsidP="0037052C">
            <w:pPr>
              <w:spacing w:after="0" w:line="240" w:lineRule="auto"/>
              <w:rPr>
                <w:rFonts w:ascii="Calibri" w:eastAsia="Times New Roman" w:hAnsi="Calibri" w:cs="Calibri"/>
                <w:color w:val="000000"/>
                <w:lang w:eastAsia="es-AR"/>
              </w:rPr>
            </w:pPr>
          </w:p>
        </w:tc>
      </w:tr>
      <w:tr w:rsidR="00487BAC" w:rsidRPr="00487BAC" w14:paraId="13981E04" w14:textId="77777777" w:rsidTr="0037052C">
        <w:trPr>
          <w:trHeight w:val="300"/>
          <w:jc w:val="center"/>
        </w:trPr>
        <w:tc>
          <w:tcPr>
            <w:tcW w:w="851" w:type="dxa"/>
            <w:shd w:val="clear" w:color="auto" w:fill="auto"/>
            <w:noWrap/>
            <w:vAlign w:val="bottom"/>
            <w:hideMark/>
          </w:tcPr>
          <w:p w14:paraId="3BA1D8DB" w14:textId="3BFFFA19" w:rsidR="00487BAC" w:rsidRPr="00487BAC" w:rsidRDefault="00487BAC" w:rsidP="00DD2D50">
            <w:pPr>
              <w:spacing w:after="0" w:line="240" w:lineRule="auto"/>
              <w:jc w:val="center"/>
              <w:rPr>
                <w:rFonts w:ascii="Calibri" w:eastAsia="Times New Roman" w:hAnsi="Calibri" w:cs="Calibri"/>
                <w:color w:val="000000"/>
                <w:lang w:eastAsia="es-AR"/>
              </w:rPr>
            </w:pPr>
            <w:r w:rsidRPr="00487BAC">
              <w:rPr>
                <w:rFonts w:ascii="Calibri" w:eastAsia="Times New Roman" w:hAnsi="Calibri" w:cs="Calibri"/>
                <w:color w:val="000000"/>
                <w:lang w:eastAsia="es-AR"/>
              </w:rPr>
              <w:t>12</w:t>
            </w:r>
            <w:r w:rsidR="005E3D27">
              <w:rPr>
                <w:rFonts w:ascii="Calibri" w:eastAsia="Times New Roman" w:hAnsi="Calibri" w:cs="Calibri"/>
                <w:color w:val="000000"/>
                <w:lang w:eastAsia="es-AR"/>
              </w:rPr>
              <w:t>º</w:t>
            </w:r>
          </w:p>
        </w:tc>
        <w:tc>
          <w:tcPr>
            <w:tcW w:w="992" w:type="dxa"/>
            <w:shd w:val="clear" w:color="auto" w:fill="auto"/>
            <w:noWrap/>
            <w:vAlign w:val="bottom"/>
            <w:hideMark/>
          </w:tcPr>
          <w:p w14:paraId="4B092B57" w14:textId="77777777" w:rsidR="00487BAC" w:rsidRPr="00487BAC" w:rsidRDefault="00487BAC" w:rsidP="0037052C">
            <w:pPr>
              <w:spacing w:after="0" w:line="240" w:lineRule="auto"/>
              <w:rPr>
                <w:rFonts w:ascii="Calibri" w:eastAsia="Times New Roman" w:hAnsi="Calibri" w:cs="Calibri"/>
                <w:color w:val="000000"/>
                <w:lang w:eastAsia="es-AR"/>
              </w:rPr>
            </w:pPr>
            <w:r w:rsidRPr="00487BAC">
              <w:rPr>
                <w:rFonts w:ascii="Calibri" w:eastAsia="Times New Roman" w:hAnsi="Calibri" w:cs="Calibri"/>
                <w:color w:val="000000"/>
                <w:lang w:eastAsia="es-AR"/>
              </w:rPr>
              <w:t>17 años</w:t>
            </w:r>
          </w:p>
        </w:tc>
        <w:tc>
          <w:tcPr>
            <w:tcW w:w="1129" w:type="dxa"/>
            <w:vMerge/>
            <w:vAlign w:val="center"/>
            <w:hideMark/>
          </w:tcPr>
          <w:p w14:paraId="39D08405" w14:textId="77777777" w:rsidR="00487BAC" w:rsidRPr="00487BAC" w:rsidRDefault="00487BAC" w:rsidP="0037052C">
            <w:pPr>
              <w:spacing w:after="0" w:line="240" w:lineRule="auto"/>
              <w:rPr>
                <w:rFonts w:ascii="Calibri" w:eastAsia="Times New Roman" w:hAnsi="Calibri" w:cs="Calibri"/>
                <w:color w:val="000000"/>
                <w:lang w:eastAsia="es-AR"/>
              </w:rPr>
            </w:pPr>
          </w:p>
        </w:tc>
        <w:tc>
          <w:tcPr>
            <w:tcW w:w="1324" w:type="dxa"/>
            <w:vMerge/>
            <w:vAlign w:val="center"/>
            <w:hideMark/>
          </w:tcPr>
          <w:p w14:paraId="0F657E60" w14:textId="77777777" w:rsidR="00487BAC" w:rsidRPr="00487BAC" w:rsidRDefault="00487BAC" w:rsidP="0037052C">
            <w:pPr>
              <w:spacing w:after="0" w:line="240" w:lineRule="auto"/>
              <w:rPr>
                <w:rFonts w:ascii="Calibri" w:eastAsia="Times New Roman" w:hAnsi="Calibri" w:cs="Calibri"/>
                <w:color w:val="000000"/>
                <w:lang w:eastAsia="es-AR"/>
              </w:rPr>
            </w:pPr>
          </w:p>
        </w:tc>
        <w:tc>
          <w:tcPr>
            <w:tcW w:w="1053" w:type="dxa"/>
            <w:vMerge/>
            <w:vAlign w:val="center"/>
            <w:hideMark/>
          </w:tcPr>
          <w:p w14:paraId="43ADD216" w14:textId="77777777" w:rsidR="00487BAC" w:rsidRPr="00487BAC" w:rsidRDefault="00487BAC" w:rsidP="0037052C">
            <w:pPr>
              <w:spacing w:after="0" w:line="240" w:lineRule="auto"/>
              <w:rPr>
                <w:rFonts w:ascii="Calibri" w:eastAsia="Times New Roman" w:hAnsi="Calibri" w:cs="Calibri"/>
                <w:color w:val="000000"/>
                <w:lang w:eastAsia="es-AR"/>
              </w:rPr>
            </w:pPr>
          </w:p>
        </w:tc>
        <w:tc>
          <w:tcPr>
            <w:tcW w:w="1129" w:type="dxa"/>
            <w:shd w:val="clear" w:color="auto" w:fill="auto"/>
            <w:noWrap/>
            <w:vAlign w:val="bottom"/>
            <w:hideMark/>
          </w:tcPr>
          <w:p w14:paraId="7E616C15" w14:textId="77777777" w:rsidR="00487BAC" w:rsidRPr="00487BAC" w:rsidRDefault="00487BAC" w:rsidP="0037052C">
            <w:pPr>
              <w:spacing w:after="0" w:line="240" w:lineRule="auto"/>
              <w:rPr>
                <w:rFonts w:ascii="Calibri" w:eastAsia="Times New Roman" w:hAnsi="Calibri" w:cs="Calibri"/>
                <w:color w:val="000000"/>
                <w:lang w:eastAsia="es-AR"/>
              </w:rPr>
            </w:pPr>
          </w:p>
        </w:tc>
        <w:tc>
          <w:tcPr>
            <w:tcW w:w="1129" w:type="dxa"/>
            <w:vMerge/>
            <w:vAlign w:val="center"/>
            <w:hideMark/>
          </w:tcPr>
          <w:p w14:paraId="7A7C5684" w14:textId="77777777" w:rsidR="00487BAC" w:rsidRPr="00487BAC" w:rsidRDefault="00487BAC" w:rsidP="0037052C">
            <w:pPr>
              <w:spacing w:after="0" w:line="240" w:lineRule="auto"/>
              <w:rPr>
                <w:rFonts w:ascii="Calibri" w:eastAsia="Times New Roman" w:hAnsi="Calibri" w:cs="Calibri"/>
                <w:color w:val="000000"/>
                <w:lang w:eastAsia="es-AR"/>
              </w:rPr>
            </w:pPr>
          </w:p>
        </w:tc>
        <w:tc>
          <w:tcPr>
            <w:tcW w:w="1129" w:type="dxa"/>
            <w:shd w:val="clear" w:color="auto" w:fill="auto"/>
            <w:noWrap/>
            <w:vAlign w:val="bottom"/>
            <w:hideMark/>
          </w:tcPr>
          <w:p w14:paraId="0F0FED95" w14:textId="77777777" w:rsidR="00487BAC" w:rsidRPr="00487BAC" w:rsidRDefault="00487BAC" w:rsidP="0037052C">
            <w:pPr>
              <w:spacing w:after="0" w:line="240" w:lineRule="auto"/>
              <w:rPr>
                <w:rFonts w:ascii="Times New Roman" w:eastAsia="Times New Roman" w:hAnsi="Times New Roman" w:cs="Times New Roman"/>
                <w:sz w:val="20"/>
                <w:szCs w:val="20"/>
                <w:lang w:eastAsia="es-AR"/>
              </w:rPr>
            </w:pPr>
          </w:p>
        </w:tc>
        <w:tc>
          <w:tcPr>
            <w:tcW w:w="195" w:type="dxa"/>
            <w:vMerge/>
            <w:vAlign w:val="center"/>
            <w:hideMark/>
          </w:tcPr>
          <w:p w14:paraId="711A28B2" w14:textId="77777777" w:rsidR="00487BAC" w:rsidRPr="00487BAC" w:rsidRDefault="00487BAC" w:rsidP="0037052C">
            <w:pPr>
              <w:spacing w:after="0" w:line="240" w:lineRule="auto"/>
              <w:rPr>
                <w:rFonts w:ascii="Calibri" w:eastAsia="Times New Roman" w:hAnsi="Calibri" w:cs="Calibri"/>
                <w:color w:val="000000"/>
                <w:lang w:eastAsia="es-AR"/>
              </w:rPr>
            </w:pPr>
          </w:p>
        </w:tc>
      </w:tr>
    </w:tbl>
    <w:p w14:paraId="4DC441EA" w14:textId="77777777" w:rsidR="00487BAC" w:rsidRDefault="00487BAC" w:rsidP="00487BAC">
      <w:pPr>
        <w:jc w:val="both"/>
      </w:pPr>
      <w:r>
        <w:t>Fuente: Elaboración propia</w:t>
      </w:r>
    </w:p>
    <w:p w14:paraId="6F4667C2" w14:textId="77777777" w:rsidR="00487BAC" w:rsidRDefault="00487BAC" w:rsidP="00FB3E2C">
      <w:pPr>
        <w:spacing w:line="480" w:lineRule="auto"/>
        <w:rPr>
          <w:rFonts w:ascii="Times New Roman" w:eastAsia="Calibri" w:hAnsi="Times New Roman" w:cs="Times New Roman"/>
          <w:b/>
          <w:sz w:val="24"/>
          <w:szCs w:val="24"/>
          <w:lang w:val="es-MX"/>
        </w:rPr>
      </w:pPr>
    </w:p>
    <w:p w14:paraId="0019CA8D" w14:textId="5CF11D53" w:rsidR="00ED7303" w:rsidRDefault="00576C9D" w:rsidP="00FB3E2C">
      <w:pPr>
        <w:spacing w:line="480" w:lineRule="auto"/>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Notas</w:t>
      </w:r>
    </w:p>
    <w:p w14:paraId="5CA2645D" w14:textId="63B68EEA" w:rsidR="00576C9D" w:rsidRDefault="00576C9D" w:rsidP="00576C9D">
      <w:pPr>
        <w:spacing w:line="276" w:lineRule="auto"/>
      </w:pPr>
      <w:r w:rsidRPr="00576C9D">
        <w:rPr>
          <w:rFonts w:ascii="Times New Roman" w:eastAsia="Calibri" w:hAnsi="Times New Roman" w:cs="Times New Roman"/>
          <w:sz w:val="24"/>
          <w:szCs w:val="24"/>
          <w:vertAlign w:val="superscript"/>
          <w:lang w:val="es-MX"/>
        </w:rPr>
        <w:t>1</w:t>
      </w:r>
      <w:r w:rsidRPr="00576C9D">
        <w:t xml:space="preserve"> </w:t>
      </w:r>
      <w:r>
        <w:t>Sólo Uruguay no tuvo evaluaciones nacionales durante este período.</w:t>
      </w:r>
    </w:p>
    <w:p w14:paraId="5253A822" w14:textId="77777777" w:rsidR="003671FC" w:rsidRPr="003671FC" w:rsidRDefault="003671FC" w:rsidP="003671FC">
      <w:pPr>
        <w:pStyle w:val="Textonotapie"/>
        <w:jc w:val="both"/>
        <w:rPr>
          <w:lang w:val="es-ES"/>
        </w:rPr>
      </w:pPr>
      <w:r>
        <w:rPr>
          <w:vertAlign w:val="superscript"/>
        </w:rPr>
        <w:t xml:space="preserve">2 </w:t>
      </w:r>
      <w:r>
        <w:rPr>
          <w:lang w:val="es-ES"/>
        </w:rPr>
        <w:t>L</w:t>
      </w:r>
      <w:r w:rsidRPr="003671FC">
        <w:rPr>
          <w:sz w:val="22"/>
          <w:szCs w:val="22"/>
        </w:rPr>
        <w:t>a OECD incluye en el informe de PISA 2015 (OECD, 2016a) los resultados de las pruebas 2006 a 2012 calculados en base a la metodología utilizada en 2015 (referidos en este documento como “resultados re-escalados”. Utiliza esta información para realizar estimaciones del impacto del cambio de metodología. Sin embargo, estas estimaciones son globales y no se detiene a analizar el caso de América Latina.</w:t>
      </w:r>
    </w:p>
    <w:p w14:paraId="6E6608F3" w14:textId="77777777" w:rsidR="003671FC" w:rsidRDefault="003671FC" w:rsidP="00576C9D">
      <w:pPr>
        <w:spacing w:line="276" w:lineRule="auto"/>
        <w:rPr>
          <w:vertAlign w:val="superscript"/>
          <w:lang w:val="es-ES"/>
        </w:rPr>
      </w:pPr>
    </w:p>
    <w:p w14:paraId="47E199E6" w14:textId="433138EF" w:rsidR="00576C9D" w:rsidRDefault="003671FC" w:rsidP="00576C9D">
      <w:pPr>
        <w:spacing w:line="276" w:lineRule="auto"/>
      </w:pPr>
      <w:r>
        <w:rPr>
          <w:vertAlign w:val="superscript"/>
        </w:rPr>
        <w:t>3</w:t>
      </w:r>
      <w:r w:rsidRPr="00576C9D">
        <w:rPr>
          <w:vertAlign w:val="superscript"/>
        </w:rPr>
        <w:t xml:space="preserve"> </w:t>
      </w:r>
      <w:r w:rsidR="00576C9D" w:rsidRPr="00364551">
        <w:t xml:space="preserve">Los resultados de Argentina de PISA corresponden al período 2006 – 2012, debido a </w:t>
      </w:r>
      <w:r w:rsidR="00576C9D">
        <w:t xml:space="preserve">que </w:t>
      </w:r>
      <w:r w:rsidR="00576C9D" w:rsidRPr="00364551">
        <w:t>la baja cantidad de estudiantes representados en la muestra de 2015</w:t>
      </w:r>
      <w:r w:rsidR="00576C9D">
        <w:t xml:space="preserve"> hace que sus resultados no sean comparables.</w:t>
      </w:r>
    </w:p>
    <w:p w14:paraId="6D9580D8" w14:textId="5262073C" w:rsidR="00576C9D" w:rsidRPr="00576C9D" w:rsidRDefault="003671FC" w:rsidP="00576C9D">
      <w:pPr>
        <w:spacing w:line="276" w:lineRule="auto"/>
        <w:rPr>
          <w:rFonts w:ascii="Times New Roman" w:eastAsia="Calibri" w:hAnsi="Times New Roman" w:cs="Times New Roman"/>
          <w:sz w:val="24"/>
          <w:szCs w:val="24"/>
          <w:vertAlign w:val="superscript"/>
          <w:lang w:val="es-MX"/>
        </w:rPr>
      </w:pPr>
      <w:r>
        <w:rPr>
          <w:rFonts w:ascii="Times New Roman" w:eastAsia="Calibri" w:hAnsi="Times New Roman" w:cs="Times New Roman"/>
          <w:sz w:val="24"/>
          <w:szCs w:val="24"/>
          <w:vertAlign w:val="superscript"/>
          <w:lang w:val="es-MX"/>
        </w:rPr>
        <w:t xml:space="preserve">4 </w:t>
      </w:r>
      <w:hyperlink r:id="rId30" w:history="1">
        <w:r w:rsidR="00576C9D" w:rsidRPr="00EE0EBF">
          <w:rPr>
            <w:rStyle w:val="Hipervnculo"/>
          </w:rPr>
          <w:t>https://www.elpais.com.co/colombia/santos-destaca-mejora-en-pruebas-pisa-y-dice-que-debemos-sentirnos-orgullosos-de-resultados.html</w:t>
        </w:r>
      </w:hyperlink>
    </w:p>
    <w:p w14:paraId="1934802A" w14:textId="77777777" w:rsidR="00576C9D" w:rsidRDefault="00576C9D" w:rsidP="007F41C5">
      <w:pPr>
        <w:spacing w:line="480" w:lineRule="auto"/>
        <w:rPr>
          <w:rFonts w:ascii="Times New Roman" w:eastAsia="Calibri" w:hAnsi="Times New Roman" w:cs="Times New Roman"/>
          <w:b/>
          <w:sz w:val="24"/>
          <w:szCs w:val="24"/>
          <w:lang w:val="es-ES"/>
        </w:rPr>
      </w:pPr>
    </w:p>
    <w:p w14:paraId="24B1108E" w14:textId="77777777" w:rsidR="00D23F80" w:rsidRDefault="00D23F80">
      <w:pP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br w:type="page"/>
      </w:r>
    </w:p>
    <w:p w14:paraId="0BFB14A7" w14:textId="4A68772F" w:rsidR="007F41C5" w:rsidRPr="00D33852" w:rsidRDefault="000E7E09" w:rsidP="007F41C5">
      <w:pPr>
        <w:spacing w:line="480" w:lineRule="auto"/>
        <w:rPr>
          <w:rFonts w:ascii="Times New Roman" w:eastAsia="Calibri" w:hAnsi="Times New Roman" w:cs="Times New Roman"/>
          <w:b/>
          <w:sz w:val="24"/>
          <w:szCs w:val="24"/>
          <w:lang w:val="es-ES"/>
        </w:rPr>
      </w:pPr>
      <w:r w:rsidRPr="00576C9D">
        <w:rPr>
          <w:rFonts w:ascii="Times New Roman" w:eastAsia="Calibri" w:hAnsi="Times New Roman" w:cs="Times New Roman"/>
          <w:b/>
          <w:sz w:val="24"/>
          <w:szCs w:val="24"/>
          <w:lang w:val="es-ES"/>
        </w:rPr>
        <w:lastRenderedPageBreak/>
        <w:t>Referencias Bibliográficas</w:t>
      </w:r>
    </w:p>
    <w:p w14:paraId="79F90366" w14:textId="77777777" w:rsidR="00DB514E" w:rsidRDefault="00DB514E" w:rsidP="005F3DFA">
      <w:pPr>
        <w:spacing w:before="100" w:beforeAutospacing="1" w:after="100" w:afterAutospacing="1" w:line="276" w:lineRule="auto"/>
        <w:rPr>
          <w:rFonts w:ascii="Times New Roman" w:eastAsia="MS Mincho" w:hAnsi="Times New Roman" w:cs="Times New Roman"/>
          <w:sz w:val="24"/>
          <w:szCs w:val="24"/>
          <w:lang w:val="en-US" w:eastAsia="es-ES"/>
        </w:rPr>
      </w:pPr>
      <w:r w:rsidRPr="00CB732A">
        <w:rPr>
          <w:rFonts w:ascii="Times New Roman" w:eastAsia="MS Mincho" w:hAnsi="Times New Roman" w:cs="Times New Roman"/>
          <w:sz w:val="24"/>
          <w:szCs w:val="24"/>
          <w:lang w:val="es-ES" w:eastAsia="es-ES"/>
        </w:rPr>
        <w:t xml:space="preserve">Alexander, R. (2001). Culture and Pedagogy. </w:t>
      </w:r>
      <w:r w:rsidRPr="00CB732A">
        <w:rPr>
          <w:rFonts w:ascii="Times New Roman" w:eastAsia="MS Mincho" w:hAnsi="Times New Roman" w:cs="Times New Roman"/>
          <w:sz w:val="24"/>
          <w:szCs w:val="24"/>
          <w:lang w:val="en-US" w:eastAsia="es-ES"/>
        </w:rPr>
        <w:t>International Comparisons in Primary Education. Londres: Blackwell.</w:t>
      </w:r>
    </w:p>
    <w:p w14:paraId="192AD812" w14:textId="77793549" w:rsidR="005F3DFA" w:rsidRPr="005F3DFA" w:rsidRDefault="00CB732A" w:rsidP="005F3DFA">
      <w:pPr>
        <w:spacing w:before="100" w:beforeAutospacing="1" w:after="100" w:afterAutospacing="1" w:line="276" w:lineRule="auto"/>
        <w:rPr>
          <w:rFonts w:ascii="Times New Roman" w:eastAsia="MS Mincho" w:hAnsi="Times New Roman" w:cs="Times New Roman"/>
          <w:sz w:val="24"/>
          <w:szCs w:val="24"/>
          <w:lang w:val="en-US" w:eastAsia="es-ES"/>
        </w:rPr>
      </w:pPr>
      <w:r w:rsidRPr="00CB732A">
        <w:rPr>
          <w:rFonts w:ascii="Times New Roman" w:eastAsia="MS Mincho" w:hAnsi="Times New Roman" w:cs="Times New Roman"/>
          <w:sz w:val="24"/>
          <w:szCs w:val="24"/>
          <w:lang w:val="en-US" w:eastAsia="es-ES"/>
        </w:rPr>
        <w:t>Ball, S.J.</w:t>
      </w:r>
      <w:r w:rsidR="00E83C73" w:rsidRPr="00CB732A">
        <w:rPr>
          <w:rFonts w:ascii="Times New Roman" w:eastAsia="MS Mincho" w:hAnsi="Times New Roman" w:cs="Times New Roman"/>
          <w:sz w:val="24"/>
          <w:szCs w:val="24"/>
          <w:lang w:val="en-US" w:eastAsia="es-ES"/>
        </w:rPr>
        <w:t xml:space="preserve"> </w:t>
      </w:r>
      <w:r w:rsidRPr="00CB732A">
        <w:rPr>
          <w:rFonts w:ascii="Times New Roman" w:eastAsia="MS Mincho" w:hAnsi="Times New Roman" w:cs="Times New Roman"/>
          <w:sz w:val="24"/>
          <w:szCs w:val="24"/>
          <w:lang w:val="en-US" w:eastAsia="es-ES"/>
        </w:rPr>
        <w:t>(</w:t>
      </w:r>
      <w:r w:rsidR="00E83C73" w:rsidRPr="00CB732A">
        <w:rPr>
          <w:rFonts w:ascii="Times New Roman" w:eastAsia="MS Mincho" w:hAnsi="Times New Roman" w:cs="Times New Roman"/>
          <w:sz w:val="24"/>
          <w:szCs w:val="24"/>
          <w:lang w:val="en-US" w:eastAsia="es-ES"/>
        </w:rPr>
        <w:t>2003</w:t>
      </w:r>
      <w:r w:rsidRPr="00CB732A">
        <w:rPr>
          <w:rFonts w:ascii="Times New Roman" w:eastAsia="MS Mincho" w:hAnsi="Times New Roman" w:cs="Times New Roman"/>
          <w:sz w:val="24"/>
          <w:szCs w:val="24"/>
          <w:lang w:val="en-US" w:eastAsia="es-ES"/>
        </w:rPr>
        <w:t xml:space="preserve">). </w:t>
      </w:r>
      <w:r w:rsidR="00E83C73" w:rsidRPr="00CB732A">
        <w:rPr>
          <w:rFonts w:ascii="Times New Roman" w:eastAsia="MS Mincho" w:hAnsi="Times New Roman" w:cs="Times New Roman"/>
          <w:sz w:val="24"/>
          <w:szCs w:val="24"/>
          <w:lang w:val="en-US" w:eastAsia="es-ES"/>
        </w:rPr>
        <w:t>The teacher's soul an</w:t>
      </w:r>
      <w:r w:rsidRPr="00CB732A">
        <w:rPr>
          <w:rFonts w:ascii="Times New Roman" w:eastAsia="MS Mincho" w:hAnsi="Times New Roman" w:cs="Times New Roman"/>
          <w:sz w:val="24"/>
          <w:szCs w:val="24"/>
          <w:lang w:val="en-US" w:eastAsia="es-ES"/>
        </w:rPr>
        <w:t>d the terrors of performativity</w:t>
      </w:r>
      <w:r w:rsidR="00E83C73" w:rsidRPr="00CB732A">
        <w:rPr>
          <w:rFonts w:ascii="Times New Roman" w:eastAsia="MS Mincho" w:hAnsi="Times New Roman" w:cs="Times New Roman"/>
          <w:sz w:val="24"/>
          <w:szCs w:val="24"/>
          <w:lang w:val="en-US" w:eastAsia="es-ES"/>
        </w:rPr>
        <w:t xml:space="preserve">. </w:t>
      </w:r>
      <w:r w:rsidR="00E83C73" w:rsidRPr="00CB732A">
        <w:rPr>
          <w:rFonts w:ascii="Times New Roman" w:eastAsia="MS Mincho" w:hAnsi="Times New Roman" w:cs="Times New Roman"/>
          <w:i/>
          <w:sz w:val="24"/>
          <w:szCs w:val="24"/>
          <w:lang w:val="en-US" w:eastAsia="es-ES"/>
        </w:rPr>
        <w:t>Journal of Education Policy</w:t>
      </w:r>
      <w:r w:rsidR="00E83C73" w:rsidRPr="00CB732A">
        <w:rPr>
          <w:rFonts w:ascii="Times New Roman" w:eastAsia="MS Mincho" w:hAnsi="Times New Roman" w:cs="Times New Roman"/>
          <w:sz w:val="24"/>
          <w:szCs w:val="24"/>
          <w:lang w:val="en-US" w:eastAsia="es-ES"/>
        </w:rPr>
        <w:t>, no. 18</w:t>
      </w:r>
      <w:r w:rsidR="00615A03">
        <w:rPr>
          <w:rFonts w:ascii="Times New Roman" w:eastAsia="MS Mincho" w:hAnsi="Times New Roman" w:cs="Times New Roman"/>
          <w:sz w:val="24"/>
          <w:szCs w:val="24"/>
          <w:lang w:val="en-US" w:eastAsia="es-ES"/>
        </w:rPr>
        <w:t>,</w:t>
      </w:r>
      <w:r w:rsidR="00E83C73" w:rsidRPr="00CB732A">
        <w:rPr>
          <w:rFonts w:ascii="Times New Roman" w:eastAsia="MS Mincho" w:hAnsi="Times New Roman" w:cs="Times New Roman"/>
          <w:sz w:val="24"/>
          <w:szCs w:val="24"/>
          <w:lang w:val="en-US" w:eastAsia="es-ES"/>
        </w:rPr>
        <w:t xml:space="preserve"> 215-228</w:t>
      </w:r>
      <w:r w:rsidR="00615A03">
        <w:rPr>
          <w:rFonts w:ascii="Times New Roman" w:eastAsia="MS Mincho" w:hAnsi="Times New Roman" w:cs="Times New Roman"/>
          <w:sz w:val="24"/>
          <w:szCs w:val="24"/>
          <w:lang w:val="en-US" w:eastAsia="es-ES"/>
        </w:rPr>
        <w:t>, DOI: 10.1080/0268093022000043065</w:t>
      </w:r>
      <w:r w:rsidR="005F3DFA" w:rsidRPr="005F3DFA">
        <w:rPr>
          <w:rFonts w:ascii="Times New Roman" w:eastAsia="MS Mincho" w:hAnsi="Times New Roman" w:cs="Times New Roman"/>
          <w:sz w:val="24"/>
          <w:szCs w:val="24"/>
          <w:lang w:val="en-US" w:eastAsia="es-ES"/>
        </w:rPr>
        <w:t xml:space="preserve">Berliner, D. (2011). Rational responses to high stakes testing: the case of curriculum narrowing and the harm that follows. </w:t>
      </w:r>
      <w:r w:rsidR="005F3DFA" w:rsidRPr="005F3DFA">
        <w:rPr>
          <w:rFonts w:ascii="Times New Roman" w:eastAsia="MS Mincho" w:hAnsi="Times New Roman" w:cs="Times New Roman"/>
          <w:i/>
          <w:sz w:val="24"/>
          <w:szCs w:val="24"/>
          <w:lang w:val="en-US" w:eastAsia="es-ES"/>
        </w:rPr>
        <w:t>Cambridge Journal of Education</w:t>
      </w:r>
      <w:r w:rsidR="005F3DFA" w:rsidRPr="005F3DFA">
        <w:rPr>
          <w:rFonts w:ascii="Times New Roman" w:eastAsia="MS Mincho" w:hAnsi="Times New Roman" w:cs="Times New Roman"/>
          <w:sz w:val="24"/>
          <w:szCs w:val="24"/>
          <w:lang w:val="en-US" w:eastAsia="es-ES"/>
        </w:rPr>
        <w:t>, 41, 287-302</w:t>
      </w:r>
      <w:r w:rsidR="00615A03">
        <w:rPr>
          <w:rFonts w:ascii="Times New Roman" w:eastAsia="MS Mincho" w:hAnsi="Times New Roman" w:cs="Times New Roman"/>
          <w:sz w:val="24"/>
          <w:szCs w:val="24"/>
          <w:lang w:val="en-US" w:eastAsia="es-ES"/>
        </w:rPr>
        <w:t>,</w:t>
      </w:r>
      <w:r w:rsidR="005F3DFA" w:rsidRPr="005F3DFA">
        <w:rPr>
          <w:rFonts w:ascii="Times New Roman" w:eastAsia="MS Mincho" w:hAnsi="Times New Roman" w:cs="Times New Roman"/>
          <w:sz w:val="24"/>
          <w:szCs w:val="24"/>
          <w:lang w:val="en-US" w:eastAsia="es-ES"/>
        </w:rPr>
        <w:t xml:space="preserve"> DOI:10.1080/0305764X.2011.607151.</w:t>
      </w:r>
    </w:p>
    <w:p w14:paraId="1BAFD9E5" w14:textId="761C7E1A" w:rsidR="005F3DFA" w:rsidRPr="005F3DFA" w:rsidRDefault="005F3DFA" w:rsidP="005F3DFA">
      <w:pPr>
        <w:spacing w:before="100" w:beforeAutospacing="1" w:after="100" w:afterAutospacing="1" w:line="276" w:lineRule="auto"/>
        <w:rPr>
          <w:rFonts w:ascii="Times New Roman" w:eastAsia="Times New Roman" w:hAnsi="Times New Roman" w:cs="Times New Roman"/>
          <w:sz w:val="24"/>
          <w:szCs w:val="24"/>
          <w:lang w:eastAsia="es-ES"/>
        </w:rPr>
      </w:pPr>
      <w:r w:rsidRPr="005F3DFA">
        <w:rPr>
          <w:rFonts w:ascii="Times New Roman" w:eastAsia="Times New Roman" w:hAnsi="Times New Roman" w:cs="Times New Roman"/>
          <w:sz w:val="24"/>
          <w:szCs w:val="24"/>
          <w:lang w:val="en-US" w:eastAsia="es-ES"/>
        </w:rPr>
        <w:t xml:space="preserve">Bos, M.S., Elías, A., Vegas, E. </w:t>
      </w:r>
      <w:r w:rsidR="00073449">
        <w:rPr>
          <w:rFonts w:ascii="Times New Roman" w:eastAsia="Times New Roman" w:hAnsi="Times New Roman" w:cs="Times New Roman"/>
          <w:sz w:val="24"/>
          <w:szCs w:val="24"/>
          <w:lang w:val="en-US" w:eastAsia="es-ES"/>
        </w:rPr>
        <w:t>y</w:t>
      </w:r>
      <w:r w:rsidRPr="005F3DFA">
        <w:rPr>
          <w:rFonts w:ascii="Times New Roman" w:eastAsia="Times New Roman" w:hAnsi="Times New Roman" w:cs="Times New Roman"/>
          <w:sz w:val="24"/>
          <w:szCs w:val="24"/>
          <w:lang w:val="en-US" w:eastAsia="es-ES"/>
        </w:rPr>
        <w:t xml:space="preserve"> Zoido, P. (2016). </w:t>
      </w:r>
      <w:r w:rsidRPr="005F3DFA">
        <w:rPr>
          <w:rFonts w:ascii="Times New Roman" w:eastAsia="Times New Roman" w:hAnsi="Times New Roman" w:cs="Times New Roman"/>
          <w:sz w:val="24"/>
          <w:szCs w:val="24"/>
          <w:lang w:eastAsia="es-ES"/>
        </w:rPr>
        <w:t>PISA: América Latina y el Caribe. ¿Cuánto mejoró la región? [Nota 2, Banco Interamicano de Desarrollo, Centro de Información para la mejora de los aprendizajes].</w:t>
      </w:r>
      <w:r w:rsidR="00073449">
        <w:rPr>
          <w:rFonts w:ascii="Times New Roman" w:eastAsia="Times New Roman" w:hAnsi="Times New Roman" w:cs="Times New Roman"/>
          <w:sz w:val="24"/>
          <w:szCs w:val="24"/>
          <w:lang w:eastAsia="es-ES"/>
        </w:rPr>
        <w:t xml:space="preserve"> </w:t>
      </w:r>
      <w:r w:rsidR="00615A03">
        <w:rPr>
          <w:rFonts w:ascii="Times New Roman" w:eastAsia="Times New Roman" w:hAnsi="Times New Roman" w:cs="Times New Roman"/>
          <w:sz w:val="24"/>
          <w:szCs w:val="24"/>
          <w:lang w:eastAsia="es-ES"/>
        </w:rPr>
        <w:t xml:space="preserve">Recuperado el </w:t>
      </w:r>
      <w:r w:rsidR="00D244C3">
        <w:rPr>
          <w:rFonts w:ascii="Times New Roman" w:eastAsia="Times New Roman" w:hAnsi="Times New Roman" w:cs="Times New Roman"/>
          <w:sz w:val="24"/>
          <w:szCs w:val="24"/>
          <w:lang w:eastAsia="es-ES"/>
        </w:rPr>
        <w:t>10/10/2018</w:t>
      </w:r>
      <w:r w:rsidR="00615A03">
        <w:rPr>
          <w:rFonts w:ascii="Times New Roman" w:eastAsia="Times New Roman" w:hAnsi="Times New Roman" w:cs="Times New Roman"/>
          <w:sz w:val="24"/>
          <w:szCs w:val="24"/>
          <w:lang w:eastAsia="es-ES"/>
        </w:rPr>
        <w:t>, de</w:t>
      </w:r>
      <w:r w:rsidR="00073449">
        <w:rPr>
          <w:rFonts w:ascii="Times New Roman" w:eastAsia="Times New Roman" w:hAnsi="Times New Roman" w:cs="Times New Roman"/>
          <w:sz w:val="24"/>
          <w:szCs w:val="24"/>
          <w:lang w:eastAsia="es-ES"/>
        </w:rPr>
        <w:t xml:space="preserve"> </w:t>
      </w:r>
      <w:hyperlink r:id="rId31" w:history="1">
        <w:r w:rsidRPr="005F3DFA">
          <w:rPr>
            <w:rFonts w:ascii="Times New Roman" w:eastAsia="Times New Roman" w:hAnsi="Times New Roman" w:cs="Times New Roman"/>
            <w:color w:val="0000FF"/>
            <w:sz w:val="24"/>
            <w:szCs w:val="24"/>
            <w:u w:val="single"/>
            <w:lang w:eastAsia="es-ES"/>
          </w:rPr>
          <w:t>https://publications.iadb.org/bitstream/handle/11319/7992/America-Latina-en-PISA-2015-Cuanto-mejoro-la-region.pdf?sequence=4</w:t>
        </w:r>
      </w:hyperlink>
    </w:p>
    <w:p w14:paraId="3DF67687" w14:textId="77777777" w:rsidR="005F3DFA" w:rsidRPr="005F3DFA" w:rsidRDefault="005F3DFA" w:rsidP="005F3DFA">
      <w:pPr>
        <w:spacing w:before="100" w:beforeAutospacing="1" w:after="100" w:afterAutospacing="1" w:line="276" w:lineRule="auto"/>
        <w:rPr>
          <w:rFonts w:ascii="Times New Roman" w:eastAsia="MS Mincho" w:hAnsi="Times New Roman" w:cs="Times New Roman"/>
          <w:sz w:val="24"/>
          <w:szCs w:val="24"/>
          <w:lang w:val="en-US" w:eastAsia="es-ES"/>
        </w:rPr>
      </w:pPr>
      <w:r w:rsidRPr="00FA7797">
        <w:rPr>
          <w:rFonts w:ascii="Times New Roman" w:eastAsia="MS Mincho" w:hAnsi="Times New Roman" w:cs="Times New Roman"/>
          <w:sz w:val="24"/>
          <w:szCs w:val="24"/>
          <w:lang w:val="en-US" w:eastAsia="es-ES"/>
        </w:rPr>
        <w:t xml:space="preserve">Carnoy, M. (2007). </w:t>
      </w:r>
      <w:r w:rsidRPr="005F3DFA">
        <w:rPr>
          <w:rFonts w:ascii="Times New Roman" w:eastAsia="MS Mincho" w:hAnsi="Times New Roman" w:cs="Times New Roman"/>
          <w:sz w:val="24"/>
          <w:szCs w:val="24"/>
          <w:lang w:val="en-US" w:eastAsia="es-ES"/>
        </w:rPr>
        <w:t>Cuba’s Academic Advantage. Stanford: Stanford University Press.</w:t>
      </w:r>
    </w:p>
    <w:p w14:paraId="332DE6BF" w14:textId="6BA5D05E" w:rsidR="005F3DFA" w:rsidRPr="006237DE" w:rsidRDefault="005F3DFA" w:rsidP="005F3DFA">
      <w:pPr>
        <w:spacing w:before="100" w:beforeAutospacing="1" w:after="100" w:afterAutospacing="1" w:line="276" w:lineRule="auto"/>
        <w:rPr>
          <w:rFonts w:ascii="Times New Roman" w:eastAsia="Calibri" w:hAnsi="Times New Roman" w:cs="Times New Roman"/>
          <w:sz w:val="24"/>
          <w:szCs w:val="24"/>
          <w:lang w:val="en-US" w:eastAsia="es-ES"/>
        </w:rPr>
      </w:pPr>
      <w:r w:rsidRPr="00FA7797">
        <w:rPr>
          <w:rFonts w:ascii="Times New Roman" w:eastAsia="Calibri" w:hAnsi="Times New Roman" w:cs="Times New Roman"/>
          <w:sz w:val="24"/>
          <w:szCs w:val="24"/>
          <w:lang w:val="en-US" w:eastAsia="es-ES"/>
        </w:rPr>
        <w:t xml:space="preserve">Carnoy, M., Khavenson, T., Fonseca, I., Costa, L. </w:t>
      </w:r>
      <w:r w:rsidR="00073449">
        <w:rPr>
          <w:rFonts w:ascii="Times New Roman" w:eastAsia="Calibri" w:hAnsi="Times New Roman" w:cs="Times New Roman"/>
          <w:sz w:val="24"/>
          <w:szCs w:val="24"/>
          <w:lang w:val="en-US" w:eastAsia="es-ES"/>
        </w:rPr>
        <w:t>y</w:t>
      </w:r>
      <w:r w:rsidRPr="00FA7797">
        <w:rPr>
          <w:rFonts w:ascii="Times New Roman" w:eastAsia="Calibri" w:hAnsi="Times New Roman" w:cs="Times New Roman"/>
          <w:sz w:val="24"/>
          <w:szCs w:val="24"/>
          <w:lang w:val="en-US" w:eastAsia="es-ES"/>
        </w:rPr>
        <w:t xml:space="preserve"> Marotta, L. (2015). </w:t>
      </w:r>
      <w:r w:rsidRPr="00CB732A">
        <w:rPr>
          <w:rFonts w:ascii="Times New Roman" w:eastAsia="Calibri" w:hAnsi="Times New Roman" w:cs="Times New Roman"/>
          <w:sz w:val="24"/>
          <w:szCs w:val="24"/>
          <w:lang w:val="en-US" w:eastAsia="es-ES"/>
        </w:rPr>
        <w:t xml:space="preserve">Is Brazilian education improving? Evidence from PISA and SAEB. </w:t>
      </w:r>
      <w:r w:rsidRPr="00CB732A">
        <w:rPr>
          <w:rFonts w:ascii="Times New Roman" w:eastAsia="Calibri" w:hAnsi="Times New Roman" w:cs="Times New Roman"/>
          <w:i/>
          <w:sz w:val="24"/>
          <w:szCs w:val="24"/>
          <w:lang w:val="en-US" w:eastAsia="es-ES"/>
        </w:rPr>
        <w:t>Cadernos de Pesquisa</w:t>
      </w:r>
      <w:r w:rsidRPr="00CB732A">
        <w:rPr>
          <w:rFonts w:ascii="Times New Roman" w:eastAsia="Calibri" w:hAnsi="Times New Roman" w:cs="Times New Roman"/>
          <w:sz w:val="24"/>
          <w:szCs w:val="24"/>
          <w:lang w:val="en-US" w:eastAsia="es-ES"/>
        </w:rPr>
        <w:t>, 45(157), 450-485</w:t>
      </w:r>
      <w:r w:rsidR="002B7637">
        <w:rPr>
          <w:rFonts w:ascii="Times New Roman" w:eastAsia="Calibri" w:hAnsi="Times New Roman" w:cs="Times New Roman"/>
          <w:sz w:val="24"/>
          <w:szCs w:val="24"/>
          <w:lang w:val="en-US" w:eastAsia="es-ES"/>
        </w:rPr>
        <w:t>, DOI:10.1590/198053143331.</w:t>
      </w:r>
      <w:r w:rsidR="002B7637" w:rsidRPr="00CB732A" w:rsidDel="002B7637">
        <w:rPr>
          <w:rFonts w:ascii="Times New Roman" w:eastAsia="Calibri" w:hAnsi="Times New Roman" w:cs="Times New Roman"/>
          <w:sz w:val="24"/>
          <w:szCs w:val="24"/>
          <w:lang w:val="en-US" w:eastAsia="es-ES"/>
        </w:rPr>
        <w:t xml:space="preserve"> </w:t>
      </w:r>
    </w:p>
    <w:p w14:paraId="02F9EEBA" w14:textId="109FB10D" w:rsidR="005F3DFA" w:rsidRPr="005F3DFA" w:rsidRDefault="005F3DFA" w:rsidP="005F3DFA">
      <w:pPr>
        <w:spacing w:before="100" w:beforeAutospacing="1" w:after="100" w:afterAutospacing="1" w:line="276" w:lineRule="auto"/>
        <w:rPr>
          <w:rFonts w:ascii="Times New Roman" w:eastAsia="Calibri" w:hAnsi="Times New Roman" w:cs="Times New Roman"/>
          <w:sz w:val="24"/>
          <w:szCs w:val="24"/>
          <w:lang w:val="en-US" w:eastAsia="es-ES"/>
        </w:rPr>
      </w:pPr>
      <w:r w:rsidRPr="006237DE">
        <w:rPr>
          <w:rFonts w:ascii="Times New Roman" w:eastAsia="Calibri" w:hAnsi="Times New Roman" w:cs="Times New Roman"/>
          <w:sz w:val="24"/>
          <w:szCs w:val="24"/>
          <w:lang w:val="en-US" w:eastAsia="es-ES"/>
        </w:rPr>
        <w:t xml:space="preserve">Carnoy, M. </w:t>
      </w:r>
      <w:r w:rsidR="00073449">
        <w:rPr>
          <w:rFonts w:ascii="Times New Roman" w:eastAsia="Calibri" w:hAnsi="Times New Roman" w:cs="Times New Roman"/>
          <w:sz w:val="24"/>
          <w:szCs w:val="24"/>
          <w:lang w:val="en-US" w:eastAsia="es-ES"/>
        </w:rPr>
        <w:t>y</w:t>
      </w:r>
      <w:r w:rsidRPr="006237DE">
        <w:rPr>
          <w:rFonts w:ascii="Times New Roman" w:eastAsia="Calibri" w:hAnsi="Times New Roman" w:cs="Times New Roman"/>
          <w:sz w:val="24"/>
          <w:szCs w:val="24"/>
          <w:lang w:val="en-US" w:eastAsia="es-ES"/>
        </w:rPr>
        <w:t xml:space="preserve"> Rothstein, R. (2013). </w:t>
      </w:r>
      <w:r w:rsidRPr="005F3DFA">
        <w:rPr>
          <w:rFonts w:ascii="Times New Roman" w:eastAsia="Calibri" w:hAnsi="Times New Roman" w:cs="Times New Roman"/>
          <w:sz w:val="24"/>
          <w:szCs w:val="24"/>
          <w:lang w:val="en-US" w:eastAsia="es-ES"/>
        </w:rPr>
        <w:t>International tests show achievement gaps in all countries, with big gains for U.S. disadvantaged students.</w:t>
      </w:r>
      <w:r w:rsidR="00C93E05">
        <w:rPr>
          <w:rFonts w:ascii="Times New Roman" w:eastAsia="Calibri" w:hAnsi="Times New Roman" w:cs="Times New Roman"/>
          <w:sz w:val="24"/>
          <w:szCs w:val="24"/>
          <w:lang w:val="en-US" w:eastAsia="es-ES"/>
        </w:rPr>
        <w:t xml:space="preserve"> Washington DC: Economic Policy Institute.</w:t>
      </w:r>
      <w:r w:rsidRPr="005F3DFA">
        <w:rPr>
          <w:rFonts w:ascii="Times New Roman" w:eastAsia="Calibri" w:hAnsi="Times New Roman" w:cs="Times New Roman"/>
          <w:sz w:val="24"/>
          <w:szCs w:val="24"/>
          <w:lang w:val="en-US" w:eastAsia="es-ES"/>
        </w:rPr>
        <w:t xml:space="preserve"> </w:t>
      </w:r>
    </w:p>
    <w:p w14:paraId="1AB26BE1" w14:textId="4EFE4495" w:rsidR="00073449" w:rsidRPr="00D244C3" w:rsidRDefault="005F3DFA" w:rsidP="005F3DFA">
      <w:pPr>
        <w:spacing w:before="100" w:beforeAutospacing="1" w:after="100" w:afterAutospacing="1" w:line="276" w:lineRule="auto"/>
        <w:rPr>
          <w:rFonts w:ascii="Times New Roman" w:eastAsia="Calibri" w:hAnsi="Times New Roman" w:cs="Times New Roman"/>
          <w:sz w:val="24"/>
          <w:szCs w:val="24"/>
          <w:lang w:val="en-US" w:eastAsia="es-ES"/>
        </w:rPr>
      </w:pPr>
      <w:r w:rsidRPr="005F3DFA">
        <w:rPr>
          <w:rFonts w:ascii="Times New Roman" w:eastAsia="Calibri" w:hAnsi="Times New Roman" w:cs="Times New Roman"/>
          <w:sz w:val="24"/>
          <w:szCs w:val="24"/>
          <w:lang w:val="en-US" w:eastAsia="es-ES"/>
        </w:rPr>
        <w:t xml:space="preserve">Chen, Y.F., </w:t>
      </w:r>
      <w:r w:rsidR="00073449">
        <w:rPr>
          <w:rFonts w:ascii="Times New Roman" w:eastAsia="Calibri" w:hAnsi="Times New Roman" w:cs="Times New Roman"/>
          <w:sz w:val="24"/>
          <w:szCs w:val="24"/>
          <w:lang w:val="en-US" w:eastAsia="es-ES"/>
        </w:rPr>
        <w:t>y</w:t>
      </w:r>
      <w:r w:rsidRPr="005F3DFA">
        <w:rPr>
          <w:rFonts w:ascii="Times New Roman" w:eastAsia="Calibri" w:hAnsi="Times New Roman" w:cs="Times New Roman"/>
          <w:sz w:val="24"/>
          <w:szCs w:val="24"/>
          <w:lang w:val="en-US" w:eastAsia="es-ES"/>
        </w:rPr>
        <w:t xml:space="preserve"> Jiao, H. (2014). Exploring the utility of background and cognitive variables in explaining latent differential item functioning: An example of the PISA 2009 Reading assessment. </w:t>
      </w:r>
      <w:r w:rsidRPr="005F3DFA">
        <w:rPr>
          <w:rFonts w:ascii="Times New Roman" w:eastAsia="Calibri" w:hAnsi="Times New Roman" w:cs="Times New Roman"/>
          <w:i/>
          <w:sz w:val="24"/>
          <w:szCs w:val="24"/>
          <w:lang w:val="en-US" w:eastAsia="es-ES"/>
        </w:rPr>
        <w:t>Educational Assessment</w:t>
      </w:r>
      <w:r w:rsidRPr="005F3DFA">
        <w:rPr>
          <w:rFonts w:ascii="Times New Roman" w:eastAsia="Calibri" w:hAnsi="Times New Roman" w:cs="Times New Roman"/>
          <w:sz w:val="24"/>
          <w:szCs w:val="24"/>
          <w:lang w:val="en-US" w:eastAsia="es-ES"/>
        </w:rPr>
        <w:t>, 19(2), 77–96</w:t>
      </w:r>
      <w:r w:rsidR="00C93E05">
        <w:rPr>
          <w:rFonts w:ascii="Times New Roman" w:eastAsia="Calibri" w:hAnsi="Times New Roman" w:cs="Times New Roman"/>
          <w:sz w:val="24"/>
          <w:szCs w:val="24"/>
          <w:lang w:val="en-US" w:eastAsia="es-ES"/>
        </w:rPr>
        <w:t>,</w:t>
      </w:r>
      <w:r w:rsidR="00073449">
        <w:rPr>
          <w:rFonts w:ascii="Times New Roman" w:eastAsia="Calibri" w:hAnsi="Times New Roman" w:cs="Times New Roman"/>
          <w:sz w:val="24"/>
          <w:szCs w:val="24"/>
          <w:lang w:val="en-US" w:eastAsia="es-ES"/>
        </w:rPr>
        <w:t xml:space="preserve"> DOI:</w:t>
      </w:r>
      <w:r w:rsidR="00C93E05">
        <w:rPr>
          <w:rFonts w:ascii="Times New Roman" w:eastAsia="Calibri" w:hAnsi="Times New Roman" w:cs="Times New Roman"/>
          <w:sz w:val="24"/>
          <w:szCs w:val="24"/>
          <w:lang w:val="en-US" w:eastAsia="es-ES"/>
        </w:rPr>
        <w:t>10.1080/10627197.2014.903650.</w:t>
      </w:r>
      <w:r w:rsidRPr="005F3DFA">
        <w:rPr>
          <w:rFonts w:ascii="Times New Roman" w:eastAsia="Calibri" w:hAnsi="Times New Roman" w:cs="Times New Roman"/>
          <w:sz w:val="24"/>
          <w:szCs w:val="24"/>
          <w:lang w:val="en-US" w:eastAsia="es-ES"/>
        </w:rPr>
        <w:t xml:space="preserve"> </w:t>
      </w:r>
    </w:p>
    <w:p w14:paraId="5C85494E" w14:textId="2A508F54" w:rsidR="00073449" w:rsidRPr="005F3DFA" w:rsidRDefault="005F3DFA" w:rsidP="005F3DFA">
      <w:pPr>
        <w:spacing w:before="100" w:beforeAutospacing="1" w:after="100" w:afterAutospacing="1" w:line="276" w:lineRule="auto"/>
        <w:rPr>
          <w:rFonts w:ascii="Times New Roman" w:eastAsia="Calibri" w:hAnsi="Times New Roman" w:cs="Times New Roman"/>
          <w:sz w:val="24"/>
          <w:szCs w:val="24"/>
          <w:lang w:val="en-US" w:eastAsia="es-ES"/>
        </w:rPr>
      </w:pPr>
      <w:r w:rsidRPr="005F3DFA">
        <w:rPr>
          <w:rFonts w:ascii="Times New Roman" w:eastAsia="Calibri" w:hAnsi="Times New Roman" w:cs="Times New Roman"/>
          <w:sz w:val="24"/>
          <w:szCs w:val="24"/>
          <w:lang w:val="en-US" w:eastAsia="es-ES"/>
        </w:rPr>
        <w:t xml:space="preserve">Cosgrove, J. (2015). Changes in Achievement in PISA from 2000 to 2009 in Ireland: beyond the test scores. </w:t>
      </w:r>
      <w:r w:rsidRPr="005F3DFA">
        <w:rPr>
          <w:rFonts w:ascii="Times New Roman" w:eastAsia="Calibri" w:hAnsi="Times New Roman" w:cs="Times New Roman"/>
          <w:i/>
          <w:sz w:val="24"/>
          <w:szCs w:val="24"/>
          <w:lang w:val="en-US" w:eastAsia="es-ES"/>
        </w:rPr>
        <w:t>The Irish Journal of Education</w:t>
      </w:r>
      <w:r w:rsidRPr="005F3DFA">
        <w:rPr>
          <w:rFonts w:ascii="Times New Roman" w:eastAsia="Calibri" w:hAnsi="Times New Roman" w:cs="Times New Roman"/>
          <w:sz w:val="24"/>
          <w:szCs w:val="24"/>
          <w:lang w:val="en-US" w:eastAsia="es-ES"/>
        </w:rPr>
        <w:t>, xl, pp. 29-44</w:t>
      </w:r>
      <w:r w:rsidR="00C93E05">
        <w:rPr>
          <w:rFonts w:ascii="Times New Roman" w:eastAsia="Calibri" w:hAnsi="Times New Roman" w:cs="Times New Roman"/>
          <w:sz w:val="24"/>
          <w:szCs w:val="24"/>
          <w:lang w:val="en-US" w:eastAsia="es-ES"/>
        </w:rPr>
        <w:t>,</w:t>
      </w:r>
      <w:r w:rsidR="00073449">
        <w:rPr>
          <w:rFonts w:ascii="Times New Roman" w:eastAsia="Calibri" w:hAnsi="Times New Roman" w:cs="Times New Roman"/>
          <w:sz w:val="24"/>
          <w:szCs w:val="24"/>
          <w:lang w:val="en-US" w:eastAsia="es-ES"/>
        </w:rPr>
        <w:t xml:space="preserve"> DOI:</w:t>
      </w:r>
      <w:r w:rsidR="00C93E05">
        <w:rPr>
          <w:rFonts w:ascii="Times New Roman" w:eastAsia="Calibri" w:hAnsi="Times New Roman" w:cs="Times New Roman"/>
          <w:sz w:val="24"/>
          <w:szCs w:val="24"/>
          <w:lang w:val="en-US" w:eastAsia="es-ES"/>
        </w:rPr>
        <w:t>10.1186/2196-0739-2-2.</w:t>
      </w:r>
    </w:p>
    <w:p w14:paraId="2360C3BB" w14:textId="18E34440" w:rsidR="005F3DFA" w:rsidRPr="005F3DFA" w:rsidRDefault="001C251F" w:rsidP="005F3DFA">
      <w:pPr>
        <w:spacing w:before="100" w:beforeAutospacing="1" w:after="100" w:afterAutospacing="1" w:line="276" w:lineRule="auto"/>
        <w:rPr>
          <w:rFonts w:ascii="Times New Roman" w:eastAsia="MS Mincho" w:hAnsi="Times New Roman" w:cs="Times New Roman"/>
          <w:sz w:val="24"/>
          <w:szCs w:val="24"/>
          <w:lang w:val="en-US" w:eastAsia="es-ES"/>
        </w:rPr>
      </w:pPr>
      <w:r>
        <w:rPr>
          <w:rFonts w:ascii="Times New Roman" w:eastAsia="MS Mincho" w:hAnsi="Times New Roman" w:cs="Times New Roman"/>
          <w:sz w:val="24"/>
          <w:szCs w:val="24"/>
          <w:lang w:val="en-US" w:eastAsia="es-ES"/>
        </w:rPr>
        <w:t xml:space="preserve">Cowen, R. (2011). </w:t>
      </w:r>
      <w:r w:rsidRPr="006237DE">
        <w:rPr>
          <w:rFonts w:ascii="Times New Roman" w:eastAsia="MS Mincho" w:hAnsi="Times New Roman" w:cs="Times New Roman"/>
          <w:sz w:val="24"/>
          <w:szCs w:val="24"/>
          <w:lang w:val="en-US" w:eastAsia="es-ES"/>
        </w:rPr>
        <w:t>“CODA”. E</w:t>
      </w:r>
      <w:r w:rsidR="005F3DFA" w:rsidRPr="006237DE">
        <w:rPr>
          <w:rFonts w:ascii="Times New Roman" w:eastAsia="MS Mincho" w:hAnsi="Times New Roman" w:cs="Times New Roman"/>
          <w:sz w:val="24"/>
          <w:szCs w:val="24"/>
          <w:lang w:val="en-US" w:eastAsia="es-ES"/>
        </w:rPr>
        <w:t xml:space="preserve">n Pereyra, Kotthoff </w:t>
      </w:r>
      <w:r w:rsidR="00073449">
        <w:rPr>
          <w:rFonts w:ascii="Times New Roman" w:eastAsia="MS Mincho" w:hAnsi="Times New Roman" w:cs="Times New Roman"/>
          <w:sz w:val="24"/>
          <w:szCs w:val="24"/>
          <w:lang w:val="en-US" w:eastAsia="es-ES"/>
        </w:rPr>
        <w:t>y</w:t>
      </w:r>
      <w:r w:rsidR="005F3DFA" w:rsidRPr="006237DE">
        <w:rPr>
          <w:rFonts w:ascii="Times New Roman" w:eastAsia="MS Mincho" w:hAnsi="Times New Roman" w:cs="Times New Roman"/>
          <w:sz w:val="24"/>
          <w:szCs w:val="24"/>
          <w:lang w:val="en-US" w:eastAsia="es-ES"/>
        </w:rPr>
        <w:t xml:space="preserve"> Cowen (eds.)</w:t>
      </w:r>
      <w:r w:rsidR="00A2545B">
        <w:rPr>
          <w:rFonts w:ascii="Times New Roman" w:eastAsia="MS Mincho" w:hAnsi="Times New Roman" w:cs="Times New Roman"/>
          <w:sz w:val="24"/>
          <w:szCs w:val="24"/>
          <w:lang w:val="en-US" w:eastAsia="es-ES"/>
        </w:rPr>
        <w:t>.</w:t>
      </w:r>
      <w:r w:rsidR="005F3DFA" w:rsidRPr="006237DE">
        <w:rPr>
          <w:rFonts w:ascii="Times New Roman" w:eastAsia="MS Mincho" w:hAnsi="Times New Roman" w:cs="Times New Roman"/>
          <w:sz w:val="24"/>
          <w:szCs w:val="24"/>
          <w:lang w:val="en-US" w:eastAsia="es-ES"/>
        </w:rPr>
        <w:t xml:space="preserve"> </w:t>
      </w:r>
      <w:r w:rsidR="005F3DFA" w:rsidRPr="00D244C3">
        <w:rPr>
          <w:rFonts w:ascii="Times New Roman" w:eastAsia="MS Mincho" w:hAnsi="Times New Roman" w:cs="Times New Roman"/>
          <w:sz w:val="24"/>
          <w:szCs w:val="24"/>
          <w:lang w:val="en-US" w:eastAsia="es-ES"/>
        </w:rPr>
        <w:t>PISA Under Examination: Changing Knowledge, Changing Tests, and Changing Schools</w:t>
      </w:r>
      <w:r w:rsidR="00A2545B">
        <w:rPr>
          <w:rFonts w:ascii="Times New Roman" w:eastAsia="MS Mincho" w:hAnsi="Times New Roman" w:cs="Times New Roman"/>
          <w:sz w:val="24"/>
          <w:szCs w:val="24"/>
          <w:lang w:val="en-US" w:eastAsia="es-ES"/>
        </w:rPr>
        <w:t xml:space="preserve"> (pp. 259-264)</w:t>
      </w:r>
      <w:r w:rsidR="005F3DFA" w:rsidRPr="005F3DFA">
        <w:rPr>
          <w:rFonts w:ascii="Times New Roman" w:eastAsia="MS Mincho" w:hAnsi="Times New Roman" w:cs="Times New Roman"/>
          <w:sz w:val="24"/>
          <w:szCs w:val="24"/>
          <w:lang w:val="en-US" w:eastAsia="es-ES"/>
        </w:rPr>
        <w:t xml:space="preserve">. </w:t>
      </w:r>
      <w:r w:rsidR="00A2545B">
        <w:rPr>
          <w:rFonts w:ascii="Times New Roman" w:eastAsia="MS Mincho" w:hAnsi="Times New Roman" w:cs="Times New Roman"/>
          <w:sz w:val="24"/>
          <w:szCs w:val="24"/>
          <w:lang w:val="en-US" w:eastAsia="es-ES"/>
        </w:rPr>
        <w:t>Holanda: Sense</w:t>
      </w:r>
      <w:r w:rsidR="005F3DFA" w:rsidRPr="005F3DFA">
        <w:rPr>
          <w:rFonts w:ascii="Times New Roman" w:eastAsia="MS Mincho" w:hAnsi="Times New Roman" w:cs="Times New Roman"/>
          <w:sz w:val="24"/>
          <w:szCs w:val="24"/>
          <w:lang w:val="en-US" w:eastAsia="es-ES"/>
        </w:rPr>
        <w:t xml:space="preserve"> Publishers. </w:t>
      </w:r>
    </w:p>
    <w:p w14:paraId="0084F44B" w14:textId="7A9680D9" w:rsidR="005F3DFA" w:rsidRPr="005F3DFA" w:rsidRDefault="005F3DFA" w:rsidP="005F3DFA">
      <w:pPr>
        <w:spacing w:before="100" w:beforeAutospacing="1" w:after="100" w:afterAutospacing="1" w:line="276" w:lineRule="auto"/>
        <w:rPr>
          <w:rFonts w:ascii="Times New Roman" w:eastAsia="Calibri" w:hAnsi="Times New Roman" w:cs="Times New Roman"/>
          <w:sz w:val="24"/>
          <w:szCs w:val="24"/>
          <w:lang w:val="en-US" w:eastAsia="es-ES"/>
        </w:rPr>
      </w:pPr>
      <w:r w:rsidRPr="005F3DFA">
        <w:rPr>
          <w:rFonts w:ascii="Times New Roman" w:eastAsia="Calibri" w:hAnsi="Times New Roman" w:cs="Times New Roman"/>
          <w:sz w:val="24"/>
          <w:szCs w:val="24"/>
          <w:lang w:val="en-US" w:eastAsia="es-ES"/>
        </w:rPr>
        <w:t xml:space="preserve">Eivers, E. (2010). PISA: Issues in implementation and interpretation. </w:t>
      </w:r>
      <w:r w:rsidRPr="005F3DFA">
        <w:rPr>
          <w:rFonts w:ascii="Times New Roman" w:eastAsia="Calibri" w:hAnsi="Times New Roman" w:cs="Times New Roman"/>
          <w:i/>
          <w:sz w:val="24"/>
          <w:szCs w:val="24"/>
          <w:lang w:val="en-US" w:eastAsia="es-ES"/>
        </w:rPr>
        <w:t>Irish Journal of Education/Iris Eireannach an Oideachais</w:t>
      </w:r>
      <w:r w:rsidRPr="005F3DFA">
        <w:rPr>
          <w:rFonts w:ascii="Times New Roman" w:eastAsia="Calibri" w:hAnsi="Times New Roman" w:cs="Times New Roman"/>
          <w:sz w:val="24"/>
          <w:szCs w:val="24"/>
          <w:lang w:val="en-US" w:eastAsia="es-ES"/>
        </w:rPr>
        <w:t xml:space="preserve">, 38, 94–118. </w:t>
      </w:r>
      <w:r w:rsidR="00C91AA7">
        <w:rPr>
          <w:rFonts w:ascii="Times New Roman" w:eastAsia="Calibri" w:hAnsi="Times New Roman" w:cs="Times New Roman"/>
          <w:sz w:val="24"/>
          <w:szCs w:val="24"/>
          <w:lang w:val="en-US" w:eastAsia="es-ES"/>
        </w:rPr>
        <w:t xml:space="preserve">Recuperado el </w:t>
      </w:r>
      <w:r w:rsidR="00D244C3">
        <w:rPr>
          <w:rFonts w:ascii="Times New Roman" w:eastAsia="Calibri" w:hAnsi="Times New Roman" w:cs="Times New Roman"/>
          <w:sz w:val="24"/>
          <w:szCs w:val="24"/>
          <w:lang w:val="en-US" w:eastAsia="es-ES"/>
        </w:rPr>
        <w:t>15/10/2018</w:t>
      </w:r>
      <w:r w:rsidR="00C91AA7">
        <w:rPr>
          <w:rFonts w:ascii="Times New Roman" w:eastAsia="Calibri" w:hAnsi="Times New Roman" w:cs="Times New Roman"/>
          <w:sz w:val="24"/>
          <w:szCs w:val="24"/>
          <w:lang w:val="en-US" w:eastAsia="es-ES"/>
        </w:rPr>
        <w:t>, de</w:t>
      </w:r>
      <w:r w:rsidRPr="005F3DFA">
        <w:rPr>
          <w:rFonts w:ascii="Times New Roman" w:eastAsia="Calibri" w:hAnsi="Times New Roman" w:cs="Times New Roman"/>
          <w:sz w:val="24"/>
          <w:szCs w:val="24"/>
          <w:lang w:val="en-US" w:eastAsia="es-ES"/>
        </w:rPr>
        <w:t xml:space="preserve"> </w:t>
      </w:r>
      <w:hyperlink r:id="rId32" w:history="1">
        <w:r w:rsidRPr="005F3DFA">
          <w:rPr>
            <w:rFonts w:ascii="Times New Roman" w:eastAsia="Calibri" w:hAnsi="Times New Roman" w:cs="Times New Roman"/>
            <w:color w:val="0563C1"/>
            <w:sz w:val="24"/>
            <w:szCs w:val="24"/>
            <w:u w:val="single"/>
            <w:lang w:val="en-US" w:eastAsia="es-ES"/>
          </w:rPr>
          <w:t>http://www.jstor.org/stable/20789130</w:t>
        </w:r>
      </w:hyperlink>
      <w:r w:rsidRPr="005F3DFA">
        <w:rPr>
          <w:rFonts w:ascii="Times New Roman" w:eastAsia="Calibri" w:hAnsi="Times New Roman" w:cs="Times New Roman"/>
          <w:sz w:val="24"/>
          <w:szCs w:val="24"/>
          <w:lang w:val="en-US" w:eastAsia="es-ES"/>
        </w:rPr>
        <w:t xml:space="preserve"> </w:t>
      </w:r>
    </w:p>
    <w:p w14:paraId="079C8BF6" w14:textId="18CC3E59" w:rsidR="005F3DFA" w:rsidRPr="005F3DFA" w:rsidRDefault="005F3DFA" w:rsidP="005F3DFA">
      <w:pPr>
        <w:spacing w:before="100" w:beforeAutospacing="1" w:after="100" w:afterAutospacing="1" w:line="276" w:lineRule="auto"/>
        <w:rPr>
          <w:rFonts w:ascii="Times New Roman" w:eastAsia="Calibri" w:hAnsi="Times New Roman" w:cs="Times New Roman"/>
          <w:sz w:val="24"/>
          <w:szCs w:val="24"/>
          <w:lang w:val="en-US" w:eastAsia="es-ES"/>
        </w:rPr>
      </w:pPr>
      <w:r w:rsidRPr="005F3DFA">
        <w:rPr>
          <w:rFonts w:ascii="Times New Roman" w:eastAsia="Calibri" w:hAnsi="Times New Roman" w:cs="Times New Roman"/>
          <w:sz w:val="24"/>
          <w:szCs w:val="24"/>
          <w:lang w:val="en-US" w:eastAsia="es-ES"/>
        </w:rPr>
        <w:lastRenderedPageBreak/>
        <w:t>Eklöf, H. (2010). Skill and will: test</w:t>
      </w:r>
      <w:r w:rsidRPr="005F3DFA">
        <w:rPr>
          <w:rFonts w:ascii="Cambria Math" w:eastAsia="Calibri" w:hAnsi="Cambria Math" w:cs="Cambria Math"/>
          <w:sz w:val="24"/>
          <w:szCs w:val="24"/>
          <w:lang w:val="en-US" w:eastAsia="es-ES"/>
        </w:rPr>
        <w:t>‐</w:t>
      </w:r>
      <w:r w:rsidRPr="005F3DFA">
        <w:rPr>
          <w:rFonts w:ascii="Times New Roman" w:eastAsia="Calibri" w:hAnsi="Times New Roman" w:cs="Times New Roman"/>
          <w:sz w:val="24"/>
          <w:szCs w:val="24"/>
          <w:lang w:val="en-US" w:eastAsia="es-ES"/>
        </w:rPr>
        <w:t xml:space="preserve">taking motivation and assessment quality. </w:t>
      </w:r>
      <w:r w:rsidRPr="005F3DFA">
        <w:rPr>
          <w:rFonts w:ascii="Times New Roman" w:eastAsia="Calibri" w:hAnsi="Times New Roman" w:cs="Times New Roman"/>
          <w:i/>
          <w:sz w:val="24"/>
          <w:szCs w:val="24"/>
          <w:lang w:val="en-US" w:eastAsia="es-ES"/>
        </w:rPr>
        <w:t>Assessment in Education: Principles, Policy &amp; Practice</w:t>
      </w:r>
      <w:r w:rsidRPr="005F3DFA">
        <w:rPr>
          <w:rFonts w:ascii="Times New Roman" w:eastAsia="Calibri" w:hAnsi="Times New Roman" w:cs="Times New Roman"/>
          <w:sz w:val="24"/>
          <w:szCs w:val="24"/>
          <w:lang w:val="en-US" w:eastAsia="es-ES"/>
        </w:rPr>
        <w:t>, 17:4, 345-356</w:t>
      </w:r>
      <w:r w:rsidR="00C91AA7">
        <w:rPr>
          <w:rFonts w:ascii="Times New Roman" w:eastAsia="Calibri" w:hAnsi="Times New Roman" w:cs="Times New Roman"/>
          <w:sz w:val="24"/>
          <w:szCs w:val="24"/>
          <w:lang w:val="en-US" w:eastAsia="es-ES"/>
        </w:rPr>
        <w:t>,</w:t>
      </w:r>
      <w:r w:rsidRPr="005F3DFA">
        <w:rPr>
          <w:rFonts w:ascii="Times New Roman" w:eastAsia="Calibri" w:hAnsi="Times New Roman" w:cs="Times New Roman"/>
          <w:sz w:val="24"/>
          <w:szCs w:val="24"/>
          <w:lang w:val="en-US" w:eastAsia="es-ES"/>
        </w:rPr>
        <w:t xml:space="preserve"> DOI:10.1080/0969594X.2010.516569</w:t>
      </w:r>
      <w:r w:rsidR="00C91AA7">
        <w:rPr>
          <w:rFonts w:ascii="Times New Roman" w:eastAsia="Calibri" w:hAnsi="Times New Roman" w:cs="Times New Roman"/>
          <w:sz w:val="24"/>
          <w:szCs w:val="24"/>
          <w:lang w:val="en-US" w:eastAsia="es-ES"/>
        </w:rPr>
        <w:t>.</w:t>
      </w:r>
    </w:p>
    <w:p w14:paraId="50E2066D" w14:textId="77777777" w:rsidR="00073449" w:rsidRDefault="005F3DFA" w:rsidP="000A2476">
      <w:pPr>
        <w:spacing w:before="100" w:beforeAutospacing="1" w:after="100" w:afterAutospacing="1" w:line="276" w:lineRule="auto"/>
        <w:rPr>
          <w:rFonts w:ascii="Times New Roman" w:eastAsia="Calibri" w:hAnsi="Times New Roman" w:cs="Times New Roman"/>
          <w:sz w:val="24"/>
          <w:szCs w:val="24"/>
          <w:lang w:val="en-US" w:eastAsia="es-ES"/>
        </w:rPr>
      </w:pPr>
      <w:r w:rsidRPr="005F3DFA">
        <w:rPr>
          <w:rFonts w:ascii="Times New Roman" w:eastAsia="Calibri" w:hAnsi="Times New Roman" w:cs="Times New Roman"/>
          <w:sz w:val="24"/>
          <w:szCs w:val="24"/>
          <w:lang w:val="en-US" w:eastAsia="es-ES"/>
        </w:rPr>
        <w:t xml:space="preserve">Fernandez Cano, A. (2016). A Methodological Critique of the PISA Evaluations. </w:t>
      </w:r>
      <w:r w:rsidRPr="00CB732A">
        <w:rPr>
          <w:rFonts w:ascii="Times New Roman" w:eastAsia="Calibri" w:hAnsi="Times New Roman" w:cs="Times New Roman"/>
          <w:i/>
          <w:sz w:val="24"/>
          <w:szCs w:val="24"/>
          <w:lang w:val="en-US" w:eastAsia="es-ES"/>
        </w:rPr>
        <w:t>Relieve</w:t>
      </w:r>
      <w:r w:rsidRPr="00CB732A">
        <w:rPr>
          <w:rFonts w:ascii="Times New Roman" w:eastAsia="Calibri" w:hAnsi="Times New Roman" w:cs="Times New Roman"/>
          <w:sz w:val="24"/>
          <w:szCs w:val="24"/>
          <w:lang w:val="en-US" w:eastAsia="es-ES"/>
        </w:rPr>
        <w:t xml:space="preserve">, 22(1). </w:t>
      </w:r>
      <w:r w:rsidR="00204847" w:rsidRPr="00CB732A">
        <w:rPr>
          <w:rFonts w:ascii="Times New Roman" w:eastAsia="Calibri" w:hAnsi="Times New Roman" w:cs="Times New Roman"/>
          <w:sz w:val="24"/>
          <w:szCs w:val="24"/>
          <w:lang w:val="en-US" w:eastAsia="es-ES"/>
        </w:rPr>
        <w:t>DOI:</w:t>
      </w:r>
      <w:r w:rsidR="001E68D7">
        <w:rPr>
          <w:rFonts w:ascii="Times New Roman" w:eastAsia="Calibri" w:hAnsi="Times New Roman" w:cs="Times New Roman"/>
          <w:sz w:val="24"/>
          <w:szCs w:val="24"/>
          <w:lang w:val="en-US" w:eastAsia="es-ES"/>
        </w:rPr>
        <w:t>10.7203/relieve.22.1.8806.</w:t>
      </w:r>
      <w:r w:rsidRPr="00CB732A">
        <w:rPr>
          <w:rFonts w:ascii="Times New Roman" w:eastAsia="Calibri" w:hAnsi="Times New Roman" w:cs="Times New Roman"/>
          <w:sz w:val="24"/>
          <w:szCs w:val="24"/>
          <w:lang w:val="en-US" w:eastAsia="es-ES"/>
        </w:rPr>
        <w:t xml:space="preserve"> </w:t>
      </w:r>
    </w:p>
    <w:p w14:paraId="43A15492" w14:textId="55B502E3" w:rsidR="000A2476" w:rsidRPr="000A2476" w:rsidRDefault="00CB732A" w:rsidP="000A2476">
      <w:pPr>
        <w:spacing w:before="100" w:beforeAutospacing="1" w:after="100" w:afterAutospacing="1" w:line="276" w:lineRule="auto"/>
        <w:rPr>
          <w:rFonts w:ascii="Times New Roman" w:eastAsia="Calibri" w:hAnsi="Times New Roman" w:cs="Times New Roman"/>
          <w:sz w:val="24"/>
          <w:szCs w:val="24"/>
          <w:lang w:eastAsia="es-ES"/>
        </w:rPr>
      </w:pPr>
      <w:r w:rsidRPr="00D33852">
        <w:rPr>
          <w:rFonts w:ascii="Times New Roman" w:eastAsia="Calibri" w:hAnsi="Times New Roman" w:cs="Times New Roman"/>
          <w:sz w:val="24"/>
          <w:szCs w:val="24"/>
          <w:lang w:val="en-US" w:eastAsia="es-ES"/>
        </w:rPr>
        <w:t>Ferrer, G.</w:t>
      </w:r>
      <w:r w:rsidR="000A2476" w:rsidRPr="00D33852">
        <w:rPr>
          <w:rFonts w:ascii="Times New Roman" w:eastAsia="Calibri" w:hAnsi="Times New Roman" w:cs="Times New Roman"/>
          <w:sz w:val="24"/>
          <w:szCs w:val="24"/>
          <w:lang w:val="en-US" w:eastAsia="es-ES"/>
        </w:rPr>
        <w:t xml:space="preserve"> </w:t>
      </w:r>
      <w:r w:rsidRPr="00D33852">
        <w:rPr>
          <w:rFonts w:ascii="Times New Roman" w:eastAsia="Calibri" w:hAnsi="Times New Roman" w:cs="Times New Roman"/>
          <w:sz w:val="24"/>
          <w:szCs w:val="24"/>
          <w:lang w:val="en-US" w:eastAsia="es-ES"/>
        </w:rPr>
        <w:t>(2006).</w:t>
      </w:r>
      <w:r w:rsidR="000A2476" w:rsidRPr="00D33852">
        <w:rPr>
          <w:rFonts w:ascii="Times New Roman" w:eastAsia="Calibri" w:hAnsi="Times New Roman" w:cs="Times New Roman"/>
          <w:sz w:val="24"/>
          <w:szCs w:val="24"/>
          <w:lang w:val="en-US" w:eastAsia="es-ES"/>
        </w:rPr>
        <w:t xml:space="preserve"> </w:t>
      </w:r>
      <w:r w:rsidR="000A2476" w:rsidRPr="00CB732A">
        <w:rPr>
          <w:rFonts w:ascii="Times New Roman" w:eastAsia="Calibri" w:hAnsi="Times New Roman" w:cs="Times New Roman"/>
          <w:sz w:val="24"/>
          <w:szCs w:val="24"/>
          <w:lang w:eastAsia="es-ES"/>
        </w:rPr>
        <w:t>Sistemas de evaluación de aprendizajes en América Latina. Balances y desafíos. Santiago de Chile: Educar Chile.</w:t>
      </w:r>
      <w:r w:rsidR="000A2476" w:rsidRPr="000A2476">
        <w:rPr>
          <w:rFonts w:ascii="Times New Roman" w:eastAsia="Calibri" w:hAnsi="Times New Roman" w:cs="Times New Roman"/>
          <w:sz w:val="24"/>
          <w:szCs w:val="24"/>
          <w:lang w:eastAsia="es-ES"/>
        </w:rPr>
        <w:t xml:space="preserve"> </w:t>
      </w:r>
    </w:p>
    <w:p w14:paraId="61E5B059" w14:textId="1C3C9F80" w:rsidR="000A2476" w:rsidRPr="00D33852" w:rsidRDefault="00CB732A" w:rsidP="000A2476">
      <w:pPr>
        <w:spacing w:before="100" w:beforeAutospacing="1" w:after="100" w:afterAutospacing="1" w:line="276" w:lineRule="auto"/>
        <w:rPr>
          <w:rFonts w:ascii="Times New Roman" w:eastAsia="Calibri" w:hAnsi="Times New Roman" w:cs="Times New Roman"/>
          <w:sz w:val="24"/>
          <w:szCs w:val="24"/>
          <w:lang w:val="en-US" w:eastAsia="es-ES"/>
        </w:rPr>
      </w:pPr>
      <w:r w:rsidRPr="00CB732A">
        <w:rPr>
          <w:rFonts w:ascii="Times New Roman" w:eastAsia="Calibri" w:hAnsi="Times New Roman" w:cs="Times New Roman"/>
          <w:sz w:val="24"/>
          <w:szCs w:val="24"/>
          <w:lang w:val="es-ES" w:eastAsia="es-ES"/>
        </w:rPr>
        <w:t>Ferrer, G.</w:t>
      </w:r>
      <w:r w:rsidR="000A2476" w:rsidRPr="00CB732A">
        <w:rPr>
          <w:rFonts w:ascii="Times New Roman" w:eastAsia="Calibri" w:hAnsi="Times New Roman" w:cs="Times New Roman"/>
          <w:sz w:val="24"/>
          <w:szCs w:val="24"/>
          <w:lang w:val="es-ES" w:eastAsia="es-ES"/>
        </w:rPr>
        <w:t xml:space="preserve"> </w:t>
      </w:r>
      <w:r w:rsidR="00073449">
        <w:rPr>
          <w:rFonts w:ascii="Times New Roman" w:eastAsia="Calibri" w:hAnsi="Times New Roman" w:cs="Times New Roman"/>
          <w:sz w:val="24"/>
          <w:szCs w:val="24"/>
          <w:lang w:val="es-ES" w:eastAsia="es-ES"/>
        </w:rPr>
        <w:t>y</w:t>
      </w:r>
      <w:r w:rsidRPr="00CB732A">
        <w:rPr>
          <w:rFonts w:ascii="Times New Roman" w:eastAsia="Calibri" w:hAnsi="Times New Roman" w:cs="Times New Roman"/>
          <w:sz w:val="24"/>
          <w:szCs w:val="24"/>
          <w:lang w:val="es-ES" w:eastAsia="es-ES"/>
        </w:rPr>
        <w:t xml:space="preserve"> </w:t>
      </w:r>
      <w:r w:rsidR="000A2476" w:rsidRPr="00CB732A">
        <w:rPr>
          <w:rFonts w:ascii="Times New Roman" w:eastAsia="Calibri" w:hAnsi="Times New Roman" w:cs="Times New Roman"/>
          <w:sz w:val="24"/>
          <w:szCs w:val="24"/>
          <w:lang w:val="es-ES" w:eastAsia="es-ES"/>
        </w:rPr>
        <w:t>Fiszbein</w:t>
      </w:r>
      <w:r w:rsidRPr="00CB732A">
        <w:rPr>
          <w:rFonts w:ascii="Times New Roman" w:eastAsia="Calibri" w:hAnsi="Times New Roman" w:cs="Times New Roman"/>
          <w:sz w:val="24"/>
          <w:szCs w:val="24"/>
          <w:lang w:val="es-ES" w:eastAsia="es-ES"/>
        </w:rPr>
        <w:t>, A</w:t>
      </w:r>
      <w:r w:rsidR="000A2476" w:rsidRPr="00CB732A">
        <w:rPr>
          <w:rFonts w:ascii="Times New Roman" w:eastAsia="Calibri" w:hAnsi="Times New Roman" w:cs="Times New Roman"/>
          <w:sz w:val="24"/>
          <w:szCs w:val="24"/>
          <w:lang w:val="es-ES" w:eastAsia="es-ES"/>
        </w:rPr>
        <w:t xml:space="preserve">. </w:t>
      </w:r>
      <w:r w:rsidRPr="00CB732A">
        <w:rPr>
          <w:rFonts w:ascii="Times New Roman" w:eastAsia="Calibri" w:hAnsi="Times New Roman" w:cs="Times New Roman"/>
          <w:sz w:val="24"/>
          <w:szCs w:val="24"/>
          <w:lang w:val="es-ES" w:eastAsia="es-ES"/>
        </w:rPr>
        <w:t>(</w:t>
      </w:r>
      <w:r w:rsidR="000A2476" w:rsidRPr="00CB732A">
        <w:rPr>
          <w:rFonts w:ascii="Times New Roman" w:eastAsia="Calibri" w:hAnsi="Times New Roman" w:cs="Times New Roman"/>
          <w:sz w:val="24"/>
          <w:szCs w:val="24"/>
          <w:lang w:eastAsia="es-ES"/>
        </w:rPr>
        <w:t>2015</w:t>
      </w:r>
      <w:r w:rsidRPr="00CB732A">
        <w:rPr>
          <w:rFonts w:ascii="Times New Roman" w:eastAsia="Calibri" w:hAnsi="Times New Roman" w:cs="Times New Roman"/>
          <w:sz w:val="24"/>
          <w:szCs w:val="24"/>
          <w:lang w:eastAsia="es-ES"/>
        </w:rPr>
        <w:t>)</w:t>
      </w:r>
      <w:r w:rsidR="000A2476" w:rsidRPr="00CB732A">
        <w:rPr>
          <w:rFonts w:ascii="Times New Roman" w:eastAsia="Calibri" w:hAnsi="Times New Roman" w:cs="Times New Roman"/>
          <w:sz w:val="24"/>
          <w:szCs w:val="24"/>
          <w:lang w:eastAsia="es-ES"/>
        </w:rPr>
        <w:t>. “¿Qué ha sucedido con los sistemas de evaluación de aprendizajes en América Latina?”</w:t>
      </w:r>
      <w:r w:rsidRPr="00CB732A">
        <w:rPr>
          <w:rFonts w:ascii="Times New Roman" w:eastAsia="Calibri" w:hAnsi="Times New Roman" w:cs="Times New Roman"/>
          <w:sz w:val="24"/>
          <w:szCs w:val="24"/>
          <w:lang w:eastAsia="es-ES"/>
        </w:rPr>
        <w:t>.</w:t>
      </w:r>
      <w:r w:rsidR="000A2476" w:rsidRPr="00CB732A">
        <w:rPr>
          <w:rFonts w:ascii="Times New Roman" w:eastAsia="Calibri" w:hAnsi="Times New Roman" w:cs="Times New Roman"/>
          <w:sz w:val="24"/>
          <w:szCs w:val="24"/>
          <w:lang w:eastAsia="es-ES"/>
        </w:rPr>
        <w:t xml:space="preserve"> Documento de Antecedentes. Comisión para la Educación de Calidad para Todos. </w:t>
      </w:r>
      <w:r w:rsidR="000A2476" w:rsidRPr="00D33852">
        <w:rPr>
          <w:rFonts w:ascii="Times New Roman" w:eastAsia="Calibri" w:hAnsi="Times New Roman" w:cs="Times New Roman"/>
          <w:sz w:val="24"/>
          <w:szCs w:val="24"/>
          <w:lang w:val="en-US" w:eastAsia="es-ES"/>
        </w:rPr>
        <w:t>El Diálogo Interamericano. Washington DC: World Bank Group.</w:t>
      </w:r>
    </w:p>
    <w:p w14:paraId="48F8A591" w14:textId="27413897" w:rsidR="00073449" w:rsidRPr="005F3DFA" w:rsidRDefault="005F3DFA" w:rsidP="005F3DFA">
      <w:pPr>
        <w:spacing w:before="100" w:beforeAutospacing="1" w:after="100" w:afterAutospacing="1" w:line="276" w:lineRule="auto"/>
        <w:rPr>
          <w:rFonts w:ascii="Times New Roman" w:eastAsia="Calibri" w:hAnsi="Times New Roman" w:cs="Times New Roman"/>
          <w:sz w:val="24"/>
          <w:szCs w:val="24"/>
          <w:lang w:val="en-US" w:eastAsia="es-ES"/>
        </w:rPr>
      </w:pPr>
      <w:r w:rsidRPr="00D33852">
        <w:rPr>
          <w:rFonts w:ascii="Times New Roman" w:eastAsia="Calibri" w:hAnsi="Times New Roman" w:cs="Times New Roman"/>
          <w:sz w:val="24"/>
          <w:szCs w:val="24"/>
          <w:lang w:val="en-US" w:eastAsia="es-ES"/>
        </w:rPr>
        <w:t xml:space="preserve">Finn, B. (2015). </w:t>
      </w:r>
      <w:r w:rsidRPr="005F3DFA">
        <w:rPr>
          <w:rFonts w:ascii="Times New Roman" w:eastAsia="Calibri" w:hAnsi="Times New Roman" w:cs="Times New Roman"/>
          <w:sz w:val="24"/>
          <w:szCs w:val="24"/>
          <w:lang w:val="en-US" w:eastAsia="es-ES"/>
        </w:rPr>
        <w:t xml:space="preserve">Measuring motivation in low-stakes assessments. </w:t>
      </w:r>
      <w:r w:rsidRPr="005F3DFA">
        <w:rPr>
          <w:rFonts w:ascii="Times New Roman" w:eastAsia="Calibri" w:hAnsi="Times New Roman" w:cs="Times New Roman"/>
          <w:i/>
          <w:sz w:val="24"/>
          <w:szCs w:val="24"/>
          <w:lang w:val="en-US" w:eastAsia="es-ES"/>
        </w:rPr>
        <w:t>ETS Research Report Series</w:t>
      </w:r>
      <w:r w:rsidRPr="005F3DFA">
        <w:rPr>
          <w:rFonts w:ascii="Times New Roman" w:eastAsia="Calibri" w:hAnsi="Times New Roman" w:cs="Times New Roman"/>
          <w:sz w:val="24"/>
          <w:szCs w:val="24"/>
          <w:lang w:val="en-US" w:eastAsia="es-ES"/>
        </w:rPr>
        <w:t>, 1–17</w:t>
      </w:r>
      <w:r w:rsidR="001E68D7">
        <w:rPr>
          <w:rFonts w:ascii="Times New Roman" w:eastAsia="Calibri" w:hAnsi="Times New Roman" w:cs="Times New Roman"/>
          <w:sz w:val="24"/>
          <w:szCs w:val="24"/>
          <w:lang w:val="en-US" w:eastAsia="es-ES"/>
        </w:rPr>
        <w:t>, DOI: 10.1002/ets2.12067</w:t>
      </w:r>
    </w:p>
    <w:p w14:paraId="66114C5D" w14:textId="7AAB543B" w:rsidR="001E68D7" w:rsidRPr="005F3DFA" w:rsidRDefault="005F3DFA" w:rsidP="005F3DFA">
      <w:pPr>
        <w:spacing w:before="100" w:beforeAutospacing="1" w:after="100" w:afterAutospacing="1" w:line="276" w:lineRule="auto"/>
        <w:rPr>
          <w:rFonts w:ascii="Times New Roman" w:eastAsia="Calibri" w:hAnsi="Times New Roman" w:cs="Times New Roman"/>
          <w:sz w:val="24"/>
          <w:szCs w:val="24"/>
          <w:lang w:val="en-US" w:eastAsia="es-ES"/>
        </w:rPr>
      </w:pPr>
      <w:r w:rsidRPr="005F3DFA">
        <w:rPr>
          <w:rFonts w:ascii="Times New Roman" w:eastAsia="Calibri" w:hAnsi="Times New Roman" w:cs="Times New Roman"/>
          <w:sz w:val="24"/>
          <w:szCs w:val="24"/>
          <w:lang w:val="en-US" w:eastAsia="es-ES"/>
        </w:rPr>
        <w:t xml:space="preserve">Fischman, G.E., Marcetti Topper, A., Silova, I., Goebel, J. </w:t>
      </w:r>
      <w:r w:rsidR="00073449">
        <w:rPr>
          <w:rFonts w:ascii="Times New Roman" w:eastAsia="Calibri" w:hAnsi="Times New Roman" w:cs="Times New Roman"/>
          <w:sz w:val="24"/>
          <w:szCs w:val="24"/>
          <w:lang w:val="en-US" w:eastAsia="es-ES"/>
        </w:rPr>
        <w:t>y</w:t>
      </w:r>
      <w:r w:rsidRPr="005F3DFA">
        <w:rPr>
          <w:rFonts w:ascii="Times New Roman" w:eastAsia="Calibri" w:hAnsi="Times New Roman" w:cs="Times New Roman"/>
          <w:sz w:val="24"/>
          <w:szCs w:val="24"/>
          <w:lang w:val="en-US" w:eastAsia="es-ES"/>
        </w:rPr>
        <w:t xml:space="preserve"> Holloway, J.L. (2018). Examining the influence of international large-scale assessments on national education policies. </w:t>
      </w:r>
      <w:r w:rsidRPr="005F3DFA">
        <w:rPr>
          <w:rFonts w:ascii="Times New Roman" w:eastAsia="Calibri" w:hAnsi="Times New Roman" w:cs="Times New Roman"/>
          <w:i/>
          <w:sz w:val="24"/>
          <w:szCs w:val="24"/>
          <w:lang w:val="en-US" w:eastAsia="es-ES"/>
        </w:rPr>
        <w:t>Journal of Education Policy</w:t>
      </w:r>
      <w:r w:rsidR="001E68D7">
        <w:rPr>
          <w:rFonts w:ascii="Times New Roman" w:eastAsia="Calibri" w:hAnsi="Times New Roman" w:cs="Times New Roman"/>
          <w:sz w:val="24"/>
          <w:szCs w:val="24"/>
          <w:lang w:val="en-US" w:eastAsia="es-ES"/>
        </w:rPr>
        <w:t>, 34:4, 470-499,</w:t>
      </w:r>
      <w:r w:rsidRPr="005F3DFA">
        <w:rPr>
          <w:rFonts w:ascii="Times New Roman" w:eastAsia="Calibri" w:hAnsi="Times New Roman" w:cs="Times New Roman"/>
          <w:sz w:val="24"/>
          <w:szCs w:val="24"/>
          <w:lang w:val="en-US" w:eastAsia="es-ES"/>
        </w:rPr>
        <w:t xml:space="preserve"> DOI: 10.1080/02680939.2018.1460493.</w:t>
      </w:r>
    </w:p>
    <w:p w14:paraId="18CD0359" w14:textId="19CB56B1" w:rsidR="005F3DFA" w:rsidRPr="00D33852" w:rsidRDefault="005F3DFA" w:rsidP="005F3DFA">
      <w:pPr>
        <w:tabs>
          <w:tab w:val="left" w:pos="284"/>
        </w:tabs>
        <w:autoSpaceDE w:val="0"/>
        <w:autoSpaceDN w:val="0"/>
        <w:adjustRightInd w:val="0"/>
        <w:spacing w:before="100" w:beforeAutospacing="1" w:after="100" w:afterAutospacing="1" w:line="276" w:lineRule="auto"/>
        <w:rPr>
          <w:rFonts w:ascii="Times New Roman" w:eastAsia="Calibri" w:hAnsi="Times New Roman" w:cs="Times New Roman"/>
          <w:sz w:val="24"/>
          <w:szCs w:val="24"/>
          <w:lang w:val="en-US" w:eastAsia="es-ES"/>
        </w:rPr>
      </w:pPr>
      <w:r w:rsidRPr="005F3DFA">
        <w:rPr>
          <w:rFonts w:ascii="Times New Roman" w:eastAsia="Calibri" w:hAnsi="Times New Roman" w:cs="Times New Roman"/>
          <w:sz w:val="24"/>
          <w:szCs w:val="24"/>
          <w:lang w:val="en-US" w:eastAsia="es-ES"/>
        </w:rPr>
        <w:t xml:space="preserve">Freitas, P., Catela Nunes, L., Balcão Reis, A., Seabra, C. </w:t>
      </w:r>
      <w:r w:rsidR="00073449">
        <w:rPr>
          <w:rFonts w:ascii="Times New Roman" w:eastAsia="Calibri" w:hAnsi="Times New Roman" w:cs="Times New Roman"/>
          <w:sz w:val="24"/>
          <w:szCs w:val="24"/>
          <w:lang w:val="en-US" w:eastAsia="es-ES"/>
        </w:rPr>
        <w:t>y</w:t>
      </w:r>
      <w:r w:rsidRPr="005F3DFA">
        <w:rPr>
          <w:rFonts w:ascii="Times New Roman" w:eastAsia="Calibri" w:hAnsi="Times New Roman" w:cs="Times New Roman"/>
          <w:sz w:val="24"/>
          <w:szCs w:val="24"/>
          <w:lang w:val="en-US" w:eastAsia="es-ES"/>
        </w:rPr>
        <w:t xml:space="preserve"> Ferro, A. (2016). Correcting for sample problems in PISA and the improvement in Portuguese students’ performance. </w:t>
      </w:r>
      <w:r w:rsidRPr="00D33852">
        <w:rPr>
          <w:rFonts w:ascii="Times New Roman" w:eastAsia="Calibri" w:hAnsi="Times New Roman" w:cs="Times New Roman"/>
          <w:i/>
          <w:sz w:val="24"/>
          <w:szCs w:val="24"/>
          <w:lang w:val="en-US" w:eastAsia="es-ES"/>
        </w:rPr>
        <w:t>Assessment in Education: Principles, Policy &amp; Practice</w:t>
      </w:r>
      <w:r w:rsidRPr="00D33852">
        <w:rPr>
          <w:rFonts w:ascii="Times New Roman" w:eastAsia="Calibri" w:hAnsi="Times New Roman" w:cs="Times New Roman"/>
          <w:sz w:val="24"/>
          <w:szCs w:val="24"/>
          <w:lang w:val="en-US" w:eastAsia="es-ES"/>
        </w:rPr>
        <w:t>, 23:4, 456-472. DOI: 10.1080/0969594X.2015.1105784.</w:t>
      </w:r>
    </w:p>
    <w:p w14:paraId="09DA26D3" w14:textId="77E4E39D" w:rsidR="000A2476" w:rsidRPr="00E83C73" w:rsidRDefault="00CB732A" w:rsidP="00E83C73">
      <w:pPr>
        <w:tabs>
          <w:tab w:val="left" w:pos="284"/>
        </w:tabs>
        <w:autoSpaceDE w:val="0"/>
        <w:autoSpaceDN w:val="0"/>
        <w:adjustRightInd w:val="0"/>
        <w:spacing w:before="100" w:beforeAutospacing="1" w:after="100" w:afterAutospacing="1" w:line="276" w:lineRule="auto"/>
        <w:jc w:val="both"/>
        <w:rPr>
          <w:rFonts w:ascii="Times New Roman" w:eastAsia="Calibri" w:hAnsi="Times New Roman" w:cs="Times New Roman"/>
          <w:sz w:val="24"/>
          <w:szCs w:val="24"/>
          <w:lang w:val="en-US" w:eastAsia="es-ES"/>
        </w:rPr>
      </w:pPr>
      <w:r w:rsidRPr="00CB732A">
        <w:rPr>
          <w:rFonts w:ascii="Times New Roman" w:eastAsia="Calibri" w:hAnsi="Times New Roman" w:cs="Times New Roman"/>
          <w:sz w:val="24"/>
          <w:szCs w:val="24"/>
          <w:lang w:val="en-US" w:eastAsia="es-ES"/>
        </w:rPr>
        <w:t xml:space="preserve">Fuller, B., </w:t>
      </w:r>
      <w:r w:rsidR="00E83C73" w:rsidRPr="00CB732A">
        <w:rPr>
          <w:rFonts w:ascii="Times New Roman" w:eastAsia="Calibri" w:hAnsi="Times New Roman" w:cs="Times New Roman"/>
          <w:sz w:val="24"/>
          <w:szCs w:val="24"/>
          <w:lang w:val="en-US" w:eastAsia="es-ES"/>
        </w:rPr>
        <w:t>Henne,</w:t>
      </w:r>
      <w:r w:rsidRPr="00CB732A">
        <w:rPr>
          <w:rFonts w:ascii="Times New Roman" w:eastAsia="Calibri" w:hAnsi="Times New Roman" w:cs="Times New Roman"/>
          <w:sz w:val="24"/>
          <w:szCs w:val="24"/>
          <w:lang w:val="en-US" w:eastAsia="es-ES"/>
        </w:rPr>
        <w:t xml:space="preserve"> M.K. </w:t>
      </w:r>
      <w:r w:rsidR="00073449">
        <w:rPr>
          <w:rFonts w:ascii="Times New Roman" w:eastAsia="Calibri" w:hAnsi="Times New Roman" w:cs="Times New Roman"/>
          <w:sz w:val="24"/>
          <w:szCs w:val="24"/>
          <w:lang w:val="en-US" w:eastAsia="es-ES"/>
        </w:rPr>
        <w:t>y</w:t>
      </w:r>
      <w:r w:rsidRPr="00CB732A">
        <w:rPr>
          <w:rFonts w:ascii="Times New Roman" w:eastAsia="Calibri" w:hAnsi="Times New Roman" w:cs="Times New Roman"/>
          <w:sz w:val="24"/>
          <w:szCs w:val="24"/>
          <w:lang w:val="en-US" w:eastAsia="es-ES"/>
        </w:rPr>
        <w:t xml:space="preserve"> Hannum, E.</w:t>
      </w:r>
      <w:r w:rsidR="00E83C73" w:rsidRPr="00CB732A">
        <w:rPr>
          <w:rFonts w:ascii="Times New Roman" w:eastAsia="Calibri" w:hAnsi="Times New Roman" w:cs="Times New Roman"/>
          <w:sz w:val="24"/>
          <w:szCs w:val="24"/>
          <w:lang w:val="en-US" w:eastAsia="es-ES"/>
        </w:rPr>
        <w:t xml:space="preserve"> </w:t>
      </w:r>
      <w:r w:rsidRPr="00CB732A">
        <w:rPr>
          <w:rFonts w:ascii="Times New Roman" w:eastAsia="Calibri" w:hAnsi="Times New Roman" w:cs="Times New Roman"/>
          <w:sz w:val="24"/>
          <w:szCs w:val="24"/>
          <w:lang w:val="en-US" w:eastAsia="es-ES"/>
        </w:rPr>
        <w:t>(</w:t>
      </w:r>
      <w:r w:rsidR="00E83C73" w:rsidRPr="00CB732A">
        <w:rPr>
          <w:rFonts w:ascii="Times New Roman" w:eastAsia="Calibri" w:hAnsi="Times New Roman" w:cs="Times New Roman"/>
          <w:sz w:val="24"/>
          <w:szCs w:val="24"/>
          <w:lang w:val="en-US" w:eastAsia="es-ES"/>
        </w:rPr>
        <w:t>2008</w:t>
      </w:r>
      <w:r w:rsidRPr="00CB732A">
        <w:rPr>
          <w:rFonts w:ascii="Times New Roman" w:eastAsia="Calibri" w:hAnsi="Times New Roman" w:cs="Times New Roman"/>
          <w:sz w:val="24"/>
          <w:szCs w:val="24"/>
          <w:lang w:val="en-US" w:eastAsia="es-ES"/>
        </w:rPr>
        <w:t xml:space="preserve">). </w:t>
      </w:r>
      <w:r w:rsidR="00E83C73" w:rsidRPr="00CB732A">
        <w:rPr>
          <w:rFonts w:ascii="Times New Roman" w:eastAsia="Calibri" w:hAnsi="Times New Roman" w:cs="Times New Roman"/>
          <w:sz w:val="24"/>
          <w:szCs w:val="24"/>
          <w:lang w:val="en-US" w:eastAsia="es-ES"/>
        </w:rPr>
        <w:t>Strong States, Weak Schools: The Benefits and Dilemma</w:t>
      </w:r>
      <w:r w:rsidRPr="00CB732A">
        <w:rPr>
          <w:rFonts w:ascii="Times New Roman" w:eastAsia="Calibri" w:hAnsi="Times New Roman" w:cs="Times New Roman"/>
          <w:sz w:val="24"/>
          <w:szCs w:val="24"/>
          <w:lang w:val="en-US" w:eastAsia="es-ES"/>
        </w:rPr>
        <w:t>s of Centralized Accountability</w:t>
      </w:r>
      <w:r w:rsidR="00E83C73" w:rsidRPr="00CB732A">
        <w:rPr>
          <w:rFonts w:ascii="Times New Roman" w:eastAsia="Calibri" w:hAnsi="Times New Roman" w:cs="Times New Roman"/>
          <w:sz w:val="24"/>
          <w:szCs w:val="24"/>
          <w:lang w:val="en-US" w:eastAsia="es-ES"/>
        </w:rPr>
        <w:t>. UK: Emerald Group Publishing Limited.</w:t>
      </w:r>
    </w:p>
    <w:p w14:paraId="0E9B0308" w14:textId="74D1AD7C" w:rsidR="00073449" w:rsidRPr="005F3DFA" w:rsidRDefault="00F32EEF">
      <w:pPr>
        <w:tabs>
          <w:tab w:val="left" w:pos="284"/>
        </w:tabs>
        <w:autoSpaceDE w:val="0"/>
        <w:autoSpaceDN w:val="0"/>
        <w:adjustRightInd w:val="0"/>
        <w:spacing w:before="100" w:beforeAutospacing="1" w:after="100" w:afterAutospacing="1" w:line="276" w:lineRule="auto"/>
        <w:rPr>
          <w:rFonts w:ascii="Times New Roman" w:eastAsia="Calibri" w:hAnsi="Times New Roman" w:cs="Times New Roman"/>
          <w:iCs/>
          <w:sz w:val="24"/>
          <w:szCs w:val="24"/>
          <w:lang w:val="es-ES" w:eastAsia="es-ES"/>
        </w:rPr>
      </w:pPr>
      <w:r>
        <w:rPr>
          <w:rFonts w:ascii="Times New Roman" w:eastAsia="Calibri" w:hAnsi="Times New Roman" w:cs="Times New Roman"/>
          <w:iCs/>
          <w:sz w:val="24"/>
          <w:szCs w:val="24"/>
          <w:lang w:val="es-ES" w:eastAsia="es-ES"/>
        </w:rPr>
        <w:t xml:space="preserve">Huerta Cuervo, M. Rocío (2010). Iberoamérica en PISA 2006: Informe regional del Grupo Iberoamericano de PISA. Gestión y Política Pública, 19(2), 420-430. Recuperado el </w:t>
      </w:r>
      <w:r w:rsidR="00D244C3">
        <w:rPr>
          <w:rFonts w:ascii="Times New Roman" w:eastAsia="Calibri" w:hAnsi="Times New Roman" w:cs="Times New Roman"/>
          <w:iCs/>
          <w:sz w:val="24"/>
          <w:szCs w:val="24"/>
          <w:lang w:val="es-ES" w:eastAsia="es-ES"/>
        </w:rPr>
        <w:t>10/10/2018</w:t>
      </w:r>
      <w:r>
        <w:rPr>
          <w:rFonts w:ascii="Times New Roman" w:eastAsia="Calibri" w:hAnsi="Times New Roman" w:cs="Times New Roman"/>
          <w:iCs/>
          <w:sz w:val="24"/>
          <w:szCs w:val="24"/>
          <w:lang w:val="es-ES" w:eastAsia="es-ES"/>
        </w:rPr>
        <w:t xml:space="preserve">, de </w:t>
      </w:r>
      <w:hyperlink r:id="rId33" w:history="1">
        <w:r>
          <w:rPr>
            <w:rStyle w:val="Hipervnculo"/>
          </w:rPr>
          <w:t>http://www.scielo.org.mx/scielo.php?script=sci_arttext&amp;pid=S1405-10792010000200008</w:t>
        </w:r>
      </w:hyperlink>
    </w:p>
    <w:p w14:paraId="6455FDA7" w14:textId="2AF9658F" w:rsidR="005F3DFA" w:rsidRPr="005F3DFA" w:rsidRDefault="005F3DFA" w:rsidP="005F3DFA">
      <w:pPr>
        <w:spacing w:before="100" w:beforeAutospacing="1" w:after="100" w:afterAutospacing="1" w:line="276" w:lineRule="auto"/>
        <w:rPr>
          <w:rFonts w:ascii="Times New Roman" w:eastAsia="Calibri" w:hAnsi="Times New Roman" w:cs="Times New Roman"/>
          <w:sz w:val="24"/>
          <w:szCs w:val="24"/>
          <w:lang w:val="en-US" w:eastAsia="es-ES"/>
        </w:rPr>
      </w:pPr>
      <w:r w:rsidRPr="005F3DFA">
        <w:rPr>
          <w:rFonts w:ascii="Times New Roman" w:eastAsia="Calibri" w:hAnsi="Times New Roman" w:cs="Times New Roman"/>
          <w:sz w:val="24"/>
          <w:szCs w:val="24"/>
          <w:lang w:eastAsia="es-ES"/>
        </w:rPr>
        <w:t xml:space="preserve">Gneezy, U., List, J.A., Livingston, J.A., Sadoff, S., Qin, X. </w:t>
      </w:r>
      <w:r w:rsidR="00073449" w:rsidRPr="00DD2D50">
        <w:rPr>
          <w:rFonts w:ascii="Times New Roman" w:eastAsia="Calibri" w:hAnsi="Times New Roman" w:cs="Times New Roman"/>
          <w:sz w:val="24"/>
          <w:szCs w:val="24"/>
          <w:lang w:val="fr-FR" w:eastAsia="es-ES"/>
        </w:rPr>
        <w:t>y</w:t>
      </w:r>
      <w:r w:rsidRPr="00DD2D50">
        <w:rPr>
          <w:rFonts w:ascii="Times New Roman" w:eastAsia="Calibri" w:hAnsi="Times New Roman" w:cs="Times New Roman"/>
          <w:sz w:val="24"/>
          <w:szCs w:val="24"/>
          <w:lang w:val="fr-FR" w:eastAsia="es-ES"/>
        </w:rPr>
        <w:t xml:space="preserve"> Xu, Y. (2017). </w:t>
      </w:r>
      <w:r w:rsidRPr="005F3DFA">
        <w:rPr>
          <w:rFonts w:ascii="Times New Roman" w:eastAsia="Calibri" w:hAnsi="Times New Roman" w:cs="Times New Roman"/>
          <w:sz w:val="24"/>
          <w:szCs w:val="24"/>
          <w:lang w:val="en-US" w:eastAsia="es-ES"/>
        </w:rPr>
        <w:t xml:space="preserve">Measuring Success in Education: The Role of Effort on the Test Itself. </w:t>
      </w:r>
      <w:r w:rsidRPr="00D244C3">
        <w:rPr>
          <w:rFonts w:ascii="Times New Roman" w:eastAsia="Calibri" w:hAnsi="Times New Roman" w:cs="Times New Roman"/>
          <w:i/>
          <w:sz w:val="24"/>
          <w:szCs w:val="24"/>
          <w:lang w:val="en-US" w:eastAsia="es-ES"/>
        </w:rPr>
        <w:t>NBER Working Paper No</w:t>
      </w:r>
      <w:r w:rsidR="00F32EEF">
        <w:rPr>
          <w:rFonts w:ascii="Times New Roman" w:eastAsia="Calibri" w:hAnsi="Times New Roman" w:cs="Times New Roman"/>
          <w:sz w:val="24"/>
          <w:szCs w:val="24"/>
          <w:lang w:val="en-US" w:eastAsia="es-ES"/>
        </w:rPr>
        <w:t>.</w:t>
      </w:r>
      <w:r w:rsidRPr="005F3DFA">
        <w:rPr>
          <w:rFonts w:ascii="Times New Roman" w:eastAsia="Calibri" w:hAnsi="Times New Roman" w:cs="Times New Roman"/>
          <w:sz w:val="24"/>
          <w:szCs w:val="24"/>
          <w:lang w:val="en-US" w:eastAsia="es-ES"/>
        </w:rPr>
        <w:t xml:space="preserve"> 24004. </w:t>
      </w:r>
      <w:r w:rsidR="00181492">
        <w:rPr>
          <w:rFonts w:ascii="Times New Roman" w:eastAsia="Calibri" w:hAnsi="Times New Roman" w:cs="Times New Roman"/>
          <w:sz w:val="24"/>
          <w:szCs w:val="24"/>
          <w:lang w:val="en-US" w:eastAsia="es-ES"/>
        </w:rPr>
        <w:t>DOI: 10.3386/w24004</w:t>
      </w:r>
      <w:r w:rsidR="00F32EEF">
        <w:rPr>
          <w:rFonts w:ascii="Times New Roman" w:eastAsia="Calibri" w:hAnsi="Times New Roman" w:cs="Times New Roman"/>
          <w:sz w:val="24"/>
          <w:szCs w:val="24"/>
          <w:lang w:val="en-US" w:eastAsia="es-ES"/>
        </w:rPr>
        <w:t>.</w:t>
      </w:r>
    </w:p>
    <w:p w14:paraId="1DABAF2F" w14:textId="59A07538" w:rsidR="005F3DFA" w:rsidRDefault="005F3DFA" w:rsidP="005F3DFA">
      <w:pPr>
        <w:spacing w:before="100" w:beforeAutospacing="1" w:after="100" w:afterAutospacing="1" w:line="276" w:lineRule="auto"/>
        <w:rPr>
          <w:rFonts w:ascii="Times New Roman" w:eastAsia="MS Mincho" w:hAnsi="Times New Roman" w:cs="Times New Roman"/>
          <w:sz w:val="24"/>
          <w:szCs w:val="24"/>
          <w:lang w:val="en-US" w:eastAsia="es-ES"/>
        </w:rPr>
      </w:pPr>
      <w:r w:rsidRPr="005F3DFA">
        <w:rPr>
          <w:rFonts w:ascii="Times New Roman" w:eastAsia="MS Mincho" w:hAnsi="Times New Roman" w:cs="Times New Roman"/>
          <w:sz w:val="24"/>
          <w:szCs w:val="24"/>
          <w:lang w:val="en-US" w:eastAsia="es-ES"/>
        </w:rPr>
        <w:t xml:space="preserve">Grek, S., Lawn, M. </w:t>
      </w:r>
      <w:r w:rsidR="00073449">
        <w:rPr>
          <w:rFonts w:ascii="Times New Roman" w:eastAsia="MS Mincho" w:hAnsi="Times New Roman" w:cs="Times New Roman"/>
          <w:sz w:val="24"/>
          <w:szCs w:val="24"/>
          <w:lang w:val="en-US" w:eastAsia="es-ES"/>
        </w:rPr>
        <w:t>y</w:t>
      </w:r>
      <w:r w:rsidRPr="005F3DFA">
        <w:rPr>
          <w:rFonts w:ascii="Times New Roman" w:eastAsia="MS Mincho" w:hAnsi="Times New Roman" w:cs="Times New Roman"/>
          <w:sz w:val="24"/>
          <w:szCs w:val="24"/>
          <w:lang w:val="en-US" w:eastAsia="es-ES"/>
        </w:rPr>
        <w:t xml:space="preserve"> Ozga, J. (2009). Fabrication, circulation and use of a supra</w:t>
      </w:r>
      <w:r w:rsidR="00073449">
        <w:rPr>
          <w:rFonts w:ascii="Times New Roman" w:eastAsia="MS Mincho" w:hAnsi="Times New Roman" w:cs="Times New Roman"/>
          <w:sz w:val="24"/>
          <w:szCs w:val="24"/>
          <w:lang w:val="en-US" w:eastAsia="es-ES"/>
        </w:rPr>
        <w:t>-</w:t>
      </w:r>
      <w:r w:rsidRPr="005F3DFA">
        <w:rPr>
          <w:rFonts w:ascii="Times New Roman" w:eastAsia="MS Mincho" w:hAnsi="Times New Roman" w:cs="Times New Roman"/>
          <w:sz w:val="24"/>
          <w:szCs w:val="24"/>
          <w:lang w:val="en-US" w:eastAsia="es-ES"/>
        </w:rPr>
        <w:t xml:space="preserve">national instrument of regulation based on knowledge –Education Sector: Production of OECD’s Programme for International Student Assessment (PISA). Edinburgh: Centre for Educational Sociology, University of Edinburgh. </w:t>
      </w:r>
    </w:p>
    <w:p w14:paraId="50646570" w14:textId="5201FD8F" w:rsidR="00073449" w:rsidRDefault="00A546DF" w:rsidP="005F3DFA">
      <w:pPr>
        <w:spacing w:before="100" w:beforeAutospacing="1" w:after="100" w:afterAutospacing="1" w:line="276" w:lineRule="auto"/>
        <w:rPr>
          <w:rFonts w:ascii="Times New Roman" w:eastAsia="MS Mincho" w:hAnsi="Times New Roman" w:cs="Times New Roman"/>
          <w:sz w:val="24"/>
          <w:szCs w:val="24"/>
          <w:lang w:val="en-US" w:eastAsia="es-ES"/>
        </w:rPr>
      </w:pPr>
      <w:r w:rsidRPr="00A546DF">
        <w:rPr>
          <w:rFonts w:ascii="Times New Roman" w:eastAsia="MS Mincho" w:hAnsi="Times New Roman" w:cs="Times New Roman"/>
          <w:sz w:val="24"/>
          <w:szCs w:val="24"/>
          <w:lang w:val="en-US" w:eastAsia="es-ES"/>
        </w:rPr>
        <w:lastRenderedPageBreak/>
        <w:t>Hanushek,</w:t>
      </w:r>
      <w:r>
        <w:rPr>
          <w:rFonts w:ascii="Times New Roman" w:eastAsia="MS Mincho" w:hAnsi="Times New Roman" w:cs="Times New Roman"/>
          <w:sz w:val="24"/>
          <w:szCs w:val="24"/>
          <w:lang w:val="en-US" w:eastAsia="es-ES"/>
        </w:rPr>
        <w:t xml:space="preserve"> E. </w:t>
      </w:r>
      <w:r w:rsidR="00073449">
        <w:rPr>
          <w:rFonts w:ascii="Times New Roman" w:eastAsia="MS Mincho" w:hAnsi="Times New Roman" w:cs="Times New Roman"/>
          <w:sz w:val="24"/>
          <w:szCs w:val="24"/>
          <w:lang w:val="en-US" w:eastAsia="es-ES"/>
        </w:rPr>
        <w:t>y</w:t>
      </w:r>
      <w:r>
        <w:rPr>
          <w:rFonts w:ascii="Times New Roman" w:eastAsia="MS Mincho" w:hAnsi="Times New Roman" w:cs="Times New Roman"/>
          <w:sz w:val="24"/>
          <w:szCs w:val="24"/>
          <w:lang w:val="en-US" w:eastAsia="es-ES"/>
        </w:rPr>
        <w:t xml:space="preserve"> </w:t>
      </w:r>
      <w:r w:rsidRPr="00A546DF">
        <w:rPr>
          <w:rFonts w:ascii="Times New Roman" w:eastAsia="MS Mincho" w:hAnsi="Times New Roman" w:cs="Times New Roman"/>
          <w:sz w:val="24"/>
          <w:szCs w:val="24"/>
          <w:lang w:val="en-US" w:eastAsia="es-ES"/>
        </w:rPr>
        <w:t>Woessmann,</w:t>
      </w:r>
      <w:r>
        <w:rPr>
          <w:rFonts w:ascii="Times New Roman" w:eastAsia="MS Mincho" w:hAnsi="Times New Roman" w:cs="Times New Roman"/>
          <w:sz w:val="24"/>
          <w:szCs w:val="24"/>
          <w:lang w:val="en-US" w:eastAsia="es-ES"/>
        </w:rPr>
        <w:t xml:space="preserve"> L. (2012). </w:t>
      </w:r>
      <w:r w:rsidRPr="00A546DF">
        <w:rPr>
          <w:rFonts w:ascii="Times New Roman" w:eastAsia="MS Mincho" w:hAnsi="Times New Roman" w:cs="Times New Roman"/>
          <w:sz w:val="24"/>
          <w:szCs w:val="24"/>
          <w:lang w:val="en-US" w:eastAsia="es-ES"/>
        </w:rPr>
        <w:t>Schooling, educational achievement, and t</w:t>
      </w:r>
      <w:r>
        <w:rPr>
          <w:rFonts w:ascii="Times New Roman" w:eastAsia="MS Mincho" w:hAnsi="Times New Roman" w:cs="Times New Roman"/>
          <w:sz w:val="24"/>
          <w:szCs w:val="24"/>
          <w:lang w:val="en-US" w:eastAsia="es-ES"/>
        </w:rPr>
        <w:t xml:space="preserve">he Latin American growth puzzle. </w:t>
      </w:r>
      <w:r w:rsidRPr="00A546DF">
        <w:rPr>
          <w:rFonts w:ascii="Times New Roman" w:eastAsia="MS Mincho" w:hAnsi="Times New Roman" w:cs="Times New Roman"/>
          <w:i/>
          <w:sz w:val="24"/>
          <w:szCs w:val="24"/>
          <w:lang w:val="en-US" w:eastAsia="es-ES"/>
        </w:rPr>
        <w:t>Journal of Development Economics</w:t>
      </w:r>
      <w:r>
        <w:rPr>
          <w:rFonts w:ascii="Times New Roman" w:eastAsia="MS Mincho" w:hAnsi="Times New Roman" w:cs="Times New Roman"/>
          <w:sz w:val="24"/>
          <w:szCs w:val="24"/>
          <w:lang w:val="en-US" w:eastAsia="es-ES"/>
        </w:rPr>
        <w:t xml:space="preserve">, </w:t>
      </w:r>
      <w:r w:rsidR="00F32EEF">
        <w:rPr>
          <w:rFonts w:ascii="Times New Roman" w:eastAsia="MS Mincho" w:hAnsi="Times New Roman" w:cs="Times New Roman"/>
          <w:sz w:val="24"/>
          <w:szCs w:val="24"/>
          <w:lang w:val="en-US" w:eastAsia="es-ES"/>
        </w:rPr>
        <w:t>99(2)</w:t>
      </w:r>
      <w:r>
        <w:rPr>
          <w:rFonts w:ascii="Times New Roman" w:eastAsia="MS Mincho" w:hAnsi="Times New Roman" w:cs="Times New Roman"/>
          <w:sz w:val="24"/>
          <w:szCs w:val="24"/>
          <w:lang w:val="en-US" w:eastAsia="es-ES"/>
        </w:rPr>
        <w:t>, 497-512. DOI:</w:t>
      </w:r>
      <w:r w:rsidR="00F32EEF">
        <w:rPr>
          <w:rFonts w:ascii="Times New Roman" w:eastAsia="MS Mincho" w:hAnsi="Times New Roman" w:cs="Times New Roman"/>
          <w:sz w:val="24"/>
          <w:szCs w:val="24"/>
          <w:lang w:val="en-US" w:eastAsia="es-ES"/>
        </w:rPr>
        <w:t>10.1016/j.jdeveco.2012.06.004.</w:t>
      </w:r>
    </w:p>
    <w:p w14:paraId="136DCA95" w14:textId="5DD09238" w:rsidR="005F3DFA" w:rsidRPr="00D33852" w:rsidRDefault="005F3DFA" w:rsidP="005F3DFA">
      <w:pPr>
        <w:spacing w:before="100" w:beforeAutospacing="1" w:after="100" w:afterAutospacing="1" w:line="276" w:lineRule="auto"/>
        <w:rPr>
          <w:rFonts w:ascii="Times New Roman" w:eastAsia="Calibri" w:hAnsi="Times New Roman" w:cs="Times New Roman"/>
          <w:sz w:val="24"/>
          <w:szCs w:val="24"/>
          <w:lang w:val="es-MX" w:eastAsia="es-ES"/>
        </w:rPr>
      </w:pPr>
      <w:r w:rsidRPr="005F3DFA">
        <w:rPr>
          <w:rFonts w:ascii="Times New Roman" w:eastAsia="Calibri" w:hAnsi="Times New Roman" w:cs="Times New Roman"/>
          <w:sz w:val="24"/>
          <w:szCs w:val="24"/>
          <w:lang w:val="en-US" w:eastAsia="es-ES"/>
        </w:rPr>
        <w:t xml:space="preserve">Hopfenbeck, T.N., Lenkeit, J., El Masri, Y., Cantrell, K., Ryan, J. </w:t>
      </w:r>
      <w:r w:rsidR="00073449">
        <w:rPr>
          <w:rFonts w:ascii="Times New Roman" w:eastAsia="Calibri" w:hAnsi="Times New Roman" w:cs="Times New Roman"/>
          <w:sz w:val="24"/>
          <w:szCs w:val="24"/>
          <w:lang w:val="en-US" w:eastAsia="es-ES"/>
        </w:rPr>
        <w:t>y</w:t>
      </w:r>
      <w:r w:rsidRPr="005F3DFA">
        <w:rPr>
          <w:rFonts w:ascii="Times New Roman" w:eastAsia="Calibri" w:hAnsi="Times New Roman" w:cs="Times New Roman"/>
          <w:sz w:val="24"/>
          <w:szCs w:val="24"/>
          <w:lang w:val="en-US" w:eastAsia="es-ES"/>
        </w:rPr>
        <w:t xml:space="preserve"> Baird, J. (2017). Lessons Learned from PISA: A Systematic Review of Peer-Reviewed Articles on the Programme for International Student Assessment. </w:t>
      </w:r>
      <w:r w:rsidRPr="00D33852">
        <w:rPr>
          <w:rFonts w:ascii="Times New Roman" w:eastAsia="Calibri" w:hAnsi="Times New Roman" w:cs="Times New Roman"/>
          <w:i/>
          <w:sz w:val="24"/>
          <w:szCs w:val="24"/>
          <w:lang w:val="es-MX" w:eastAsia="es-ES"/>
        </w:rPr>
        <w:t>Scandinavian Journal of Educational Research</w:t>
      </w:r>
      <w:r w:rsidRPr="00D33852">
        <w:rPr>
          <w:rFonts w:ascii="Times New Roman" w:eastAsia="Calibri" w:hAnsi="Times New Roman" w:cs="Times New Roman"/>
          <w:sz w:val="24"/>
          <w:szCs w:val="24"/>
          <w:lang w:val="es-MX" w:eastAsia="es-ES"/>
        </w:rPr>
        <w:t>, 62 (3)</w:t>
      </w:r>
      <w:r w:rsidR="00F32EEF">
        <w:rPr>
          <w:rFonts w:ascii="Times New Roman" w:eastAsia="Calibri" w:hAnsi="Times New Roman" w:cs="Times New Roman"/>
          <w:sz w:val="24"/>
          <w:szCs w:val="24"/>
          <w:lang w:val="es-MX" w:eastAsia="es-ES"/>
        </w:rPr>
        <w:t>,</w:t>
      </w:r>
      <w:r w:rsidRPr="00D33852">
        <w:rPr>
          <w:rFonts w:ascii="Times New Roman" w:eastAsia="Calibri" w:hAnsi="Times New Roman" w:cs="Times New Roman"/>
          <w:sz w:val="24"/>
          <w:szCs w:val="24"/>
          <w:lang w:val="es-MX" w:eastAsia="es-ES"/>
        </w:rPr>
        <w:t xml:space="preserve"> 333–353. DOI:10.1080 /00313831.2016.1258726.</w:t>
      </w:r>
    </w:p>
    <w:p w14:paraId="314E24B0" w14:textId="258645B6" w:rsidR="005F3DFA" w:rsidRPr="005F3DFA" w:rsidRDefault="007A7EF2" w:rsidP="005F3DFA">
      <w:pPr>
        <w:spacing w:before="100" w:beforeAutospacing="1" w:after="100" w:afterAutospacing="1" w:line="276" w:lineRule="auto"/>
        <w:rPr>
          <w:rFonts w:ascii="Times New Roman" w:eastAsia="Calibri" w:hAnsi="Times New Roman" w:cs="Times New Roman"/>
          <w:sz w:val="24"/>
          <w:szCs w:val="24"/>
          <w:lang w:eastAsia="es-ES"/>
        </w:rPr>
      </w:pPr>
      <w:r w:rsidRPr="007A7EF2">
        <w:rPr>
          <w:rFonts w:ascii="Times New Roman" w:eastAsia="Calibri" w:hAnsi="Times New Roman" w:cs="Times New Roman"/>
          <w:sz w:val="24"/>
          <w:szCs w:val="24"/>
          <w:lang w:eastAsia="es-ES"/>
        </w:rPr>
        <w:t>Instituto Colombiano para la Evaluación de la Educación</w:t>
      </w:r>
      <w:r w:rsidRPr="007A7EF2" w:rsidDel="007A7EF2">
        <w:rPr>
          <w:rFonts w:ascii="Times New Roman" w:eastAsia="Calibri" w:hAnsi="Times New Roman" w:cs="Times New Roman"/>
          <w:sz w:val="24"/>
          <w:szCs w:val="24"/>
          <w:lang w:eastAsia="es-ES"/>
        </w:rPr>
        <w:t xml:space="preserve"> </w:t>
      </w:r>
      <w:r w:rsidR="005F3DFA" w:rsidRPr="005F3DFA">
        <w:rPr>
          <w:rFonts w:ascii="Times New Roman" w:eastAsia="Calibri" w:hAnsi="Times New Roman" w:cs="Times New Roman"/>
          <w:sz w:val="24"/>
          <w:szCs w:val="24"/>
          <w:lang w:eastAsia="es-ES"/>
        </w:rPr>
        <w:t xml:space="preserve">(2017). Informe Nacional de Resultados. Colombia en PISA 2015. Ministerio de Educación de Colombia. </w:t>
      </w:r>
    </w:p>
    <w:p w14:paraId="1DE23EA5" w14:textId="401805D4" w:rsidR="005F3DFA" w:rsidRPr="005F3DFA" w:rsidRDefault="005F3DFA" w:rsidP="005F3DFA">
      <w:pPr>
        <w:spacing w:before="100" w:beforeAutospacing="1" w:after="100" w:afterAutospacing="1" w:line="276" w:lineRule="auto"/>
        <w:rPr>
          <w:rFonts w:ascii="Times New Roman" w:eastAsia="MS Mincho" w:hAnsi="Times New Roman" w:cs="Times New Roman"/>
          <w:sz w:val="24"/>
          <w:szCs w:val="24"/>
          <w:lang w:eastAsia="es-ES"/>
        </w:rPr>
      </w:pPr>
      <w:r w:rsidRPr="005F3DFA">
        <w:rPr>
          <w:rFonts w:ascii="Times New Roman" w:eastAsia="MS Mincho" w:hAnsi="Times New Roman" w:cs="Times New Roman"/>
          <w:sz w:val="24"/>
          <w:szCs w:val="24"/>
          <w:lang w:eastAsia="es-ES"/>
        </w:rPr>
        <w:t xml:space="preserve">Instituto Nacional de Evaluación Educativa (2016). México en PISA 2015. México: INEE. </w:t>
      </w:r>
      <w:r w:rsidR="00F32EEF">
        <w:rPr>
          <w:rFonts w:ascii="Times New Roman" w:eastAsia="MS Mincho" w:hAnsi="Times New Roman" w:cs="Times New Roman"/>
          <w:sz w:val="24"/>
          <w:szCs w:val="24"/>
          <w:lang w:eastAsia="es-ES"/>
        </w:rPr>
        <w:t>Recuperado el</w:t>
      </w:r>
      <w:r w:rsidR="00D244C3">
        <w:rPr>
          <w:rFonts w:ascii="Times New Roman" w:eastAsia="MS Mincho" w:hAnsi="Times New Roman" w:cs="Times New Roman"/>
          <w:sz w:val="24"/>
          <w:szCs w:val="24"/>
          <w:lang w:eastAsia="es-ES"/>
        </w:rPr>
        <w:t xml:space="preserve"> 10/10/2018</w:t>
      </w:r>
      <w:r w:rsidR="00F32EEF">
        <w:rPr>
          <w:rFonts w:ascii="Times New Roman" w:eastAsia="MS Mincho" w:hAnsi="Times New Roman" w:cs="Times New Roman"/>
          <w:sz w:val="24"/>
          <w:szCs w:val="24"/>
          <w:lang w:eastAsia="es-ES"/>
        </w:rPr>
        <w:t>, de</w:t>
      </w:r>
      <w:r w:rsidRPr="005F3DFA">
        <w:rPr>
          <w:rFonts w:ascii="Times New Roman" w:eastAsia="MS Mincho" w:hAnsi="Times New Roman" w:cs="Times New Roman"/>
          <w:sz w:val="24"/>
          <w:szCs w:val="24"/>
          <w:lang w:eastAsia="es-ES"/>
        </w:rPr>
        <w:t xml:space="preserve"> </w:t>
      </w:r>
      <w:hyperlink r:id="rId34" w:history="1">
        <w:r w:rsidRPr="005F3DFA">
          <w:rPr>
            <w:rFonts w:ascii="Times New Roman" w:eastAsia="MS Mincho" w:hAnsi="Times New Roman" w:cs="Times New Roman"/>
            <w:color w:val="0000FF"/>
            <w:sz w:val="24"/>
            <w:szCs w:val="24"/>
            <w:u w:val="single"/>
            <w:lang w:eastAsia="es-ES"/>
          </w:rPr>
          <w:t>http://publicaciones.inee.edu.mx/buscadorPub/P1/D/316/P1D316.pdf</w:t>
        </w:r>
      </w:hyperlink>
    </w:p>
    <w:p w14:paraId="6D694403" w14:textId="43A9DD55" w:rsidR="00EB408E" w:rsidRDefault="00EB408E" w:rsidP="00EB408E">
      <w:pPr>
        <w:spacing w:before="100" w:beforeAutospacing="1" w:after="100" w:afterAutospacing="1" w:line="276" w:lineRule="auto"/>
        <w:rPr>
          <w:rFonts w:ascii="Times New Roman" w:eastAsia="Calibri" w:hAnsi="Times New Roman" w:cs="Times New Roman"/>
          <w:sz w:val="24"/>
          <w:szCs w:val="24"/>
          <w:lang w:val="en-US" w:eastAsia="es-ES"/>
        </w:rPr>
      </w:pPr>
      <w:r w:rsidRPr="00EB408E">
        <w:rPr>
          <w:rFonts w:ascii="Times New Roman" w:eastAsia="Calibri" w:hAnsi="Times New Roman" w:cs="Times New Roman"/>
          <w:sz w:val="24"/>
          <w:szCs w:val="24"/>
          <w:lang w:val="en-US" w:eastAsia="es-ES"/>
        </w:rPr>
        <w:t>Jodouin, H. (2014)</w:t>
      </w:r>
      <w:r w:rsidR="00F32EEF">
        <w:rPr>
          <w:rFonts w:ascii="Times New Roman" w:eastAsia="Calibri" w:hAnsi="Times New Roman" w:cs="Times New Roman"/>
          <w:sz w:val="24"/>
          <w:szCs w:val="24"/>
          <w:lang w:val="en-US" w:eastAsia="es-ES"/>
        </w:rPr>
        <w:t>.</w:t>
      </w:r>
      <w:r w:rsidRPr="00EB408E">
        <w:rPr>
          <w:rFonts w:ascii="Times New Roman" w:eastAsia="Calibri" w:hAnsi="Times New Roman" w:cs="Times New Roman"/>
          <w:sz w:val="24"/>
          <w:szCs w:val="24"/>
          <w:lang w:val="en-US" w:eastAsia="es-ES"/>
        </w:rPr>
        <w:t xml:space="preserve"> </w:t>
      </w:r>
      <w:r w:rsidRPr="00EB408E">
        <w:rPr>
          <w:rFonts w:ascii="Times New Roman" w:eastAsia="Calibri" w:hAnsi="Times New Roman" w:cs="Times New Roman"/>
          <w:i/>
          <w:sz w:val="24"/>
          <w:szCs w:val="24"/>
          <w:lang w:val="en-US" w:eastAsia="es-ES"/>
        </w:rPr>
        <w:t>Differential omission rates: Exploring factors that influence omission rates in a large-scale Pan-Canadian assessment</w:t>
      </w:r>
      <w:r w:rsidRPr="00EB408E">
        <w:rPr>
          <w:rFonts w:ascii="Times New Roman" w:eastAsia="Calibri" w:hAnsi="Times New Roman" w:cs="Times New Roman"/>
          <w:sz w:val="24"/>
          <w:szCs w:val="24"/>
          <w:lang w:val="en-US" w:eastAsia="es-ES"/>
        </w:rPr>
        <w:t>, PhD Thesis, Department of Applied Psychology and Human Development, Ontario Institute for Studies in Education, University of Toronto.</w:t>
      </w:r>
    </w:p>
    <w:p w14:paraId="0B89F718" w14:textId="53075FBE" w:rsidR="005F3DFA" w:rsidRPr="00181492" w:rsidRDefault="005F3DFA" w:rsidP="00EB408E">
      <w:pPr>
        <w:spacing w:before="100" w:beforeAutospacing="1" w:after="100" w:afterAutospacing="1" w:line="276" w:lineRule="auto"/>
        <w:rPr>
          <w:rFonts w:ascii="Times New Roman" w:hAnsi="Times New Roman" w:cs="Times New Roman"/>
          <w:sz w:val="24"/>
          <w:szCs w:val="24"/>
        </w:rPr>
      </w:pPr>
      <w:r w:rsidRPr="00EB408E">
        <w:rPr>
          <w:rFonts w:ascii="Times New Roman" w:eastAsia="Calibri" w:hAnsi="Times New Roman" w:cs="Times New Roman"/>
          <w:sz w:val="24"/>
          <w:szCs w:val="24"/>
          <w:lang w:val="en-US" w:eastAsia="es-ES"/>
        </w:rPr>
        <w:t xml:space="preserve">Klein, R. (2011). </w:t>
      </w:r>
      <w:r w:rsidRPr="005F3DFA">
        <w:rPr>
          <w:rFonts w:ascii="Times New Roman" w:eastAsia="Calibri" w:hAnsi="Times New Roman" w:cs="Times New Roman"/>
          <w:sz w:val="24"/>
          <w:szCs w:val="24"/>
          <w:lang w:val="es-MX" w:eastAsia="es-ES"/>
        </w:rPr>
        <w:t>Uma re-análise dos resultados do PISA: problemas de comparabilidade</w:t>
      </w:r>
      <w:r w:rsidR="00EA4EB3">
        <w:rPr>
          <w:rFonts w:ascii="Times New Roman" w:eastAsia="Calibri" w:hAnsi="Times New Roman" w:cs="Times New Roman"/>
          <w:i/>
          <w:sz w:val="24"/>
          <w:szCs w:val="24"/>
          <w:lang w:val="es-MX" w:eastAsia="es-ES"/>
        </w:rPr>
        <w:t>.</w:t>
      </w:r>
      <w:r w:rsidRPr="005F3DFA">
        <w:rPr>
          <w:rFonts w:ascii="Times New Roman" w:eastAsia="Calibri" w:hAnsi="Times New Roman" w:cs="Times New Roman"/>
          <w:i/>
          <w:sz w:val="24"/>
          <w:szCs w:val="24"/>
          <w:lang w:val="es-MX" w:eastAsia="es-ES"/>
        </w:rPr>
        <w:t xml:space="preserve"> Ensaio: Avaliação e Políticas Públicas em Educação</w:t>
      </w:r>
      <w:r w:rsidRPr="005F3DFA">
        <w:rPr>
          <w:rFonts w:ascii="Times New Roman" w:eastAsia="Calibri" w:hAnsi="Times New Roman" w:cs="Times New Roman"/>
          <w:sz w:val="24"/>
          <w:szCs w:val="24"/>
          <w:lang w:val="es-MX" w:eastAsia="es-ES"/>
        </w:rPr>
        <w:t>, 19 (73)</w:t>
      </w:r>
      <w:r w:rsidR="00EA4EB3">
        <w:rPr>
          <w:rFonts w:ascii="Times New Roman" w:eastAsia="Calibri" w:hAnsi="Times New Roman" w:cs="Times New Roman"/>
          <w:sz w:val="24"/>
          <w:szCs w:val="24"/>
          <w:lang w:val="es-MX" w:eastAsia="es-ES"/>
        </w:rPr>
        <w:t>, 717-742, DOI:10.1590/S0104-40362011000500002</w:t>
      </w:r>
      <w:r w:rsidRPr="005F3DFA">
        <w:rPr>
          <w:rFonts w:ascii="Times New Roman" w:eastAsia="Calibri" w:hAnsi="Times New Roman" w:cs="Times New Roman"/>
          <w:sz w:val="24"/>
          <w:szCs w:val="24"/>
          <w:lang w:val="es-MX" w:eastAsia="es-ES"/>
        </w:rPr>
        <w:t xml:space="preserve"> </w:t>
      </w:r>
    </w:p>
    <w:p w14:paraId="46D8FB35" w14:textId="534EE6D1" w:rsidR="005F3DFA" w:rsidRPr="00D33852" w:rsidRDefault="005F3DFA" w:rsidP="005F3DFA">
      <w:pPr>
        <w:spacing w:before="100" w:beforeAutospacing="1" w:after="100" w:afterAutospacing="1" w:line="276" w:lineRule="auto"/>
        <w:rPr>
          <w:rFonts w:ascii="Times New Roman" w:eastAsia="Calibri" w:hAnsi="Times New Roman" w:cs="Times New Roman"/>
          <w:sz w:val="24"/>
          <w:szCs w:val="24"/>
          <w:lang w:val="fr-FR" w:eastAsia="es-ES"/>
        </w:rPr>
      </w:pPr>
      <w:r w:rsidRPr="005F3DFA">
        <w:rPr>
          <w:rFonts w:ascii="Times New Roman" w:eastAsia="Calibri" w:hAnsi="Times New Roman" w:cs="Times New Roman"/>
          <w:sz w:val="24"/>
          <w:szCs w:val="24"/>
          <w:lang w:val="en-US" w:eastAsia="es-ES"/>
        </w:rPr>
        <w:t xml:space="preserve">Kreiner, S. </w:t>
      </w:r>
      <w:r w:rsidR="00A32D11">
        <w:rPr>
          <w:rFonts w:ascii="Times New Roman" w:eastAsia="Calibri" w:hAnsi="Times New Roman" w:cs="Times New Roman"/>
          <w:sz w:val="24"/>
          <w:szCs w:val="24"/>
          <w:lang w:val="en-US" w:eastAsia="es-ES"/>
        </w:rPr>
        <w:t>y</w:t>
      </w:r>
      <w:r w:rsidRPr="005F3DFA">
        <w:rPr>
          <w:rFonts w:ascii="Times New Roman" w:eastAsia="Calibri" w:hAnsi="Times New Roman" w:cs="Times New Roman"/>
          <w:sz w:val="24"/>
          <w:szCs w:val="24"/>
          <w:lang w:val="en-US" w:eastAsia="es-ES"/>
        </w:rPr>
        <w:t xml:space="preserve"> Christensen, K. B. (2014). Analyses of model fit and robustness. A new look at the PISA scaling model underlying ranking of countries according to reading literacy. </w:t>
      </w:r>
      <w:r w:rsidRPr="00D33852">
        <w:rPr>
          <w:rFonts w:ascii="Times New Roman" w:eastAsia="Calibri" w:hAnsi="Times New Roman" w:cs="Times New Roman"/>
          <w:i/>
          <w:sz w:val="24"/>
          <w:szCs w:val="24"/>
          <w:lang w:val="fr-FR" w:eastAsia="es-ES"/>
        </w:rPr>
        <w:t>Psychometrika</w:t>
      </w:r>
      <w:r w:rsidRPr="00D33852">
        <w:rPr>
          <w:rFonts w:ascii="Times New Roman" w:eastAsia="Calibri" w:hAnsi="Times New Roman" w:cs="Times New Roman"/>
          <w:sz w:val="24"/>
          <w:szCs w:val="24"/>
          <w:lang w:val="fr-FR" w:eastAsia="es-ES"/>
        </w:rPr>
        <w:t>, 79(2), 210-231</w:t>
      </w:r>
      <w:r w:rsidR="00A76F6E">
        <w:rPr>
          <w:rFonts w:ascii="Times New Roman" w:eastAsia="Calibri" w:hAnsi="Times New Roman" w:cs="Times New Roman"/>
          <w:sz w:val="24"/>
          <w:szCs w:val="24"/>
          <w:lang w:val="fr-FR" w:eastAsia="es-ES"/>
        </w:rPr>
        <w:t>, DOI :10.1007/s11336-013-9347-z.</w:t>
      </w:r>
    </w:p>
    <w:p w14:paraId="0D29EF88" w14:textId="14F9AEFA" w:rsidR="005F3DFA" w:rsidRPr="005F3DFA" w:rsidRDefault="005F3DFA" w:rsidP="005F3DFA">
      <w:pPr>
        <w:spacing w:before="100" w:beforeAutospacing="1" w:after="100" w:afterAutospacing="1" w:line="276" w:lineRule="auto"/>
        <w:rPr>
          <w:rFonts w:ascii="Times New Roman" w:eastAsia="Calibri" w:hAnsi="Times New Roman" w:cs="Times New Roman"/>
          <w:sz w:val="24"/>
          <w:szCs w:val="24"/>
          <w:lang w:val="en-US" w:eastAsia="es-ES"/>
        </w:rPr>
      </w:pPr>
      <w:r w:rsidRPr="00D33852">
        <w:rPr>
          <w:rFonts w:ascii="Times New Roman" w:eastAsia="Calibri" w:hAnsi="Times New Roman" w:cs="Times New Roman"/>
          <w:sz w:val="24"/>
          <w:szCs w:val="24"/>
          <w:lang w:val="fr-FR" w:eastAsia="es-ES"/>
        </w:rPr>
        <w:t xml:space="preserve">Lewis, S. </w:t>
      </w:r>
      <w:r w:rsidR="00A32D11">
        <w:rPr>
          <w:rFonts w:ascii="Times New Roman" w:eastAsia="Calibri" w:hAnsi="Times New Roman" w:cs="Times New Roman"/>
          <w:sz w:val="24"/>
          <w:szCs w:val="24"/>
          <w:lang w:val="fr-FR" w:eastAsia="es-ES"/>
        </w:rPr>
        <w:t>y</w:t>
      </w:r>
      <w:r w:rsidRPr="00D33852">
        <w:rPr>
          <w:rFonts w:ascii="Times New Roman" w:eastAsia="Calibri" w:hAnsi="Times New Roman" w:cs="Times New Roman"/>
          <w:sz w:val="24"/>
          <w:szCs w:val="24"/>
          <w:lang w:val="fr-FR" w:eastAsia="es-ES"/>
        </w:rPr>
        <w:t xml:space="preserve"> Lingard, B. (2015). </w:t>
      </w:r>
      <w:r w:rsidRPr="005F3DFA">
        <w:rPr>
          <w:rFonts w:ascii="Times New Roman" w:eastAsia="Calibri" w:hAnsi="Times New Roman" w:cs="Times New Roman"/>
          <w:sz w:val="24"/>
          <w:szCs w:val="24"/>
          <w:lang w:val="en-US" w:eastAsia="es-ES"/>
        </w:rPr>
        <w:t xml:space="preserve">The Multiple Effects of International Large-Scale Assessment on Education Policy and Research. </w:t>
      </w:r>
      <w:r w:rsidRPr="005F3DFA">
        <w:rPr>
          <w:rFonts w:ascii="Times New Roman" w:eastAsia="Calibri" w:hAnsi="Times New Roman" w:cs="Times New Roman"/>
          <w:i/>
          <w:sz w:val="24"/>
          <w:szCs w:val="24"/>
          <w:lang w:val="en-US" w:eastAsia="es-ES"/>
        </w:rPr>
        <w:t>Discourse</w:t>
      </w:r>
      <w:r w:rsidRPr="005F3DFA">
        <w:rPr>
          <w:rFonts w:ascii="Times New Roman" w:eastAsia="Calibri" w:hAnsi="Times New Roman" w:cs="Times New Roman"/>
          <w:sz w:val="24"/>
          <w:szCs w:val="24"/>
          <w:lang w:val="en-US" w:eastAsia="es-ES"/>
        </w:rPr>
        <w:t>, 36 (5): 621–637. DOI:10.1080/01596306.2015.1039765.</w:t>
      </w:r>
    </w:p>
    <w:p w14:paraId="1CD6EEA1" w14:textId="11AD8B83" w:rsidR="005F3DFA" w:rsidRPr="00D33852" w:rsidRDefault="005F3DFA" w:rsidP="005F3DFA">
      <w:pPr>
        <w:spacing w:before="100" w:beforeAutospacing="1" w:after="100" w:afterAutospacing="1" w:line="276" w:lineRule="auto"/>
        <w:rPr>
          <w:rFonts w:ascii="Times New Roman" w:eastAsia="Calibri" w:hAnsi="Times New Roman" w:cs="Times New Roman"/>
          <w:sz w:val="24"/>
          <w:szCs w:val="24"/>
          <w:lang w:val="es-MX" w:eastAsia="es-ES"/>
        </w:rPr>
      </w:pPr>
      <w:r w:rsidRPr="005F3DFA">
        <w:rPr>
          <w:rFonts w:ascii="Times New Roman" w:eastAsia="Calibri" w:hAnsi="Times New Roman" w:cs="Times New Roman"/>
          <w:sz w:val="24"/>
          <w:szCs w:val="24"/>
          <w:lang w:val="en-US" w:eastAsia="es-ES"/>
        </w:rPr>
        <w:t xml:space="preserve">Lindblad, S., Pettersson, D., </w:t>
      </w:r>
      <w:r w:rsidR="00A32D11">
        <w:rPr>
          <w:rFonts w:ascii="Times New Roman" w:eastAsia="Calibri" w:hAnsi="Times New Roman" w:cs="Times New Roman"/>
          <w:sz w:val="24"/>
          <w:szCs w:val="24"/>
          <w:lang w:val="en-US" w:eastAsia="es-ES"/>
        </w:rPr>
        <w:t>y</w:t>
      </w:r>
      <w:r w:rsidRPr="005F3DFA">
        <w:rPr>
          <w:rFonts w:ascii="Times New Roman" w:eastAsia="Calibri" w:hAnsi="Times New Roman" w:cs="Times New Roman"/>
          <w:sz w:val="24"/>
          <w:szCs w:val="24"/>
          <w:lang w:val="en-US" w:eastAsia="es-ES"/>
        </w:rPr>
        <w:t xml:space="preserve"> Popkewitz, T. S. (2015). International comparisons of school results: A systematic review of research on </w:t>
      </w:r>
      <w:r w:rsidR="00A32D11" w:rsidRPr="005F3DFA">
        <w:rPr>
          <w:rFonts w:ascii="Times New Roman" w:eastAsia="Calibri" w:hAnsi="Times New Roman" w:cs="Times New Roman"/>
          <w:sz w:val="24"/>
          <w:szCs w:val="24"/>
          <w:lang w:val="en-US" w:eastAsia="es-ES"/>
        </w:rPr>
        <w:t>large-scale</w:t>
      </w:r>
      <w:r w:rsidRPr="005F3DFA">
        <w:rPr>
          <w:rFonts w:ascii="Times New Roman" w:eastAsia="Calibri" w:hAnsi="Times New Roman" w:cs="Times New Roman"/>
          <w:sz w:val="24"/>
          <w:szCs w:val="24"/>
          <w:lang w:val="en-US" w:eastAsia="es-ES"/>
        </w:rPr>
        <w:t xml:space="preserve"> assessments in education. </w:t>
      </w:r>
      <w:r w:rsidRPr="00D33852">
        <w:rPr>
          <w:rFonts w:ascii="Times New Roman" w:eastAsia="Calibri" w:hAnsi="Times New Roman" w:cs="Times New Roman"/>
          <w:sz w:val="24"/>
          <w:szCs w:val="24"/>
          <w:lang w:val="es-MX" w:eastAsia="es-ES"/>
        </w:rPr>
        <w:t>Stockholm: Swedish Research Council.</w:t>
      </w:r>
    </w:p>
    <w:p w14:paraId="31D57FE1" w14:textId="7C603FA1" w:rsidR="00E83C73" w:rsidRPr="00D33852" w:rsidRDefault="00CB732A" w:rsidP="005F3DFA">
      <w:pPr>
        <w:spacing w:before="100" w:beforeAutospacing="1" w:after="100" w:afterAutospacing="1" w:line="276" w:lineRule="auto"/>
        <w:rPr>
          <w:rFonts w:ascii="Times New Roman" w:eastAsia="Calibri" w:hAnsi="Times New Roman" w:cs="Times New Roman"/>
          <w:sz w:val="24"/>
          <w:szCs w:val="24"/>
          <w:lang w:val="en-US" w:eastAsia="es-ES"/>
        </w:rPr>
      </w:pPr>
      <w:r w:rsidRPr="00CB732A">
        <w:rPr>
          <w:rFonts w:ascii="Times New Roman" w:eastAsia="Calibri" w:hAnsi="Times New Roman" w:cs="Times New Roman"/>
          <w:sz w:val="24"/>
          <w:szCs w:val="24"/>
          <w:lang w:eastAsia="es-ES"/>
        </w:rPr>
        <w:t>LLECE-UNESCO (</w:t>
      </w:r>
      <w:r w:rsidR="00E83C73" w:rsidRPr="00CB732A">
        <w:rPr>
          <w:rFonts w:ascii="Times New Roman" w:eastAsia="Calibri" w:hAnsi="Times New Roman" w:cs="Times New Roman"/>
          <w:sz w:val="24"/>
          <w:szCs w:val="24"/>
          <w:lang w:eastAsia="es-ES"/>
        </w:rPr>
        <w:t>2014</w:t>
      </w:r>
      <w:r w:rsidRPr="00CB732A">
        <w:rPr>
          <w:rFonts w:ascii="Times New Roman" w:eastAsia="Calibri" w:hAnsi="Times New Roman" w:cs="Times New Roman"/>
          <w:sz w:val="24"/>
          <w:szCs w:val="24"/>
          <w:lang w:eastAsia="es-ES"/>
        </w:rPr>
        <w:t>)</w:t>
      </w:r>
      <w:r w:rsidR="00E83C73" w:rsidRPr="00CB732A">
        <w:rPr>
          <w:rFonts w:ascii="Times New Roman" w:eastAsia="Calibri" w:hAnsi="Times New Roman" w:cs="Times New Roman"/>
          <w:sz w:val="24"/>
          <w:szCs w:val="24"/>
          <w:lang w:eastAsia="es-ES"/>
        </w:rPr>
        <w:t>. “Primera entrega de resultados”</w:t>
      </w:r>
      <w:r w:rsidRPr="00CB732A">
        <w:rPr>
          <w:rFonts w:ascii="Times New Roman" w:eastAsia="Calibri" w:hAnsi="Times New Roman" w:cs="Times New Roman"/>
          <w:sz w:val="24"/>
          <w:szCs w:val="24"/>
          <w:lang w:eastAsia="es-ES"/>
        </w:rPr>
        <w:t>.</w:t>
      </w:r>
      <w:r w:rsidR="00E83C73" w:rsidRPr="00CB732A">
        <w:rPr>
          <w:rFonts w:ascii="Times New Roman" w:eastAsia="Calibri" w:hAnsi="Times New Roman" w:cs="Times New Roman"/>
          <w:sz w:val="24"/>
          <w:szCs w:val="24"/>
          <w:lang w:eastAsia="es-ES"/>
        </w:rPr>
        <w:t xml:space="preserve"> TERCE: Tercer estudio regional, comparativo y explicativo. </w:t>
      </w:r>
      <w:r w:rsidR="00E83C73" w:rsidRPr="00D33852">
        <w:rPr>
          <w:rFonts w:ascii="Times New Roman" w:eastAsia="Calibri" w:hAnsi="Times New Roman" w:cs="Times New Roman"/>
          <w:sz w:val="24"/>
          <w:szCs w:val="24"/>
          <w:lang w:val="en-US" w:eastAsia="es-ES"/>
        </w:rPr>
        <w:t>Santiago de Chile: OREALC-UNESCO</w:t>
      </w:r>
      <w:r w:rsidRPr="00D33852">
        <w:rPr>
          <w:rFonts w:ascii="Times New Roman" w:eastAsia="Calibri" w:hAnsi="Times New Roman" w:cs="Times New Roman"/>
          <w:sz w:val="24"/>
          <w:szCs w:val="24"/>
          <w:lang w:val="en-US" w:eastAsia="es-ES"/>
        </w:rPr>
        <w:t>.</w:t>
      </w:r>
    </w:p>
    <w:p w14:paraId="3D9CE72C" w14:textId="79F9AE93" w:rsidR="00B34706" w:rsidRPr="005F3DFA" w:rsidRDefault="005F3DFA" w:rsidP="005F3DFA">
      <w:pPr>
        <w:spacing w:before="100" w:beforeAutospacing="1" w:after="100" w:afterAutospacing="1" w:line="276" w:lineRule="auto"/>
        <w:rPr>
          <w:rFonts w:ascii="Times New Roman" w:eastAsia="Calibri" w:hAnsi="Times New Roman" w:cs="Times New Roman"/>
          <w:sz w:val="24"/>
          <w:szCs w:val="24"/>
          <w:lang w:val="en-US" w:eastAsia="es-ES"/>
        </w:rPr>
      </w:pPr>
      <w:r w:rsidRPr="00D33852">
        <w:rPr>
          <w:rFonts w:ascii="Times New Roman" w:eastAsia="Calibri" w:hAnsi="Times New Roman" w:cs="Times New Roman"/>
          <w:sz w:val="24"/>
          <w:szCs w:val="24"/>
          <w:lang w:val="en-US" w:eastAsia="es-ES"/>
        </w:rPr>
        <w:t>Lüdtke, O., Robitzsch, A., Trautwe</w:t>
      </w:r>
      <w:r w:rsidRPr="005F3DFA">
        <w:rPr>
          <w:rFonts w:ascii="Times New Roman" w:eastAsia="Calibri" w:hAnsi="Times New Roman" w:cs="Times New Roman"/>
          <w:sz w:val="24"/>
          <w:szCs w:val="24"/>
          <w:lang w:val="en-US" w:eastAsia="es-ES"/>
        </w:rPr>
        <w:t xml:space="preserve">in, U., Kreuter, F., </w:t>
      </w:r>
      <w:r w:rsidR="00A32D11">
        <w:rPr>
          <w:rFonts w:ascii="Times New Roman" w:eastAsia="Calibri" w:hAnsi="Times New Roman" w:cs="Times New Roman"/>
          <w:sz w:val="24"/>
          <w:szCs w:val="24"/>
          <w:lang w:val="en-US" w:eastAsia="es-ES"/>
        </w:rPr>
        <w:t>e</w:t>
      </w:r>
      <w:r w:rsidRPr="005F3DFA">
        <w:rPr>
          <w:rFonts w:ascii="Times New Roman" w:eastAsia="Calibri" w:hAnsi="Times New Roman" w:cs="Times New Roman"/>
          <w:sz w:val="24"/>
          <w:szCs w:val="24"/>
          <w:lang w:val="en-US" w:eastAsia="es-ES"/>
        </w:rPr>
        <w:t xml:space="preserve"> Ihme Marten, J. (2007). Are there test administrator effects in large-scale educational assessments? </w:t>
      </w:r>
      <w:r w:rsidRPr="005F3DFA">
        <w:rPr>
          <w:rFonts w:ascii="Times New Roman" w:eastAsia="Calibri" w:hAnsi="Times New Roman" w:cs="Times New Roman"/>
          <w:i/>
          <w:sz w:val="24"/>
          <w:szCs w:val="24"/>
          <w:lang w:val="en-US" w:eastAsia="es-ES"/>
        </w:rPr>
        <w:t>Methodology: European Journal of Research Methods for the Behavioral and Social Sciences</w:t>
      </w:r>
      <w:r w:rsidRPr="005F3DFA">
        <w:rPr>
          <w:rFonts w:ascii="Times New Roman" w:eastAsia="Calibri" w:hAnsi="Times New Roman" w:cs="Times New Roman"/>
          <w:sz w:val="24"/>
          <w:szCs w:val="24"/>
          <w:lang w:val="en-US" w:eastAsia="es-ES"/>
        </w:rPr>
        <w:t>, 3(4), 149–159</w:t>
      </w:r>
      <w:r w:rsidR="00B34706">
        <w:rPr>
          <w:rFonts w:ascii="Times New Roman" w:eastAsia="Calibri" w:hAnsi="Times New Roman" w:cs="Times New Roman"/>
          <w:sz w:val="24"/>
          <w:szCs w:val="24"/>
          <w:lang w:val="en-US" w:eastAsia="es-ES"/>
        </w:rPr>
        <w:t>, DOI:10.1027/1614-2241.3.4.149</w:t>
      </w:r>
    </w:p>
    <w:p w14:paraId="2BA28557" w14:textId="164D564C" w:rsidR="005F3DFA" w:rsidRPr="00DD2D50" w:rsidRDefault="005F3DFA" w:rsidP="005F3DFA">
      <w:pPr>
        <w:spacing w:before="100" w:beforeAutospacing="1" w:after="100" w:afterAutospacing="1" w:line="276" w:lineRule="auto"/>
        <w:rPr>
          <w:rFonts w:ascii="Times New Roman" w:eastAsia="Calibri" w:hAnsi="Times New Roman" w:cs="Times New Roman"/>
          <w:sz w:val="24"/>
          <w:szCs w:val="24"/>
          <w:lang w:val="fr-FR" w:eastAsia="es-ES"/>
        </w:rPr>
      </w:pPr>
      <w:r w:rsidRPr="005F3DFA">
        <w:rPr>
          <w:rFonts w:ascii="Times New Roman" w:eastAsia="Calibri" w:hAnsi="Times New Roman" w:cs="Times New Roman"/>
          <w:sz w:val="24"/>
          <w:szCs w:val="24"/>
          <w:lang w:val="en-US" w:eastAsia="es-ES"/>
        </w:rPr>
        <w:lastRenderedPageBreak/>
        <w:t xml:space="preserve">Meyer, H.-D., </w:t>
      </w:r>
      <w:r w:rsidR="00A32D11">
        <w:rPr>
          <w:rFonts w:ascii="Times New Roman" w:eastAsia="Calibri" w:hAnsi="Times New Roman" w:cs="Times New Roman"/>
          <w:sz w:val="24"/>
          <w:szCs w:val="24"/>
          <w:lang w:val="en-US" w:eastAsia="es-ES"/>
        </w:rPr>
        <w:t>y</w:t>
      </w:r>
      <w:r w:rsidRPr="005F3DFA">
        <w:rPr>
          <w:rFonts w:ascii="Times New Roman" w:eastAsia="Calibri" w:hAnsi="Times New Roman" w:cs="Times New Roman"/>
          <w:sz w:val="24"/>
          <w:szCs w:val="24"/>
          <w:lang w:val="en-US" w:eastAsia="es-ES"/>
        </w:rPr>
        <w:t xml:space="preserve"> Benavot, A. (2013). </w:t>
      </w:r>
      <w:r w:rsidRPr="005F3DFA">
        <w:rPr>
          <w:rFonts w:ascii="Times New Roman" w:eastAsia="Calibri" w:hAnsi="Times New Roman" w:cs="Times New Roman"/>
          <w:i/>
          <w:sz w:val="24"/>
          <w:szCs w:val="24"/>
          <w:lang w:val="en-US" w:eastAsia="es-ES"/>
        </w:rPr>
        <w:t>PISA, power, and policy: The emergence of global educational governance</w:t>
      </w:r>
      <w:r w:rsidRPr="005F3DFA">
        <w:rPr>
          <w:rFonts w:ascii="Times New Roman" w:eastAsia="Calibri" w:hAnsi="Times New Roman" w:cs="Times New Roman"/>
          <w:sz w:val="24"/>
          <w:szCs w:val="24"/>
          <w:lang w:val="en-US" w:eastAsia="es-ES"/>
        </w:rPr>
        <w:t xml:space="preserve">. </w:t>
      </w:r>
      <w:r w:rsidRPr="00DD2D50">
        <w:rPr>
          <w:rFonts w:ascii="Times New Roman" w:eastAsia="Calibri" w:hAnsi="Times New Roman" w:cs="Times New Roman"/>
          <w:sz w:val="24"/>
          <w:szCs w:val="24"/>
          <w:lang w:val="fr-FR" w:eastAsia="es-ES"/>
        </w:rPr>
        <w:t>UK: Symposium Books.</w:t>
      </w:r>
    </w:p>
    <w:p w14:paraId="42B9144B" w14:textId="6E026F37" w:rsidR="00313B88" w:rsidRPr="00C862FF" w:rsidRDefault="007A7EF2" w:rsidP="005F3DFA">
      <w:pPr>
        <w:spacing w:before="100" w:beforeAutospacing="1" w:after="100" w:afterAutospacing="1" w:line="276" w:lineRule="auto"/>
        <w:rPr>
          <w:rFonts w:ascii="Times New Roman" w:eastAsia="Calibri" w:hAnsi="Times New Roman" w:cs="Times New Roman"/>
          <w:sz w:val="24"/>
          <w:szCs w:val="24"/>
          <w:lang w:val="en-US" w:eastAsia="es-ES"/>
        </w:rPr>
      </w:pPr>
      <w:r w:rsidRPr="007A7EF2">
        <w:rPr>
          <w:rFonts w:ascii="Times New Roman" w:eastAsia="Calibri" w:hAnsi="Times New Roman" w:cs="Times New Roman"/>
          <w:sz w:val="24"/>
          <w:szCs w:val="24"/>
          <w:lang w:eastAsia="es-ES"/>
        </w:rPr>
        <w:t>Ministério da Educação do Brasil</w:t>
      </w:r>
      <w:r w:rsidRPr="007A7EF2" w:rsidDel="007A7EF2">
        <w:rPr>
          <w:rFonts w:ascii="Times New Roman" w:eastAsia="Calibri" w:hAnsi="Times New Roman" w:cs="Times New Roman"/>
          <w:sz w:val="24"/>
          <w:szCs w:val="24"/>
          <w:lang w:eastAsia="es-ES"/>
        </w:rPr>
        <w:t xml:space="preserve"> </w:t>
      </w:r>
      <w:r w:rsidR="00313B88" w:rsidRPr="00CB732A">
        <w:rPr>
          <w:rFonts w:ascii="Times New Roman" w:eastAsia="Calibri" w:hAnsi="Times New Roman" w:cs="Times New Roman"/>
          <w:sz w:val="24"/>
          <w:szCs w:val="24"/>
          <w:lang w:eastAsia="es-ES"/>
        </w:rPr>
        <w:t xml:space="preserve">(2016). Brasil no PISA 2015: análises e reflexões sobre o desempenho dos estudantes brasileiros. </w:t>
      </w:r>
      <w:r w:rsidR="00313B88" w:rsidRPr="00CB732A">
        <w:rPr>
          <w:rFonts w:ascii="Times New Roman" w:eastAsia="Calibri" w:hAnsi="Times New Roman" w:cs="Times New Roman"/>
          <w:sz w:val="24"/>
          <w:szCs w:val="24"/>
          <w:lang w:val="en-US" w:eastAsia="es-ES"/>
        </w:rPr>
        <w:t>São Paulo: Fundación Santillana.</w:t>
      </w:r>
    </w:p>
    <w:p w14:paraId="427088B4" w14:textId="77777777" w:rsidR="005F3DFA" w:rsidRPr="005F3DFA" w:rsidRDefault="005F3DFA" w:rsidP="005F3DFA">
      <w:pPr>
        <w:spacing w:before="100" w:beforeAutospacing="1" w:after="100" w:afterAutospacing="1" w:line="276" w:lineRule="auto"/>
        <w:rPr>
          <w:rFonts w:ascii="Times New Roman" w:eastAsia="Calibri" w:hAnsi="Times New Roman" w:cs="Times New Roman"/>
          <w:sz w:val="24"/>
          <w:szCs w:val="24"/>
          <w:lang w:val="en-US" w:eastAsia="es-ES"/>
        </w:rPr>
      </w:pPr>
      <w:r w:rsidRPr="005F3DFA">
        <w:rPr>
          <w:rFonts w:ascii="Times New Roman" w:eastAsia="Calibri" w:hAnsi="Times New Roman" w:cs="Times New Roman"/>
          <w:sz w:val="24"/>
          <w:szCs w:val="24"/>
          <w:lang w:val="en-US" w:eastAsia="es-ES"/>
        </w:rPr>
        <w:t xml:space="preserve">Mislevy, R. J. (1995). Test theory and language-learning assessment. </w:t>
      </w:r>
      <w:r w:rsidRPr="005F3DFA">
        <w:rPr>
          <w:rFonts w:ascii="Times New Roman" w:eastAsia="Calibri" w:hAnsi="Times New Roman" w:cs="Times New Roman"/>
          <w:i/>
          <w:sz w:val="24"/>
          <w:szCs w:val="24"/>
          <w:lang w:val="en-US" w:eastAsia="es-ES"/>
        </w:rPr>
        <w:t>Language Testing</w:t>
      </w:r>
      <w:r w:rsidRPr="005F3DFA">
        <w:rPr>
          <w:rFonts w:ascii="Times New Roman" w:eastAsia="Calibri" w:hAnsi="Times New Roman" w:cs="Times New Roman"/>
          <w:sz w:val="24"/>
          <w:szCs w:val="24"/>
          <w:lang w:val="en-US" w:eastAsia="es-ES"/>
        </w:rPr>
        <w:t xml:space="preserve">, 12(3), 341–369. DOI:10.1177/026553229501 200305. </w:t>
      </w:r>
    </w:p>
    <w:p w14:paraId="72392B6B" w14:textId="0A702005" w:rsidR="005F3DFA" w:rsidRPr="005F3DFA" w:rsidRDefault="005F3DFA" w:rsidP="005F3DFA">
      <w:pPr>
        <w:spacing w:before="100" w:beforeAutospacing="1" w:after="100" w:afterAutospacing="1" w:line="276" w:lineRule="auto"/>
        <w:rPr>
          <w:rFonts w:ascii="Times New Roman" w:eastAsia="Calibri" w:hAnsi="Times New Roman" w:cs="Times New Roman"/>
          <w:color w:val="0000FF"/>
          <w:sz w:val="24"/>
          <w:szCs w:val="24"/>
          <w:u w:val="single"/>
          <w:lang w:val="en-US" w:eastAsia="es-ES"/>
        </w:rPr>
      </w:pPr>
      <w:r w:rsidRPr="005F3DFA">
        <w:rPr>
          <w:rFonts w:ascii="Times New Roman" w:eastAsia="Calibri" w:hAnsi="Times New Roman" w:cs="Times New Roman"/>
          <w:sz w:val="24"/>
          <w:szCs w:val="24"/>
          <w:lang w:val="en-US" w:eastAsia="es-ES"/>
        </w:rPr>
        <w:t>Morris, A. (2011). Student Standardised Testing: Current Practices in OECD Countries and a Literature Review. OECD Education Working Papers, No. 65, OECD Pu</w:t>
      </w:r>
      <w:r w:rsidR="00181492">
        <w:rPr>
          <w:rFonts w:ascii="Times New Roman" w:eastAsia="Calibri" w:hAnsi="Times New Roman" w:cs="Times New Roman"/>
          <w:sz w:val="24"/>
          <w:szCs w:val="24"/>
          <w:lang w:val="en-US" w:eastAsia="es-ES"/>
        </w:rPr>
        <w:t>blishing, Paris.</w:t>
      </w:r>
      <w:r w:rsidR="00B34706">
        <w:rPr>
          <w:rFonts w:ascii="Times New Roman" w:eastAsia="Calibri" w:hAnsi="Times New Roman" w:cs="Times New Roman"/>
          <w:sz w:val="24"/>
          <w:szCs w:val="24"/>
          <w:lang w:val="en-US" w:eastAsia="es-ES"/>
        </w:rPr>
        <w:t xml:space="preserve"> Recuperado el </w:t>
      </w:r>
      <w:r w:rsidR="00D244C3">
        <w:rPr>
          <w:rFonts w:ascii="Times New Roman" w:eastAsia="Calibri" w:hAnsi="Times New Roman" w:cs="Times New Roman"/>
          <w:sz w:val="24"/>
          <w:szCs w:val="24"/>
          <w:lang w:val="en-US" w:eastAsia="es-ES"/>
        </w:rPr>
        <w:t>15/10/2018</w:t>
      </w:r>
      <w:r w:rsidR="00B34706">
        <w:rPr>
          <w:rFonts w:ascii="Times New Roman" w:eastAsia="Calibri" w:hAnsi="Times New Roman" w:cs="Times New Roman"/>
          <w:sz w:val="24"/>
          <w:szCs w:val="24"/>
          <w:lang w:val="en-US" w:eastAsia="es-ES"/>
        </w:rPr>
        <w:t>, de</w:t>
      </w:r>
      <w:r w:rsidR="00181492">
        <w:rPr>
          <w:rFonts w:ascii="Times New Roman" w:eastAsia="Calibri" w:hAnsi="Times New Roman" w:cs="Times New Roman"/>
          <w:sz w:val="24"/>
          <w:szCs w:val="24"/>
          <w:lang w:val="en-US" w:eastAsia="es-ES"/>
        </w:rPr>
        <w:t xml:space="preserve"> </w:t>
      </w:r>
      <w:hyperlink r:id="rId35" w:history="1">
        <w:r w:rsidRPr="005F3DFA">
          <w:rPr>
            <w:rFonts w:ascii="Times New Roman" w:eastAsia="Calibri" w:hAnsi="Times New Roman" w:cs="Times New Roman"/>
            <w:color w:val="0000FF"/>
            <w:sz w:val="24"/>
            <w:szCs w:val="24"/>
            <w:u w:val="single"/>
            <w:lang w:val="en-US" w:eastAsia="es-ES"/>
          </w:rPr>
          <w:t>http://dx.doi.org/10.1787/5kg3rp9qbnr6-en</w:t>
        </w:r>
      </w:hyperlink>
    </w:p>
    <w:p w14:paraId="3DD55596" w14:textId="7D81BF19" w:rsidR="00A32D11" w:rsidRPr="005F3DFA" w:rsidRDefault="005F3DFA" w:rsidP="005F3DFA">
      <w:pPr>
        <w:spacing w:before="100" w:beforeAutospacing="1" w:after="100" w:afterAutospacing="1" w:line="276" w:lineRule="auto"/>
        <w:rPr>
          <w:rFonts w:ascii="Times New Roman" w:eastAsia="Calibri" w:hAnsi="Times New Roman" w:cs="Times New Roman"/>
          <w:sz w:val="24"/>
          <w:szCs w:val="24"/>
          <w:lang w:val="en-US" w:eastAsia="es-ES"/>
        </w:rPr>
      </w:pPr>
      <w:r w:rsidRPr="00D33852">
        <w:rPr>
          <w:rFonts w:ascii="Times New Roman" w:eastAsia="Calibri" w:hAnsi="Times New Roman" w:cs="Times New Roman"/>
          <w:sz w:val="24"/>
          <w:szCs w:val="24"/>
          <w:lang w:val="en-US" w:eastAsia="es-ES"/>
        </w:rPr>
        <w:t xml:space="preserve">Niemann, D., Martens, K. </w:t>
      </w:r>
      <w:r w:rsidR="00A32D11">
        <w:rPr>
          <w:rFonts w:ascii="Times New Roman" w:eastAsia="Calibri" w:hAnsi="Times New Roman" w:cs="Times New Roman"/>
          <w:sz w:val="24"/>
          <w:szCs w:val="24"/>
          <w:lang w:val="en-US" w:eastAsia="es-ES"/>
        </w:rPr>
        <w:t>y</w:t>
      </w:r>
      <w:r w:rsidRPr="00D33852">
        <w:rPr>
          <w:rFonts w:ascii="Times New Roman" w:eastAsia="Calibri" w:hAnsi="Times New Roman" w:cs="Times New Roman"/>
          <w:sz w:val="24"/>
          <w:szCs w:val="24"/>
          <w:lang w:val="en-US" w:eastAsia="es-ES"/>
        </w:rPr>
        <w:t xml:space="preserve"> Teltemann, J. (2017). </w:t>
      </w:r>
      <w:r w:rsidRPr="005F3DFA">
        <w:rPr>
          <w:rFonts w:ascii="Times New Roman" w:eastAsia="Calibri" w:hAnsi="Times New Roman" w:cs="Times New Roman"/>
          <w:sz w:val="24"/>
          <w:szCs w:val="24"/>
          <w:lang w:val="en-US" w:eastAsia="es-ES"/>
        </w:rPr>
        <w:t xml:space="preserve">PISA and its Consequences: Shaping Education Policies through International Comparisons. </w:t>
      </w:r>
      <w:r w:rsidRPr="005F3DFA">
        <w:rPr>
          <w:rFonts w:ascii="Times New Roman" w:eastAsia="Calibri" w:hAnsi="Times New Roman" w:cs="Times New Roman"/>
          <w:i/>
          <w:sz w:val="24"/>
          <w:szCs w:val="24"/>
          <w:lang w:val="en-US" w:eastAsia="es-ES"/>
        </w:rPr>
        <w:t>European Journal of Education</w:t>
      </w:r>
      <w:r w:rsidRPr="005F3DFA">
        <w:rPr>
          <w:rFonts w:ascii="Times New Roman" w:eastAsia="Calibri" w:hAnsi="Times New Roman" w:cs="Times New Roman"/>
          <w:sz w:val="24"/>
          <w:szCs w:val="24"/>
          <w:lang w:val="en-US" w:eastAsia="es-ES"/>
        </w:rPr>
        <w:t>, 52 (2): 175–183</w:t>
      </w:r>
      <w:r w:rsidR="00B34706">
        <w:rPr>
          <w:rFonts w:ascii="Times New Roman" w:eastAsia="Calibri" w:hAnsi="Times New Roman" w:cs="Times New Roman"/>
          <w:sz w:val="24"/>
          <w:szCs w:val="24"/>
          <w:lang w:val="en-US" w:eastAsia="es-ES"/>
        </w:rPr>
        <w:t>, DOI:10.1111/ejed.12220</w:t>
      </w:r>
    </w:p>
    <w:p w14:paraId="254F40D7" w14:textId="77777777" w:rsidR="005F3DFA" w:rsidRPr="005F3DFA" w:rsidRDefault="005F3DFA" w:rsidP="005F3DFA">
      <w:pPr>
        <w:spacing w:before="100" w:beforeAutospacing="1" w:after="100" w:afterAutospacing="1" w:line="276" w:lineRule="auto"/>
        <w:rPr>
          <w:rFonts w:ascii="Times New Roman" w:eastAsia="Calibri" w:hAnsi="Times New Roman" w:cs="Times New Roman"/>
          <w:sz w:val="24"/>
          <w:szCs w:val="24"/>
          <w:lang w:val="en-US" w:eastAsia="es-ES"/>
        </w:rPr>
      </w:pPr>
      <w:r w:rsidRPr="005F3DFA">
        <w:rPr>
          <w:rFonts w:ascii="Times New Roman" w:eastAsia="Calibri" w:hAnsi="Times New Roman" w:cs="Times New Roman"/>
          <w:sz w:val="24"/>
          <w:szCs w:val="24"/>
          <w:lang w:val="en-US" w:eastAsia="es-ES"/>
        </w:rPr>
        <w:t>OECD (2015). PISA 2015: Techinal Standards. París: OCDE Publishing.</w:t>
      </w:r>
    </w:p>
    <w:p w14:paraId="37F44992" w14:textId="758D3098" w:rsidR="005F3DFA" w:rsidRPr="006237DE" w:rsidRDefault="007D53E2" w:rsidP="005F3DFA">
      <w:pPr>
        <w:spacing w:before="100" w:beforeAutospacing="1" w:after="100" w:afterAutospacing="1" w:line="276" w:lineRule="auto"/>
        <w:rPr>
          <w:rFonts w:ascii="Times New Roman" w:eastAsia="Calibri" w:hAnsi="Times New Roman" w:cs="Times New Roman"/>
          <w:sz w:val="24"/>
          <w:szCs w:val="24"/>
          <w:lang w:val="en-US" w:eastAsia="es-ES"/>
        </w:rPr>
      </w:pPr>
      <w:r>
        <w:rPr>
          <w:rFonts w:ascii="Times New Roman" w:eastAsia="Calibri" w:hAnsi="Times New Roman" w:cs="Times New Roman"/>
          <w:sz w:val="24"/>
          <w:szCs w:val="24"/>
          <w:lang w:val="en-US" w:eastAsia="es-ES"/>
        </w:rPr>
        <w:t>OECD</w:t>
      </w:r>
      <w:r w:rsidRPr="005F3DFA">
        <w:rPr>
          <w:rFonts w:ascii="Times New Roman" w:eastAsia="Calibri" w:hAnsi="Times New Roman" w:cs="Times New Roman"/>
          <w:sz w:val="24"/>
          <w:szCs w:val="24"/>
          <w:lang w:val="en-US" w:eastAsia="es-ES"/>
        </w:rPr>
        <w:t xml:space="preserve"> </w:t>
      </w:r>
      <w:r w:rsidR="005F3DFA" w:rsidRPr="005F3DFA">
        <w:rPr>
          <w:rFonts w:ascii="Times New Roman" w:eastAsia="Calibri" w:hAnsi="Times New Roman" w:cs="Times New Roman"/>
          <w:sz w:val="24"/>
          <w:szCs w:val="24"/>
          <w:lang w:val="en-US" w:eastAsia="es-ES"/>
        </w:rPr>
        <w:t xml:space="preserve">(2016a). PISA 2015 Results (Volume I): Excellence and Equity in Education. </w:t>
      </w:r>
      <w:r w:rsidR="005F3DFA" w:rsidRPr="00D33852">
        <w:rPr>
          <w:rFonts w:ascii="Times New Roman" w:eastAsia="Calibri" w:hAnsi="Times New Roman" w:cs="Times New Roman"/>
          <w:sz w:val="24"/>
          <w:szCs w:val="24"/>
          <w:lang w:val="en-US" w:eastAsia="es-ES"/>
        </w:rPr>
        <w:t>París: OCDE Publishing.</w:t>
      </w:r>
      <w:r w:rsidR="008F3FCC">
        <w:rPr>
          <w:rFonts w:ascii="Times New Roman" w:eastAsia="Calibri" w:hAnsi="Times New Roman" w:cs="Times New Roman"/>
          <w:sz w:val="24"/>
          <w:szCs w:val="24"/>
          <w:lang w:val="en-US" w:eastAsia="es-ES"/>
        </w:rPr>
        <w:t xml:space="preserve"> Recuperado el </w:t>
      </w:r>
      <w:r w:rsidR="00D244C3">
        <w:rPr>
          <w:rFonts w:ascii="Times New Roman" w:eastAsia="Calibri" w:hAnsi="Times New Roman" w:cs="Times New Roman"/>
          <w:sz w:val="24"/>
          <w:szCs w:val="24"/>
          <w:lang w:val="en-US" w:eastAsia="es-ES"/>
        </w:rPr>
        <w:t>15/10/2018</w:t>
      </w:r>
      <w:r w:rsidR="008F3FCC">
        <w:rPr>
          <w:rFonts w:ascii="Times New Roman" w:eastAsia="Calibri" w:hAnsi="Times New Roman" w:cs="Times New Roman"/>
          <w:sz w:val="24"/>
          <w:szCs w:val="24"/>
          <w:lang w:val="en-US" w:eastAsia="es-ES"/>
        </w:rPr>
        <w:t>, de</w:t>
      </w:r>
      <w:r w:rsidR="005F3DFA" w:rsidRPr="00D33852">
        <w:rPr>
          <w:rFonts w:ascii="Times New Roman" w:eastAsia="Calibri" w:hAnsi="Times New Roman" w:cs="Times New Roman"/>
          <w:sz w:val="24"/>
          <w:szCs w:val="24"/>
          <w:lang w:val="en-US" w:eastAsia="es-ES"/>
        </w:rPr>
        <w:t xml:space="preserve"> </w:t>
      </w:r>
      <w:hyperlink r:id="rId36" w:history="1">
        <w:r w:rsidR="005F3DFA" w:rsidRPr="00D33852">
          <w:rPr>
            <w:rFonts w:ascii="Times New Roman" w:eastAsia="Calibri" w:hAnsi="Times New Roman" w:cs="Times New Roman"/>
            <w:color w:val="0563C1"/>
            <w:sz w:val="24"/>
            <w:szCs w:val="24"/>
            <w:u w:val="single"/>
            <w:lang w:val="en-US" w:eastAsia="es-ES"/>
          </w:rPr>
          <w:t>http://dx.doi.org/10.1787/9789264266490-en</w:t>
        </w:r>
      </w:hyperlink>
      <w:r w:rsidR="005F3DFA" w:rsidRPr="006237DE">
        <w:rPr>
          <w:rFonts w:ascii="Times New Roman" w:eastAsia="Calibri" w:hAnsi="Times New Roman" w:cs="Times New Roman"/>
          <w:sz w:val="24"/>
          <w:szCs w:val="24"/>
          <w:lang w:val="en-US" w:eastAsia="es-ES"/>
        </w:rPr>
        <w:t xml:space="preserve">. </w:t>
      </w:r>
    </w:p>
    <w:p w14:paraId="31B737C9" w14:textId="1BFA1E20" w:rsidR="005F3DFA" w:rsidRPr="00DD2D50" w:rsidRDefault="005F3DFA" w:rsidP="005F3DFA">
      <w:pPr>
        <w:spacing w:before="100" w:beforeAutospacing="1" w:after="100" w:afterAutospacing="1" w:line="276" w:lineRule="auto"/>
        <w:rPr>
          <w:rFonts w:ascii="Times New Roman" w:eastAsia="Calibri" w:hAnsi="Times New Roman" w:cs="Times New Roman"/>
          <w:sz w:val="24"/>
          <w:szCs w:val="24"/>
          <w:lang w:eastAsia="es-ES"/>
        </w:rPr>
      </w:pPr>
      <w:r w:rsidRPr="00E61E7C">
        <w:rPr>
          <w:rFonts w:ascii="Times New Roman" w:eastAsia="Calibri" w:hAnsi="Times New Roman" w:cs="Times New Roman"/>
          <w:sz w:val="24"/>
          <w:szCs w:val="24"/>
          <w:lang w:val="en-US" w:eastAsia="es-ES"/>
        </w:rPr>
        <w:t xml:space="preserve">OECD (2016b). Programme for International Student Assessment. Results from PISA 2015. Country Note: Colombia. </w:t>
      </w:r>
      <w:r w:rsidRPr="00DD2D50">
        <w:rPr>
          <w:rFonts w:ascii="Times New Roman" w:eastAsia="Calibri" w:hAnsi="Times New Roman" w:cs="Times New Roman"/>
          <w:sz w:val="24"/>
          <w:szCs w:val="24"/>
          <w:lang w:eastAsia="es-ES"/>
        </w:rPr>
        <w:t xml:space="preserve">OCDE Publishing. </w:t>
      </w:r>
      <w:r w:rsidR="008F3FCC" w:rsidRPr="00DD2D50">
        <w:rPr>
          <w:rFonts w:ascii="Times New Roman" w:eastAsia="Calibri" w:hAnsi="Times New Roman" w:cs="Times New Roman"/>
          <w:sz w:val="24"/>
          <w:szCs w:val="24"/>
          <w:lang w:eastAsia="es-ES"/>
        </w:rPr>
        <w:t xml:space="preserve">Recuperado el </w:t>
      </w:r>
      <w:r w:rsidR="00D244C3" w:rsidRPr="00DD2D50">
        <w:rPr>
          <w:rFonts w:ascii="Times New Roman" w:eastAsia="Calibri" w:hAnsi="Times New Roman" w:cs="Times New Roman"/>
          <w:sz w:val="24"/>
          <w:szCs w:val="24"/>
          <w:lang w:eastAsia="es-ES"/>
        </w:rPr>
        <w:t>15/10/2018</w:t>
      </w:r>
      <w:r w:rsidR="008F3FCC" w:rsidRPr="00DD2D50">
        <w:rPr>
          <w:rFonts w:ascii="Times New Roman" w:eastAsia="Calibri" w:hAnsi="Times New Roman" w:cs="Times New Roman"/>
          <w:sz w:val="24"/>
          <w:szCs w:val="24"/>
          <w:lang w:eastAsia="es-ES"/>
        </w:rPr>
        <w:t xml:space="preserve"> de </w:t>
      </w:r>
      <w:hyperlink r:id="rId37" w:history="1">
        <w:r w:rsidRPr="00DD2D50">
          <w:rPr>
            <w:rFonts w:ascii="Times New Roman" w:eastAsia="Calibri" w:hAnsi="Times New Roman" w:cs="Times New Roman"/>
            <w:color w:val="0563C1"/>
            <w:sz w:val="24"/>
            <w:szCs w:val="24"/>
            <w:u w:val="single"/>
            <w:lang w:eastAsia="es-ES"/>
          </w:rPr>
          <w:t>https://www.oecd.org/pisa/PISA-2015-Colombia.pdf</w:t>
        </w:r>
      </w:hyperlink>
      <w:r w:rsidRPr="00DD2D50">
        <w:rPr>
          <w:rFonts w:ascii="Times New Roman" w:eastAsia="Calibri" w:hAnsi="Times New Roman" w:cs="Times New Roman"/>
          <w:sz w:val="24"/>
          <w:szCs w:val="24"/>
          <w:lang w:eastAsia="es-ES"/>
        </w:rPr>
        <w:t xml:space="preserve"> </w:t>
      </w:r>
    </w:p>
    <w:p w14:paraId="31092558" w14:textId="0DD86513" w:rsidR="005F3DFA" w:rsidRPr="005F3DFA" w:rsidRDefault="005F3DFA" w:rsidP="005F3DFA">
      <w:pPr>
        <w:spacing w:before="100" w:beforeAutospacing="1" w:after="100" w:afterAutospacing="1" w:line="276" w:lineRule="auto"/>
        <w:rPr>
          <w:rFonts w:ascii="Times New Roman" w:eastAsia="Calibri" w:hAnsi="Times New Roman" w:cs="Times New Roman"/>
          <w:color w:val="0563C1"/>
          <w:sz w:val="24"/>
          <w:szCs w:val="24"/>
          <w:u w:val="single"/>
          <w:lang w:val="es-ES" w:eastAsia="es-ES"/>
        </w:rPr>
      </w:pPr>
      <w:r w:rsidRPr="005F3DFA">
        <w:rPr>
          <w:rFonts w:ascii="Times New Roman" w:eastAsia="Calibri" w:hAnsi="Times New Roman" w:cs="Times New Roman"/>
          <w:sz w:val="24"/>
          <w:szCs w:val="24"/>
          <w:lang w:val="es-ES" w:eastAsia="es-ES"/>
        </w:rPr>
        <w:t xml:space="preserve">OECD (2018). Competencias en Iberoamérica: análisis de PISA 2015. OCDE Publishing &amp; Fundación Santillana –for spanish edition. </w:t>
      </w:r>
      <w:r w:rsidR="008F3FCC">
        <w:rPr>
          <w:rFonts w:ascii="Times New Roman" w:eastAsia="Calibri" w:hAnsi="Times New Roman" w:cs="Times New Roman"/>
          <w:sz w:val="24"/>
          <w:szCs w:val="24"/>
          <w:lang w:val="es-ES" w:eastAsia="es-ES"/>
        </w:rPr>
        <w:t xml:space="preserve">Recuperado el </w:t>
      </w:r>
      <w:r w:rsidR="00600112">
        <w:rPr>
          <w:rFonts w:ascii="Times New Roman" w:eastAsia="Calibri" w:hAnsi="Times New Roman" w:cs="Times New Roman"/>
          <w:sz w:val="24"/>
          <w:szCs w:val="24"/>
          <w:lang w:val="es-ES" w:eastAsia="es-ES"/>
        </w:rPr>
        <w:t>15/10/2018</w:t>
      </w:r>
      <w:r w:rsidR="008F3FCC">
        <w:rPr>
          <w:rFonts w:ascii="Times New Roman" w:eastAsia="Calibri" w:hAnsi="Times New Roman" w:cs="Times New Roman"/>
          <w:sz w:val="24"/>
          <w:szCs w:val="24"/>
          <w:lang w:val="es-ES" w:eastAsia="es-ES"/>
        </w:rPr>
        <w:t>, de</w:t>
      </w:r>
      <w:hyperlink r:id="rId38" w:history="1">
        <w:r w:rsidRPr="005F3DFA">
          <w:rPr>
            <w:rFonts w:ascii="Times New Roman" w:eastAsia="Calibri" w:hAnsi="Times New Roman" w:cs="Times New Roman"/>
            <w:color w:val="0563C1"/>
            <w:sz w:val="24"/>
            <w:szCs w:val="24"/>
            <w:u w:val="single"/>
            <w:lang w:val="es-ES" w:eastAsia="es-ES"/>
          </w:rPr>
          <w:t>https://www.segib.org/wp-content/uploads/Competencias-en-Iberoamerica-Analisis-de-PISA-2015.pdf</w:t>
        </w:r>
      </w:hyperlink>
    </w:p>
    <w:p w14:paraId="77B51A68" w14:textId="77777777" w:rsidR="005F3DFA" w:rsidRPr="005F3DFA" w:rsidRDefault="005F3DFA" w:rsidP="005F3DFA">
      <w:pPr>
        <w:spacing w:before="100" w:beforeAutospacing="1" w:after="100" w:afterAutospacing="1" w:line="276" w:lineRule="auto"/>
        <w:rPr>
          <w:rFonts w:ascii="Times New Roman" w:eastAsia="Calibri" w:hAnsi="Times New Roman" w:cs="Times New Roman"/>
          <w:sz w:val="24"/>
          <w:szCs w:val="24"/>
          <w:lang w:val="en-US" w:eastAsia="es-ES"/>
        </w:rPr>
      </w:pPr>
      <w:r w:rsidRPr="005F3DFA">
        <w:rPr>
          <w:rFonts w:ascii="Times New Roman" w:eastAsia="Calibri" w:hAnsi="Times New Roman" w:cs="Times New Roman"/>
          <w:sz w:val="24"/>
          <w:szCs w:val="24"/>
          <w:lang w:val="en-US" w:eastAsia="es-ES"/>
        </w:rPr>
        <w:t xml:space="preserve">Pintrich, P. R. &amp; DeGroot, E. V. (1990). Motivational and self-regulated learning components of classroom academic performance. </w:t>
      </w:r>
      <w:r w:rsidRPr="005F3DFA">
        <w:rPr>
          <w:rFonts w:ascii="Times New Roman" w:eastAsia="Calibri" w:hAnsi="Times New Roman" w:cs="Times New Roman"/>
          <w:i/>
          <w:sz w:val="24"/>
          <w:szCs w:val="24"/>
          <w:lang w:val="en-US" w:eastAsia="es-ES"/>
        </w:rPr>
        <w:t>Journal of Educational Psychology</w:t>
      </w:r>
      <w:r w:rsidRPr="005F3DFA">
        <w:rPr>
          <w:rFonts w:ascii="Times New Roman" w:eastAsia="Calibri" w:hAnsi="Times New Roman" w:cs="Times New Roman"/>
          <w:sz w:val="24"/>
          <w:szCs w:val="24"/>
          <w:lang w:val="en-US" w:eastAsia="es-ES"/>
        </w:rPr>
        <w:t>, 82(1), 33–40. DOI:10.1037//0022–0663.82.1.33.</w:t>
      </w:r>
    </w:p>
    <w:p w14:paraId="7BB87DA3" w14:textId="3A4C6C0F" w:rsidR="00A32D11" w:rsidRPr="005F3DFA" w:rsidRDefault="005F3DFA" w:rsidP="005F3DFA">
      <w:pPr>
        <w:spacing w:before="100" w:beforeAutospacing="1" w:after="100" w:afterAutospacing="1" w:line="276" w:lineRule="auto"/>
        <w:rPr>
          <w:rFonts w:ascii="Times New Roman" w:eastAsia="Calibri" w:hAnsi="Times New Roman" w:cs="Times New Roman"/>
          <w:sz w:val="24"/>
          <w:szCs w:val="24"/>
          <w:lang w:val="en-US" w:eastAsia="es-ES"/>
        </w:rPr>
      </w:pPr>
      <w:r w:rsidRPr="005F3DFA">
        <w:rPr>
          <w:rFonts w:ascii="Times New Roman" w:eastAsia="Calibri" w:hAnsi="Times New Roman" w:cs="Times New Roman"/>
          <w:sz w:val="24"/>
          <w:szCs w:val="24"/>
          <w:lang w:val="en-US" w:eastAsia="es-ES"/>
        </w:rPr>
        <w:t xml:space="preserve">Pons, X. (2017). Fifteen Years of Research on PISA Effects on Education Governance: A Critical Review. </w:t>
      </w:r>
      <w:r w:rsidRPr="005F3DFA">
        <w:rPr>
          <w:rFonts w:ascii="Times New Roman" w:eastAsia="Calibri" w:hAnsi="Times New Roman" w:cs="Times New Roman"/>
          <w:i/>
          <w:sz w:val="24"/>
          <w:szCs w:val="24"/>
          <w:lang w:val="en-US" w:eastAsia="es-ES"/>
        </w:rPr>
        <w:t>European Journal of Education</w:t>
      </w:r>
      <w:r w:rsidRPr="005F3DFA">
        <w:rPr>
          <w:rFonts w:ascii="Times New Roman" w:eastAsia="Calibri" w:hAnsi="Times New Roman" w:cs="Times New Roman"/>
          <w:sz w:val="24"/>
          <w:szCs w:val="24"/>
          <w:lang w:val="en-US" w:eastAsia="es-ES"/>
        </w:rPr>
        <w:t>, 52 (2): 131–144</w:t>
      </w:r>
      <w:r w:rsidR="008F3FCC">
        <w:rPr>
          <w:rFonts w:ascii="Times New Roman" w:eastAsia="Calibri" w:hAnsi="Times New Roman" w:cs="Times New Roman"/>
          <w:sz w:val="24"/>
          <w:szCs w:val="24"/>
          <w:lang w:val="en-US" w:eastAsia="es-ES"/>
        </w:rPr>
        <w:t>, DOI:10.1111/ejed.12213</w:t>
      </w:r>
    </w:p>
    <w:p w14:paraId="2BCBDFC5" w14:textId="0E0D71A5" w:rsidR="00A32D11" w:rsidRDefault="005F3DFA" w:rsidP="005F3DFA">
      <w:pPr>
        <w:spacing w:before="100" w:beforeAutospacing="1" w:after="100" w:afterAutospacing="1" w:line="276" w:lineRule="auto"/>
        <w:rPr>
          <w:rFonts w:ascii="Times New Roman" w:eastAsia="Calibri" w:hAnsi="Times New Roman" w:cs="Times New Roman"/>
          <w:sz w:val="24"/>
          <w:szCs w:val="24"/>
          <w:lang w:eastAsia="es-ES"/>
        </w:rPr>
      </w:pPr>
      <w:r w:rsidRPr="00D33852">
        <w:rPr>
          <w:rFonts w:ascii="Times New Roman" w:eastAsia="Calibri" w:hAnsi="Times New Roman" w:cs="Times New Roman"/>
          <w:sz w:val="24"/>
          <w:szCs w:val="24"/>
          <w:lang w:val="en-US" w:eastAsia="es-ES"/>
        </w:rPr>
        <w:t xml:space="preserve">Rautalin, M., Alasuutari, P. </w:t>
      </w:r>
      <w:r w:rsidR="00A32D11">
        <w:rPr>
          <w:rFonts w:ascii="Times New Roman" w:eastAsia="Calibri" w:hAnsi="Times New Roman" w:cs="Times New Roman"/>
          <w:sz w:val="24"/>
          <w:szCs w:val="24"/>
          <w:lang w:val="en-US" w:eastAsia="es-ES"/>
        </w:rPr>
        <w:t>y</w:t>
      </w:r>
      <w:r w:rsidRPr="00D33852">
        <w:rPr>
          <w:rFonts w:ascii="Times New Roman" w:eastAsia="Calibri" w:hAnsi="Times New Roman" w:cs="Times New Roman"/>
          <w:sz w:val="24"/>
          <w:szCs w:val="24"/>
          <w:lang w:val="en-US" w:eastAsia="es-ES"/>
        </w:rPr>
        <w:t xml:space="preserve"> Vento, E. (2018). </w:t>
      </w:r>
      <w:r w:rsidRPr="005F3DFA">
        <w:rPr>
          <w:rFonts w:ascii="Times New Roman" w:eastAsia="Calibri" w:hAnsi="Times New Roman" w:cs="Times New Roman"/>
          <w:sz w:val="24"/>
          <w:szCs w:val="24"/>
          <w:lang w:val="en-US" w:eastAsia="es-ES"/>
        </w:rPr>
        <w:t xml:space="preserve">Globalisation of education policies: does PISA have an effect? </w:t>
      </w:r>
      <w:r w:rsidRPr="005F3DFA">
        <w:rPr>
          <w:rFonts w:ascii="Times New Roman" w:eastAsia="Calibri" w:hAnsi="Times New Roman" w:cs="Times New Roman"/>
          <w:i/>
          <w:sz w:val="24"/>
          <w:szCs w:val="24"/>
          <w:lang w:eastAsia="es-ES"/>
        </w:rPr>
        <w:t>Journal of Education Policy</w:t>
      </w:r>
      <w:r w:rsidRPr="005F3DFA">
        <w:rPr>
          <w:rFonts w:ascii="Times New Roman" w:eastAsia="Calibri" w:hAnsi="Times New Roman" w:cs="Times New Roman"/>
          <w:sz w:val="24"/>
          <w:szCs w:val="24"/>
          <w:lang w:eastAsia="es-ES"/>
        </w:rPr>
        <w:t>.</w:t>
      </w:r>
      <w:r w:rsidR="008F3FCC">
        <w:rPr>
          <w:rFonts w:ascii="Times New Roman" w:eastAsia="Calibri" w:hAnsi="Times New Roman" w:cs="Times New Roman"/>
          <w:sz w:val="24"/>
          <w:szCs w:val="24"/>
          <w:lang w:eastAsia="es-ES"/>
        </w:rPr>
        <w:t xml:space="preserve"> 34:4, 500-522,</w:t>
      </w:r>
      <w:r w:rsidRPr="005F3DFA">
        <w:rPr>
          <w:rFonts w:ascii="Times New Roman" w:eastAsia="Calibri" w:hAnsi="Times New Roman" w:cs="Times New Roman"/>
          <w:sz w:val="24"/>
          <w:szCs w:val="24"/>
          <w:lang w:eastAsia="es-ES"/>
        </w:rPr>
        <w:t xml:space="preserve"> DOI: 10.1080/02680939.2018.1462890</w:t>
      </w:r>
    </w:p>
    <w:p w14:paraId="0079FCD5" w14:textId="6C832421" w:rsidR="00E83C73" w:rsidRDefault="00CB732A" w:rsidP="005F3DFA">
      <w:pPr>
        <w:spacing w:before="100" w:beforeAutospacing="1" w:after="100" w:afterAutospacing="1" w:line="276" w:lineRule="auto"/>
        <w:rPr>
          <w:rFonts w:ascii="Times New Roman" w:eastAsia="Calibri" w:hAnsi="Times New Roman" w:cs="Times New Roman"/>
          <w:sz w:val="24"/>
          <w:szCs w:val="24"/>
          <w:lang w:eastAsia="es-ES"/>
        </w:rPr>
      </w:pPr>
      <w:r w:rsidRPr="00CB732A">
        <w:rPr>
          <w:rFonts w:ascii="Times New Roman" w:eastAsia="Calibri" w:hAnsi="Times New Roman" w:cs="Times New Roman"/>
          <w:sz w:val="24"/>
          <w:szCs w:val="24"/>
          <w:lang w:eastAsia="es-ES"/>
        </w:rPr>
        <w:lastRenderedPageBreak/>
        <w:t>Ravela, P.</w:t>
      </w:r>
      <w:r w:rsidR="00E83C73" w:rsidRPr="00CB732A">
        <w:rPr>
          <w:rFonts w:ascii="Times New Roman" w:eastAsia="Calibri" w:hAnsi="Times New Roman" w:cs="Times New Roman"/>
          <w:sz w:val="24"/>
          <w:szCs w:val="24"/>
          <w:lang w:eastAsia="es-ES"/>
        </w:rPr>
        <w:t xml:space="preserve"> </w:t>
      </w:r>
      <w:r w:rsidRPr="00CB732A">
        <w:rPr>
          <w:rFonts w:ascii="Times New Roman" w:eastAsia="Calibri" w:hAnsi="Times New Roman" w:cs="Times New Roman"/>
          <w:sz w:val="24"/>
          <w:szCs w:val="24"/>
          <w:lang w:eastAsia="es-ES"/>
        </w:rPr>
        <w:t>(</w:t>
      </w:r>
      <w:r w:rsidR="00E83C73" w:rsidRPr="00CB732A">
        <w:rPr>
          <w:rFonts w:ascii="Times New Roman" w:eastAsia="Calibri" w:hAnsi="Times New Roman" w:cs="Times New Roman"/>
          <w:sz w:val="24"/>
          <w:szCs w:val="24"/>
          <w:lang w:eastAsia="es-ES"/>
        </w:rPr>
        <w:t>2003</w:t>
      </w:r>
      <w:r w:rsidRPr="00CB732A">
        <w:rPr>
          <w:rFonts w:ascii="Times New Roman" w:eastAsia="Calibri" w:hAnsi="Times New Roman" w:cs="Times New Roman"/>
          <w:sz w:val="24"/>
          <w:szCs w:val="24"/>
          <w:lang w:eastAsia="es-ES"/>
        </w:rPr>
        <w:t>)</w:t>
      </w:r>
      <w:r w:rsidR="00E83C73" w:rsidRPr="00CB732A">
        <w:rPr>
          <w:rFonts w:ascii="Times New Roman" w:eastAsia="Calibri" w:hAnsi="Times New Roman" w:cs="Times New Roman"/>
          <w:sz w:val="24"/>
          <w:szCs w:val="24"/>
          <w:lang w:eastAsia="es-ES"/>
        </w:rPr>
        <w:t>. ¿Cómo aparecen los resultados de las evaluaciones educativas en la prensa? Washington DC: PREAL.</w:t>
      </w:r>
    </w:p>
    <w:p w14:paraId="7E0DF9F9" w14:textId="2648F496" w:rsidR="008A60C0" w:rsidRPr="005F3DFA" w:rsidRDefault="008A60C0" w:rsidP="005F3DFA">
      <w:pPr>
        <w:spacing w:before="100" w:beforeAutospacing="1" w:after="100" w:afterAutospacing="1" w:line="276" w:lineRule="auto"/>
        <w:rPr>
          <w:rFonts w:ascii="Times New Roman" w:eastAsia="Calibri" w:hAnsi="Times New Roman" w:cs="Times New Roman"/>
          <w:sz w:val="24"/>
          <w:szCs w:val="24"/>
          <w:lang w:eastAsia="es-ES"/>
        </w:rPr>
      </w:pPr>
      <w:r w:rsidRPr="008A60C0">
        <w:rPr>
          <w:rFonts w:ascii="Times New Roman" w:eastAsia="Calibri" w:hAnsi="Times New Roman" w:cs="Times New Roman"/>
          <w:sz w:val="24"/>
          <w:szCs w:val="24"/>
          <w:lang w:eastAsia="es-ES"/>
        </w:rPr>
        <w:t xml:space="preserve">Rivas, A. </w:t>
      </w:r>
      <w:r>
        <w:rPr>
          <w:rFonts w:ascii="Times New Roman" w:eastAsia="Calibri" w:hAnsi="Times New Roman" w:cs="Times New Roman"/>
          <w:sz w:val="24"/>
          <w:szCs w:val="24"/>
          <w:lang w:eastAsia="es-ES"/>
        </w:rPr>
        <w:t>(</w:t>
      </w:r>
      <w:r w:rsidRPr="008A60C0">
        <w:rPr>
          <w:rFonts w:ascii="Times New Roman" w:eastAsia="Calibri" w:hAnsi="Times New Roman" w:cs="Times New Roman"/>
          <w:sz w:val="24"/>
          <w:szCs w:val="24"/>
          <w:lang w:eastAsia="es-ES"/>
        </w:rPr>
        <w:t>2015</w:t>
      </w:r>
      <w:r>
        <w:rPr>
          <w:rFonts w:ascii="Times New Roman" w:eastAsia="Calibri" w:hAnsi="Times New Roman" w:cs="Times New Roman"/>
          <w:sz w:val="24"/>
          <w:szCs w:val="24"/>
          <w:lang w:eastAsia="es-ES"/>
        </w:rPr>
        <w:t>)</w:t>
      </w:r>
      <w:r w:rsidRPr="008A60C0">
        <w:rPr>
          <w:rFonts w:ascii="Times New Roman" w:eastAsia="Calibri" w:hAnsi="Times New Roman" w:cs="Times New Roman"/>
          <w:sz w:val="24"/>
          <w:szCs w:val="24"/>
          <w:lang w:eastAsia="es-ES"/>
        </w:rPr>
        <w:t xml:space="preserve">. América Latina después de PISA: Lecciones aprendidas de siete </w:t>
      </w:r>
      <w:r>
        <w:rPr>
          <w:rFonts w:ascii="Times New Roman" w:eastAsia="Calibri" w:hAnsi="Times New Roman" w:cs="Times New Roman"/>
          <w:sz w:val="24"/>
          <w:szCs w:val="24"/>
          <w:lang w:eastAsia="es-ES"/>
        </w:rPr>
        <w:t>países. Buenos Aires: CIPPEC</w:t>
      </w:r>
      <w:r w:rsidRPr="008A60C0">
        <w:rPr>
          <w:rFonts w:ascii="Times New Roman" w:eastAsia="Calibri" w:hAnsi="Times New Roman" w:cs="Times New Roman"/>
          <w:sz w:val="24"/>
          <w:szCs w:val="24"/>
          <w:lang w:eastAsia="es-ES"/>
        </w:rPr>
        <w:t>.</w:t>
      </w:r>
    </w:p>
    <w:p w14:paraId="2D942307" w14:textId="067C9736" w:rsidR="005F3DFA" w:rsidRPr="00CB732A" w:rsidRDefault="005F3DFA" w:rsidP="005F3DFA">
      <w:pPr>
        <w:spacing w:before="100" w:beforeAutospacing="1" w:after="100" w:afterAutospacing="1" w:line="276" w:lineRule="auto"/>
        <w:rPr>
          <w:rFonts w:ascii="Times New Roman" w:eastAsia="Calibri" w:hAnsi="Times New Roman" w:cs="Times New Roman"/>
          <w:sz w:val="24"/>
          <w:szCs w:val="24"/>
          <w:lang w:val="en-US" w:eastAsia="es-ES"/>
        </w:rPr>
      </w:pPr>
      <w:r w:rsidRPr="005F3DFA">
        <w:rPr>
          <w:rFonts w:ascii="Times New Roman" w:eastAsia="Calibri" w:hAnsi="Times New Roman" w:cs="Times New Roman"/>
          <w:sz w:val="24"/>
          <w:szCs w:val="24"/>
          <w:lang w:val="es-MX" w:eastAsia="es-ES"/>
        </w:rPr>
        <w:t xml:space="preserve">Solano-Flores, G. </w:t>
      </w:r>
      <w:r w:rsidR="00A32D11">
        <w:rPr>
          <w:rFonts w:ascii="Times New Roman" w:eastAsia="Calibri" w:hAnsi="Times New Roman" w:cs="Times New Roman"/>
          <w:sz w:val="24"/>
          <w:szCs w:val="24"/>
          <w:lang w:val="es-MX" w:eastAsia="es-ES"/>
        </w:rPr>
        <w:t>y</w:t>
      </w:r>
      <w:r w:rsidRPr="005F3DFA">
        <w:rPr>
          <w:rFonts w:ascii="Times New Roman" w:eastAsia="Calibri" w:hAnsi="Times New Roman" w:cs="Times New Roman"/>
          <w:sz w:val="24"/>
          <w:szCs w:val="24"/>
          <w:lang w:val="es-MX" w:eastAsia="es-ES"/>
        </w:rPr>
        <w:t xml:space="preserve"> Milbourn, T. (2016). </w:t>
      </w:r>
      <w:r w:rsidRPr="005F3DFA">
        <w:rPr>
          <w:rFonts w:ascii="Times New Roman" w:eastAsia="Calibri" w:hAnsi="Times New Roman" w:cs="Times New Roman"/>
          <w:sz w:val="24"/>
          <w:szCs w:val="24"/>
          <w:lang w:eastAsia="es-ES"/>
        </w:rPr>
        <w:t xml:space="preserve">Capacidad evaluativa, validez cultural y validez consecuencial en PISA. </w:t>
      </w:r>
      <w:r w:rsidRPr="00CB732A">
        <w:rPr>
          <w:rFonts w:ascii="Times New Roman" w:eastAsia="Calibri" w:hAnsi="Times New Roman" w:cs="Times New Roman"/>
          <w:i/>
          <w:sz w:val="24"/>
          <w:szCs w:val="24"/>
          <w:lang w:val="en-US" w:eastAsia="es-ES"/>
        </w:rPr>
        <w:t>Relieve</w:t>
      </w:r>
      <w:r w:rsidR="00181492" w:rsidRPr="00CB732A">
        <w:rPr>
          <w:rFonts w:ascii="Times New Roman" w:eastAsia="Calibri" w:hAnsi="Times New Roman" w:cs="Times New Roman"/>
          <w:sz w:val="24"/>
          <w:szCs w:val="24"/>
          <w:lang w:val="en-US" w:eastAsia="es-ES"/>
        </w:rPr>
        <w:t>, 22(1)</w:t>
      </w:r>
      <w:r w:rsidR="00053CD5">
        <w:rPr>
          <w:rFonts w:ascii="Times New Roman" w:eastAsia="Calibri" w:hAnsi="Times New Roman" w:cs="Times New Roman"/>
          <w:sz w:val="24"/>
          <w:szCs w:val="24"/>
          <w:lang w:val="en-US" w:eastAsia="es-ES"/>
        </w:rPr>
        <w:t>, DOI:10.7203/relieve.22.1.8281.</w:t>
      </w:r>
      <w:r w:rsidR="00181492" w:rsidRPr="00CB732A">
        <w:rPr>
          <w:rFonts w:ascii="Times New Roman" w:eastAsia="Calibri" w:hAnsi="Times New Roman" w:cs="Times New Roman"/>
          <w:sz w:val="24"/>
          <w:szCs w:val="24"/>
          <w:lang w:val="en-US" w:eastAsia="es-ES"/>
        </w:rPr>
        <w:t xml:space="preserve"> </w:t>
      </w:r>
    </w:p>
    <w:p w14:paraId="407E8C49" w14:textId="74C1A929" w:rsidR="005F3DFA" w:rsidRPr="005F3DFA" w:rsidRDefault="005F3DFA" w:rsidP="005F3DFA">
      <w:pPr>
        <w:spacing w:before="100" w:beforeAutospacing="1" w:after="100" w:afterAutospacing="1" w:line="276" w:lineRule="auto"/>
        <w:rPr>
          <w:rFonts w:ascii="Times New Roman" w:eastAsia="Calibri" w:hAnsi="Times New Roman" w:cs="Times New Roman"/>
          <w:sz w:val="24"/>
          <w:szCs w:val="24"/>
          <w:lang w:val="en-US" w:eastAsia="es-ES"/>
        </w:rPr>
      </w:pPr>
      <w:r w:rsidRPr="005F3DFA">
        <w:rPr>
          <w:rFonts w:ascii="Times New Roman" w:eastAsia="Calibri" w:hAnsi="Times New Roman" w:cs="Times New Roman"/>
          <w:sz w:val="24"/>
          <w:szCs w:val="24"/>
          <w:lang w:val="en-US" w:eastAsia="es-ES"/>
        </w:rPr>
        <w:t xml:space="preserve">Swaffield, S </w:t>
      </w:r>
      <w:r w:rsidR="00A32D11">
        <w:rPr>
          <w:rFonts w:ascii="Times New Roman" w:eastAsia="Calibri" w:hAnsi="Times New Roman" w:cs="Times New Roman"/>
          <w:sz w:val="24"/>
          <w:szCs w:val="24"/>
          <w:lang w:val="en-US" w:eastAsia="es-ES"/>
        </w:rPr>
        <w:t>y</w:t>
      </w:r>
      <w:r w:rsidRPr="005F3DFA">
        <w:rPr>
          <w:rFonts w:ascii="Times New Roman" w:eastAsia="Calibri" w:hAnsi="Times New Roman" w:cs="Times New Roman"/>
          <w:sz w:val="24"/>
          <w:szCs w:val="24"/>
          <w:lang w:val="en-US" w:eastAsia="es-ES"/>
        </w:rPr>
        <w:t xml:space="preserve"> Thomas, S. (2016). Educational Assessment in Latin America. </w:t>
      </w:r>
      <w:r w:rsidRPr="005F3DFA">
        <w:rPr>
          <w:rFonts w:ascii="Times New Roman" w:eastAsia="Calibri" w:hAnsi="Times New Roman" w:cs="Times New Roman"/>
          <w:i/>
          <w:sz w:val="24"/>
          <w:szCs w:val="24"/>
          <w:lang w:val="en-US" w:eastAsia="es-ES"/>
        </w:rPr>
        <w:t>Assessment in Education: Principles, Policy &amp; Practice</w:t>
      </w:r>
      <w:r w:rsidRPr="005F3DFA">
        <w:rPr>
          <w:rFonts w:ascii="Times New Roman" w:eastAsia="Calibri" w:hAnsi="Times New Roman" w:cs="Times New Roman"/>
          <w:sz w:val="24"/>
          <w:szCs w:val="24"/>
          <w:lang w:val="en-US" w:eastAsia="es-ES"/>
        </w:rPr>
        <w:t>, 23:1, 1-7, DOI: 10.1080/0969594X.2016.1119519</w:t>
      </w:r>
      <w:r w:rsidR="00053CD5">
        <w:rPr>
          <w:rFonts w:ascii="Times New Roman" w:eastAsia="Calibri" w:hAnsi="Times New Roman" w:cs="Times New Roman"/>
          <w:sz w:val="24"/>
          <w:szCs w:val="24"/>
          <w:lang w:val="en-US" w:eastAsia="es-ES"/>
        </w:rPr>
        <w:t>.</w:t>
      </w:r>
    </w:p>
    <w:p w14:paraId="42E418A9" w14:textId="44839317" w:rsidR="00E83C73" w:rsidRPr="00E83C73" w:rsidRDefault="00CB732A" w:rsidP="005F3DFA">
      <w:pPr>
        <w:spacing w:before="100" w:beforeAutospacing="1" w:after="100" w:afterAutospacing="1" w:line="276" w:lineRule="auto"/>
        <w:rPr>
          <w:rFonts w:ascii="Times New Roman" w:eastAsia="Calibri" w:hAnsi="Times New Roman" w:cs="Times New Roman"/>
          <w:sz w:val="24"/>
          <w:szCs w:val="24"/>
          <w:lang w:val="en-US" w:eastAsia="es-ES"/>
        </w:rPr>
      </w:pPr>
      <w:r>
        <w:rPr>
          <w:rFonts w:ascii="Times New Roman" w:eastAsia="Calibri" w:hAnsi="Times New Roman" w:cs="Times New Roman"/>
          <w:sz w:val="24"/>
          <w:szCs w:val="24"/>
          <w:lang w:val="en-US" w:eastAsia="es-ES"/>
        </w:rPr>
        <w:t>Taubman, P.</w:t>
      </w:r>
      <w:r w:rsidR="00E83C73" w:rsidRPr="00CB732A">
        <w:rPr>
          <w:rFonts w:ascii="Times New Roman" w:eastAsia="Calibri" w:hAnsi="Times New Roman" w:cs="Times New Roman"/>
          <w:sz w:val="24"/>
          <w:szCs w:val="24"/>
          <w:lang w:val="en-US" w:eastAsia="es-ES"/>
        </w:rPr>
        <w:t xml:space="preserve"> M. </w:t>
      </w:r>
      <w:r w:rsidRPr="00CB732A">
        <w:rPr>
          <w:rFonts w:ascii="Times New Roman" w:eastAsia="Calibri" w:hAnsi="Times New Roman" w:cs="Times New Roman"/>
          <w:sz w:val="24"/>
          <w:szCs w:val="24"/>
          <w:lang w:val="en-US" w:eastAsia="es-ES"/>
        </w:rPr>
        <w:t>(</w:t>
      </w:r>
      <w:r w:rsidR="00E83C73" w:rsidRPr="00CB732A">
        <w:rPr>
          <w:rFonts w:ascii="Times New Roman" w:eastAsia="Calibri" w:hAnsi="Times New Roman" w:cs="Times New Roman"/>
          <w:sz w:val="24"/>
          <w:szCs w:val="24"/>
          <w:lang w:val="en-US" w:eastAsia="es-ES"/>
        </w:rPr>
        <w:t>2009</w:t>
      </w:r>
      <w:r w:rsidRPr="00CB732A">
        <w:rPr>
          <w:rFonts w:ascii="Times New Roman" w:eastAsia="Calibri" w:hAnsi="Times New Roman" w:cs="Times New Roman"/>
          <w:sz w:val="24"/>
          <w:szCs w:val="24"/>
          <w:lang w:val="en-US" w:eastAsia="es-ES"/>
        </w:rPr>
        <w:t>)</w:t>
      </w:r>
      <w:r w:rsidR="00E83C73" w:rsidRPr="00CB732A">
        <w:rPr>
          <w:rFonts w:ascii="Times New Roman" w:eastAsia="Calibri" w:hAnsi="Times New Roman" w:cs="Times New Roman"/>
          <w:sz w:val="24"/>
          <w:szCs w:val="24"/>
          <w:lang w:val="en-US" w:eastAsia="es-ES"/>
        </w:rPr>
        <w:t>. Deconstructing the Discourse of Standards and Accountability in Education.</w:t>
      </w:r>
      <w:r w:rsidR="00053CD5">
        <w:rPr>
          <w:rFonts w:ascii="Times New Roman" w:eastAsia="Calibri" w:hAnsi="Times New Roman" w:cs="Times New Roman"/>
          <w:sz w:val="24"/>
          <w:szCs w:val="24"/>
          <w:lang w:val="en-US" w:eastAsia="es-ES"/>
        </w:rPr>
        <w:t xml:space="preserve"> New York and London:</w:t>
      </w:r>
      <w:r w:rsidR="00E83C73" w:rsidRPr="00CB732A">
        <w:rPr>
          <w:rFonts w:ascii="Times New Roman" w:eastAsia="Calibri" w:hAnsi="Times New Roman" w:cs="Times New Roman"/>
          <w:sz w:val="24"/>
          <w:szCs w:val="24"/>
          <w:lang w:val="en-US" w:eastAsia="es-ES"/>
        </w:rPr>
        <w:t xml:space="preserve"> </w:t>
      </w:r>
      <w:r w:rsidR="00E83C73" w:rsidRPr="00CB732A">
        <w:rPr>
          <w:rFonts w:ascii="Times New Roman" w:eastAsia="Calibri" w:hAnsi="Times New Roman" w:cs="Times New Roman"/>
          <w:i/>
          <w:sz w:val="24"/>
          <w:szCs w:val="24"/>
          <w:lang w:val="en-US" w:eastAsia="es-ES"/>
        </w:rPr>
        <w:t>Routledge, Taylor and Francis Group</w:t>
      </w:r>
      <w:r w:rsidRPr="00CB732A">
        <w:rPr>
          <w:rFonts w:ascii="Times New Roman" w:eastAsia="Calibri" w:hAnsi="Times New Roman" w:cs="Times New Roman"/>
          <w:sz w:val="24"/>
          <w:szCs w:val="24"/>
          <w:lang w:val="en-US" w:eastAsia="es-ES"/>
        </w:rPr>
        <w:t xml:space="preserve">. </w:t>
      </w:r>
    </w:p>
    <w:p w14:paraId="486877FE" w14:textId="429960AA" w:rsidR="00224027" w:rsidRPr="005F3DFA" w:rsidRDefault="005F3DFA" w:rsidP="00DD2D50">
      <w:pPr>
        <w:spacing w:before="100" w:beforeAutospacing="1" w:after="100" w:afterAutospacing="1" w:line="276" w:lineRule="auto"/>
        <w:ind w:firstLine="1"/>
        <w:rPr>
          <w:rFonts w:ascii="Times New Roman" w:eastAsia="Calibri" w:hAnsi="Times New Roman" w:cs="Times New Roman"/>
          <w:sz w:val="24"/>
          <w:szCs w:val="24"/>
          <w:lang w:val="en-US" w:eastAsia="es-ES"/>
        </w:rPr>
      </w:pPr>
      <w:r w:rsidRPr="005F3DFA">
        <w:rPr>
          <w:rFonts w:ascii="Times New Roman" w:eastAsia="Calibri" w:hAnsi="Times New Roman" w:cs="Times New Roman"/>
          <w:sz w:val="24"/>
          <w:szCs w:val="24"/>
          <w:lang w:val="en-US" w:eastAsia="es-ES"/>
        </w:rPr>
        <w:t xml:space="preserve">Wise, S.L., </w:t>
      </w:r>
      <w:r w:rsidR="00A32D11">
        <w:rPr>
          <w:rFonts w:ascii="Times New Roman" w:eastAsia="Calibri" w:hAnsi="Times New Roman" w:cs="Times New Roman"/>
          <w:sz w:val="24"/>
          <w:szCs w:val="24"/>
          <w:lang w:val="en-US" w:eastAsia="es-ES"/>
        </w:rPr>
        <w:t>y</w:t>
      </w:r>
      <w:r w:rsidRPr="005F3DFA">
        <w:rPr>
          <w:rFonts w:ascii="Times New Roman" w:eastAsia="Calibri" w:hAnsi="Times New Roman" w:cs="Times New Roman"/>
          <w:sz w:val="24"/>
          <w:szCs w:val="24"/>
          <w:lang w:val="en-US" w:eastAsia="es-ES"/>
        </w:rPr>
        <w:t xml:space="preserve"> DeMars, C. (2005). Low examinee effort in low-stakes assessment:</w:t>
      </w:r>
      <w:r w:rsidR="00C508E3">
        <w:rPr>
          <w:rFonts w:ascii="Times New Roman" w:eastAsia="Calibri" w:hAnsi="Times New Roman" w:cs="Times New Roman"/>
          <w:sz w:val="24"/>
          <w:szCs w:val="24"/>
          <w:lang w:val="en-US" w:eastAsia="es-ES"/>
        </w:rPr>
        <w:t xml:space="preserve"> </w:t>
      </w:r>
      <w:r w:rsidRPr="005F3DFA">
        <w:rPr>
          <w:rFonts w:ascii="Times New Roman" w:eastAsia="Calibri" w:hAnsi="Times New Roman" w:cs="Times New Roman"/>
          <w:sz w:val="24"/>
          <w:szCs w:val="24"/>
          <w:lang w:val="en-US" w:eastAsia="es-ES"/>
        </w:rPr>
        <w:t xml:space="preserve">Problems and possible solutions. </w:t>
      </w:r>
      <w:r w:rsidRPr="005F3DFA">
        <w:rPr>
          <w:rFonts w:ascii="Times New Roman" w:eastAsia="Calibri" w:hAnsi="Times New Roman" w:cs="Times New Roman"/>
          <w:i/>
          <w:sz w:val="24"/>
          <w:szCs w:val="24"/>
          <w:lang w:val="en-US" w:eastAsia="es-ES"/>
        </w:rPr>
        <w:t>Educational Assessment</w:t>
      </w:r>
      <w:r w:rsidRPr="005F3DFA">
        <w:rPr>
          <w:rFonts w:ascii="Times New Roman" w:eastAsia="Calibri" w:hAnsi="Times New Roman" w:cs="Times New Roman"/>
          <w:sz w:val="24"/>
          <w:szCs w:val="24"/>
          <w:lang w:val="en-US" w:eastAsia="es-ES"/>
        </w:rPr>
        <w:t xml:space="preserve"> 10</w:t>
      </w:r>
      <w:r w:rsidR="00224027">
        <w:rPr>
          <w:rFonts w:ascii="Times New Roman" w:eastAsia="Calibri" w:hAnsi="Times New Roman" w:cs="Times New Roman"/>
          <w:sz w:val="24"/>
          <w:szCs w:val="24"/>
          <w:lang w:val="en-US" w:eastAsia="es-ES"/>
        </w:rPr>
        <w:t>(1)</w:t>
      </w:r>
      <w:r w:rsidRPr="005F3DFA">
        <w:rPr>
          <w:rFonts w:ascii="Times New Roman" w:eastAsia="Calibri" w:hAnsi="Times New Roman" w:cs="Times New Roman"/>
          <w:sz w:val="24"/>
          <w:szCs w:val="24"/>
          <w:lang w:val="en-US" w:eastAsia="es-ES"/>
        </w:rPr>
        <w:t>,  1–17</w:t>
      </w:r>
      <w:r w:rsidR="00474C22">
        <w:rPr>
          <w:rFonts w:ascii="Times New Roman" w:eastAsia="Calibri" w:hAnsi="Times New Roman" w:cs="Times New Roman"/>
          <w:sz w:val="24"/>
          <w:szCs w:val="24"/>
          <w:lang w:val="en-US" w:eastAsia="es-ES"/>
        </w:rPr>
        <w:t>, DOI:10.1207/s15326977ea1001_1.</w:t>
      </w:r>
    </w:p>
    <w:p w14:paraId="65ACB37B" w14:textId="3C93E17E" w:rsidR="005F3DFA" w:rsidRDefault="005F3DFA" w:rsidP="005F3DFA">
      <w:pPr>
        <w:spacing w:before="100" w:beforeAutospacing="1" w:after="100" w:afterAutospacing="1" w:line="276" w:lineRule="auto"/>
        <w:rPr>
          <w:rFonts w:ascii="Times New Roman" w:eastAsia="Calibri" w:hAnsi="Times New Roman" w:cs="Times New Roman"/>
          <w:sz w:val="24"/>
          <w:szCs w:val="24"/>
          <w:lang w:val="en-US" w:eastAsia="es-ES"/>
        </w:rPr>
      </w:pPr>
      <w:r w:rsidRPr="005F3DFA">
        <w:rPr>
          <w:rFonts w:ascii="Times New Roman" w:eastAsia="Calibri" w:hAnsi="Times New Roman" w:cs="Times New Roman"/>
          <w:sz w:val="24"/>
          <w:szCs w:val="24"/>
          <w:lang w:val="en-US" w:eastAsia="es-ES"/>
        </w:rPr>
        <w:t xml:space="preserve">Wolff, L. (2004). Educational Assessments in Latin America: the state of art. </w:t>
      </w:r>
      <w:r w:rsidRPr="005F3DFA">
        <w:rPr>
          <w:rFonts w:ascii="Times New Roman" w:eastAsia="Calibri" w:hAnsi="Times New Roman" w:cs="Times New Roman"/>
          <w:i/>
          <w:sz w:val="24"/>
          <w:szCs w:val="24"/>
          <w:lang w:val="en-US" w:eastAsia="es-ES"/>
        </w:rPr>
        <w:t>International Association of Applied Psychology</w:t>
      </w:r>
      <w:r w:rsidRPr="005F3DFA">
        <w:rPr>
          <w:rFonts w:ascii="Times New Roman" w:eastAsia="Calibri" w:hAnsi="Times New Roman" w:cs="Times New Roman"/>
          <w:sz w:val="24"/>
          <w:szCs w:val="24"/>
          <w:lang w:val="en-US" w:eastAsia="es-ES"/>
        </w:rPr>
        <w:t>,</w:t>
      </w:r>
      <w:r w:rsidR="008E61DA">
        <w:rPr>
          <w:rFonts w:ascii="Times New Roman" w:eastAsia="Calibri" w:hAnsi="Times New Roman" w:cs="Times New Roman"/>
          <w:sz w:val="24"/>
          <w:szCs w:val="24"/>
          <w:lang w:val="en-US" w:eastAsia="es-ES"/>
        </w:rPr>
        <w:t xml:space="preserve"> 53(2),</w:t>
      </w:r>
      <w:r w:rsidRPr="005F3DFA">
        <w:rPr>
          <w:rFonts w:ascii="Times New Roman" w:eastAsia="Calibri" w:hAnsi="Times New Roman" w:cs="Times New Roman"/>
          <w:sz w:val="24"/>
          <w:szCs w:val="24"/>
          <w:lang w:val="en-US" w:eastAsia="es-ES"/>
        </w:rPr>
        <w:t xml:space="preserve">  192-214</w:t>
      </w:r>
      <w:r w:rsidR="008E61DA">
        <w:rPr>
          <w:rFonts w:ascii="Times New Roman" w:eastAsia="Calibri" w:hAnsi="Times New Roman" w:cs="Times New Roman"/>
          <w:sz w:val="24"/>
          <w:szCs w:val="24"/>
          <w:lang w:val="en-US" w:eastAsia="es-ES"/>
        </w:rPr>
        <w:t>, DOI:10.1111/j.1464-0597.2004.00168.x.</w:t>
      </w:r>
      <w:r w:rsidRPr="005F3DFA">
        <w:rPr>
          <w:rFonts w:ascii="Times New Roman" w:eastAsia="Calibri" w:hAnsi="Times New Roman" w:cs="Times New Roman"/>
          <w:sz w:val="24"/>
          <w:szCs w:val="24"/>
          <w:lang w:val="en-US" w:eastAsia="es-ES"/>
        </w:rPr>
        <w:t xml:space="preserve"> Wuttke, J. (2007). Uncertainties and Bias in PISA. PISA according to PISA. Does PISA keep what it promises? Viena: Hopmann, Brinek, Retzl (eds.), pp. 241-263. </w:t>
      </w:r>
      <w:r w:rsidR="008E61DA">
        <w:rPr>
          <w:rFonts w:ascii="Times New Roman" w:eastAsia="Calibri" w:hAnsi="Times New Roman" w:cs="Times New Roman"/>
          <w:sz w:val="24"/>
          <w:szCs w:val="24"/>
          <w:lang w:val="en-US" w:eastAsia="es-ES"/>
        </w:rPr>
        <w:t xml:space="preserve">Recuperado el </w:t>
      </w:r>
      <w:r w:rsidR="00600112">
        <w:rPr>
          <w:rFonts w:ascii="Times New Roman" w:eastAsia="Calibri" w:hAnsi="Times New Roman" w:cs="Times New Roman"/>
          <w:sz w:val="24"/>
          <w:szCs w:val="24"/>
          <w:lang w:val="en-US" w:eastAsia="es-ES"/>
        </w:rPr>
        <w:t>15/10/2018</w:t>
      </w:r>
      <w:r w:rsidR="008E61DA">
        <w:rPr>
          <w:rFonts w:ascii="Times New Roman" w:eastAsia="Calibri" w:hAnsi="Times New Roman" w:cs="Times New Roman"/>
          <w:sz w:val="24"/>
          <w:szCs w:val="24"/>
          <w:lang w:val="en-US" w:eastAsia="es-ES"/>
        </w:rPr>
        <w:t xml:space="preserve">, de </w:t>
      </w:r>
      <w:hyperlink r:id="rId39" w:history="1">
        <w:r w:rsidRPr="005F3DFA">
          <w:rPr>
            <w:rFonts w:ascii="Times New Roman" w:eastAsia="Calibri" w:hAnsi="Times New Roman" w:cs="Times New Roman"/>
            <w:color w:val="0563C1"/>
            <w:sz w:val="24"/>
            <w:szCs w:val="24"/>
            <w:u w:val="single"/>
            <w:lang w:val="en-US" w:eastAsia="es-ES"/>
          </w:rPr>
          <w:t>https://ssrn.com/abstract=1159042</w:t>
        </w:r>
      </w:hyperlink>
      <w:r w:rsidRPr="005F3DFA">
        <w:rPr>
          <w:rFonts w:ascii="Times New Roman" w:eastAsia="Calibri" w:hAnsi="Times New Roman" w:cs="Times New Roman"/>
          <w:sz w:val="24"/>
          <w:szCs w:val="24"/>
          <w:lang w:val="en-US" w:eastAsia="es-ES"/>
        </w:rPr>
        <w:t xml:space="preserve"> </w:t>
      </w:r>
    </w:p>
    <w:p w14:paraId="48216B09" w14:textId="7B81C65E" w:rsidR="005213AF" w:rsidRPr="003D41AD" w:rsidRDefault="005213AF" w:rsidP="005F3DFA">
      <w:pPr>
        <w:spacing w:before="100" w:beforeAutospacing="1" w:after="100" w:afterAutospacing="1" w:line="276" w:lineRule="auto"/>
        <w:rPr>
          <w:rFonts w:ascii="Times New Roman" w:eastAsia="Calibri" w:hAnsi="Times New Roman" w:cs="Times New Roman"/>
          <w:sz w:val="24"/>
          <w:szCs w:val="24"/>
          <w:lang w:val="en-US" w:eastAsia="es-ES"/>
        </w:rPr>
      </w:pPr>
      <w:r>
        <w:rPr>
          <w:rFonts w:ascii="Times New Roman" w:eastAsia="Calibri" w:hAnsi="Times New Roman" w:cs="Times New Roman"/>
          <w:sz w:val="24"/>
          <w:szCs w:val="24"/>
          <w:lang w:val="en-US" w:eastAsia="es-ES"/>
        </w:rPr>
        <w:t>Wolff, L. y Smith, J.K. (</w:t>
      </w:r>
      <w:r w:rsidR="003D41AD">
        <w:rPr>
          <w:rFonts w:ascii="Times New Roman" w:eastAsia="Calibri" w:hAnsi="Times New Roman" w:cs="Times New Roman"/>
          <w:sz w:val="24"/>
          <w:szCs w:val="24"/>
          <w:lang w:val="en-US" w:eastAsia="es-ES"/>
        </w:rPr>
        <w:t>1995</w:t>
      </w:r>
      <w:r>
        <w:rPr>
          <w:rFonts w:ascii="Times New Roman" w:eastAsia="Calibri" w:hAnsi="Times New Roman" w:cs="Times New Roman"/>
          <w:sz w:val="24"/>
          <w:szCs w:val="24"/>
          <w:lang w:val="en-US" w:eastAsia="es-ES"/>
        </w:rPr>
        <w:t>)</w:t>
      </w:r>
      <w:r w:rsidR="003D41AD">
        <w:rPr>
          <w:rFonts w:ascii="Times New Roman" w:eastAsia="Calibri" w:hAnsi="Times New Roman" w:cs="Times New Roman"/>
          <w:sz w:val="24"/>
          <w:szCs w:val="24"/>
          <w:lang w:val="en-US" w:eastAsia="es-ES"/>
        </w:rPr>
        <w:t xml:space="preserve">. The consequence of consequence: motivation, anxiety, and test performance. </w:t>
      </w:r>
      <w:r w:rsidR="003D41AD">
        <w:rPr>
          <w:rFonts w:ascii="Times New Roman" w:eastAsia="Calibri" w:hAnsi="Times New Roman" w:cs="Times New Roman"/>
          <w:i/>
          <w:sz w:val="24"/>
          <w:szCs w:val="24"/>
          <w:lang w:val="en-US" w:eastAsia="es-ES"/>
        </w:rPr>
        <w:t>Applied Measurement in Education</w:t>
      </w:r>
      <w:r w:rsidR="003D41AD">
        <w:rPr>
          <w:rFonts w:ascii="Times New Roman" w:eastAsia="Calibri" w:hAnsi="Times New Roman" w:cs="Times New Roman"/>
          <w:sz w:val="24"/>
          <w:szCs w:val="24"/>
          <w:lang w:val="en-US" w:eastAsia="es-ES"/>
        </w:rPr>
        <w:t>, 8(3), 227-242.</w:t>
      </w:r>
    </w:p>
    <w:p w14:paraId="5498CDA5" w14:textId="7F9B5E2C" w:rsidR="004A34B9" w:rsidRDefault="004A34B9" w:rsidP="005F3DFA">
      <w:pPr>
        <w:spacing w:before="100" w:beforeAutospacing="1" w:after="100" w:afterAutospacing="1" w:line="276" w:lineRule="auto"/>
        <w:rPr>
          <w:rFonts w:ascii="Times New Roman" w:eastAsia="Calibri" w:hAnsi="Times New Roman" w:cs="Times New Roman"/>
          <w:sz w:val="24"/>
          <w:szCs w:val="24"/>
          <w:lang w:val="en-US" w:eastAsia="es-ES"/>
        </w:rPr>
      </w:pPr>
    </w:p>
    <w:p w14:paraId="6C61F7B8" w14:textId="0D58878F" w:rsidR="00E50C48" w:rsidRDefault="00E50C48" w:rsidP="00E50C48">
      <w:pPr>
        <w:rPr>
          <w:rFonts w:ascii="Calibri" w:eastAsia="Calibri" w:hAnsi="Calibri" w:cs="Times New Roman"/>
          <w:b/>
          <w:lang w:val="en-US"/>
        </w:rPr>
      </w:pPr>
      <w:r w:rsidRPr="00703CAB">
        <w:rPr>
          <w:rFonts w:ascii="Calibri" w:eastAsia="Calibri" w:hAnsi="Calibri" w:cs="Times New Roman"/>
          <w:b/>
          <w:lang w:val="en-US"/>
        </w:rPr>
        <w:t>Abstract</w:t>
      </w:r>
    </w:p>
    <w:p w14:paraId="18552D7A" w14:textId="37E0F151" w:rsidR="00E50C48" w:rsidRPr="00703CAB" w:rsidRDefault="00E50C48" w:rsidP="00E50C48">
      <w:pPr>
        <w:rPr>
          <w:rFonts w:ascii="Calibri" w:eastAsia="Calibri" w:hAnsi="Calibri" w:cs="Times New Roman"/>
          <w:b/>
          <w:lang w:val="en-US"/>
        </w:rPr>
      </w:pPr>
      <w:r w:rsidRPr="00E50C48">
        <w:rPr>
          <w:rFonts w:ascii="Calibri" w:eastAsia="Calibri" w:hAnsi="Calibri" w:cs="Times New Roman"/>
          <w:b/>
          <w:lang w:val="en-US"/>
        </w:rPr>
        <w:t>The Second Dimension of Educational Quality: A Comparative Study in Seven Countries in Latin America</w:t>
      </w:r>
    </w:p>
    <w:p w14:paraId="05693DF1" w14:textId="77777777" w:rsidR="00E50C48" w:rsidRPr="00703CAB" w:rsidRDefault="00E50C48" w:rsidP="00E50C48">
      <w:pPr>
        <w:jc w:val="both"/>
        <w:rPr>
          <w:rFonts w:ascii="Calibri" w:eastAsia="Calibri" w:hAnsi="Calibri" w:cs="Times New Roman"/>
          <w:lang w:val="en-US"/>
        </w:rPr>
      </w:pPr>
      <w:r w:rsidRPr="00703CAB">
        <w:rPr>
          <w:rFonts w:ascii="Calibri" w:eastAsia="Calibri" w:hAnsi="Calibri" w:cs="Times New Roman"/>
          <w:lang w:val="en-US"/>
        </w:rPr>
        <w:t>INTRODUCTION. The educational quality assessments made it possible to compare education systems in the last 20 years. PISA test results are the most commonly used as reference. In Latin America, there are seven countries that have recurrently participated in this test since the year 2000: Argentina, Brazil, Chile, Colombia, Mexico, Peru, and Uruguay.</w:t>
      </w:r>
    </w:p>
    <w:p w14:paraId="3179EFD6" w14:textId="77777777" w:rsidR="00E50C48" w:rsidRPr="00703CAB" w:rsidRDefault="00E50C48" w:rsidP="00E50C48">
      <w:pPr>
        <w:jc w:val="both"/>
        <w:rPr>
          <w:rFonts w:ascii="Calibri" w:eastAsia="Calibri" w:hAnsi="Calibri" w:cs="Times New Roman"/>
          <w:lang w:val="en-US"/>
        </w:rPr>
      </w:pPr>
      <w:r w:rsidRPr="00703CAB">
        <w:rPr>
          <w:rFonts w:ascii="Calibri" w:eastAsia="Calibri" w:hAnsi="Calibri" w:cs="Times New Roman"/>
          <w:lang w:val="en-US"/>
        </w:rPr>
        <w:t>METHOD</w:t>
      </w:r>
      <w:r>
        <w:rPr>
          <w:rFonts w:ascii="Calibri" w:eastAsia="Calibri" w:hAnsi="Calibri" w:cs="Times New Roman"/>
          <w:lang w:val="en-US"/>
        </w:rPr>
        <w:t>OLOGY</w:t>
      </w:r>
      <w:r w:rsidRPr="00703CAB">
        <w:rPr>
          <w:rFonts w:ascii="Calibri" w:eastAsia="Calibri" w:hAnsi="Calibri" w:cs="Times New Roman"/>
          <w:lang w:val="en-US"/>
        </w:rPr>
        <w:t>. In this study, we analyze the evolution of the above-named countries in the PISA test, and other national and international assessments. We examine the goals, methodological biases, and the comparative results of these tests.</w:t>
      </w:r>
    </w:p>
    <w:p w14:paraId="2DF2C1CE" w14:textId="77777777" w:rsidR="00E50C48" w:rsidRPr="00703CAB" w:rsidRDefault="00E50C48" w:rsidP="00E50C48">
      <w:pPr>
        <w:jc w:val="both"/>
        <w:rPr>
          <w:rFonts w:ascii="Calibri" w:eastAsia="Calibri" w:hAnsi="Calibri" w:cs="Times New Roman"/>
          <w:lang w:val="en-US"/>
        </w:rPr>
      </w:pPr>
      <w:r w:rsidRPr="00703CAB">
        <w:rPr>
          <w:rFonts w:ascii="Calibri" w:eastAsia="Calibri" w:hAnsi="Calibri" w:cs="Times New Roman"/>
          <w:lang w:val="en-US"/>
        </w:rPr>
        <w:t xml:space="preserve">RESULTS. The results of the </w:t>
      </w:r>
      <w:r>
        <w:rPr>
          <w:rFonts w:ascii="Calibri" w:eastAsia="Calibri" w:hAnsi="Calibri" w:cs="Times New Roman"/>
          <w:lang w:val="en-US"/>
        </w:rPr>
        <w:t xml:space="preserve">educational </w:t>
      </w:r>
      <w:r w:rsidRPr="00703CAB">
        <w:rPr>
          <w:rFonts w:ascii="Calibri" w:eastAsia="Calibri" w:hAnsi="Calibri" w:cs="Times New Roman"/>
          <w:lang w:val="en-US"/>
        </w:rPr>
        <w:t xml:space="preserve">quality assessments contradict each other and have variations based on methodological issues that are relatively unexplored. The PISA tests have introduced a methodological change in its 2015 edition that modify the results of previous </w:t>
      </w:r>
      <w:r w:rsidRPr="00703CAB">
        <w:rPr>
          <w:rFonts w:ascii="Calibri" w:eastAsia="Calibri" w:hAnsi="Calibri" w:cs="Times New Roman"/>
          <w:lang w:val="en-US"/>
        </w:rPr>
        <w:lastRenderedPageBreak/>
        <w:t>editions and made the results incomparable to those of the first editions (2000 and 2003).  This raises important questions regarding the fact that the education</w:t>
      </w:r>
      <w:r>
        <w:rPr>
          <w:rFonts w:ascii="Calibri" w:eastAsia="Calibri" w:hAnsi="Calibri" w:cs="Times New Roman"/>
          <w:lang w:val="en-US"/>
        </w:rPr>
        <w:t>al</w:t>
      </w:r>
      <w:r w:rsidRPr="00703CAB">
        <w:rPr>
          <w:rFonts w:ascii="Calibri" w:eastAsia="Calibri" w:hAnsi="Calibri" w:cs="Times New Roman"/>
          <w:lang w:val="en-US"/>
        </w:rPr>
        <w:t xml:space="preserve"> systems that seem to have improved, have actually not, or at least not to such extent. </w:t>
      </w:r>
      <w:r>
        <w:rPr>
          <w:rFonts w:ascii="Calibri" w:eastAsia="Calibri" w:hAnsi="Calibri" w:cs="Times New Roman"/>
          <w:lang w:val="en-US"/>
        </w:rPr>
        <w:t>The paper</w:t>
      </w:r>
      <w:r w:rsidRPr="00703CAB">
        <w:rPr>
          <w:rFonts w:ascii="Calibri" w:eastAsia="Calibri" w:hAnsi="Calibri" w:cs="Times New Roman"/>
          <w:lang w:val="en-US"/>
        </w:rPr>
        <w:t xml:space="preserve"> introduces a comparison of the results of different assessments in which those countries participated, </w:t>
      </w:r>
      <w:r>
        <w:rPr>
          <w:rFonts w:ascii="Calibri" w:eastAsia="Calibri" w:hAnsi="Calibri" w:cs="Times New Roman"/>
          <w:lang w:val="en-US"/>
        </w:rPr>
        <w:t>showing some</w:t>
      </w:r>
      <w:r w:rsidRPr="00703CAB">
        <w:rPr>
          <w:rFonts w:ascii="Calibri" w:eastAsia="Calibri" w:hAnsi="Calibri" w:cs="Times New Roman"/>
          <w:lang w:val="en-US"/>
        </w:rPr>
        <w:t xml:space="preserve"> cases that have improved their educational quality like Peru—which had a lower starting point— and Chile— which has shown the highest improvement among the analyzed countries during the 2000s.</w:t>
      </w:r>
    </w:p>
    <w:p w14:paraId="5501C63D" w14:textId="77777777" w:rsidR="00E50C48" w:rsidRPr="00DD2D50" w:rsidRDefault="00E50C48" w:rsidP="00E50C48">
      <w:pPr>
        <w:jc w:val="both"/>
        <w:rPr>
          <w:lang w:val="fr-FR"/>
        </w:rPr>
      </w:pPr>
      <w:r w:rsidRPr="00703CAB">
        <w:rPr>
          <w:rFonts w:ascii="Calibri" w:eastAsia="Calibri" w:hAnsi="Calibri" w:cs="Times New Roman"/>
          <w:lang w:val="en-US"/>
        </w:rPr>
        <w:t xml:space="preserve">DISCUSSION. The study concludes by revealing a necessity to discuss a “second </w:t>
      </w:r>
      <w:r>
        <w:rPr>
          <w:rFonts w:ascii="Calibri" w:eastAsia="Calibri" w:hAnsi="Calibri" w:cs="Times New Roman"/>
          <w:lang w:val="en-US"/>
        </w:rPr>
        <w:t>dimension</w:t>
      </w:r>
      <w:r w:rsidRPr="00703CAB">
        <w:rPr>
          <w:rFonts w:ascii="Calibri" w:eastAsia="Calibri" w:hAnsi="Calibri" w:cs="Times New Roman"/>
          <w:lang w:val="en-US"/>
        </w:rPr>
        <w:t xml:space="preserve"> of the educational quality” that requires further analyses of the standardized assessment results—not just skim reading— taking into consideration the various educational indicators and sources in a complimentary manner. That second </w:t>
      </w:r>
      <w:r>
        <w:rPr>
          <w:rFonts w:ascii="Calibri" w:eastAsia="Calibri" w:hAnsi="Calibri" w:cs="Times New Roman"/>
          <w:lang w:val="en-US"/>
        </w:rPr>
        <w:t>dimension</w:t>
      </w:r>
      <w:r w:rsidRPr="00703CAB">
        <w:rPr>
          <w:rFonts w:ascii="Calibri" w:eastAsia="Calibri" w:hAnsi="Calibri" w:cs="Times New Roman"/>
          <w:lang w:val="en-US"/>
        </w:rPr>
        <w:t xml:space="preserve"> acts as an epistemological filter to understand the evolution of education</w:t>
      </w:r>
      <w:r>
        <w:rPr>
          <w:rFonts w:ascii="Calibri" w:eastAsia="Calibri" w:hAnsi="Calibri" w:cs="Times New Roman"/>
          <w:lang w:val="en-US"/>
        </w:rPr>
        <w:t>al</w:t>
      </w:r>
      <w:r w:rsidRPr="00703CAB">
        <w:rPr>
          <w:rFonts w:ascii="Calibri" w:eastAsia="Calibri" w:hAnsi="Calibri" w:cs="Times New Roman"/>
          <w:lang w:val="en-US"/>
        </w:rPr>
        <w:t xml:space="preserve"> systems in Latin America and to avoid a misreading or a biased interpretation of the improvements achieved in the quality of education.</w:t>
      </w:r>
    </w:p>
    <w:p w14:paraId="401EFA29" w14:textId="77777777" w:rsidR="00E50C48" w:rsidRPr="00703CAB" w:rsidRDefault="00E50C48" w:rsidP="00E50C48">
      <w:pPr>
        <w:jc w:val="both"/>
        <w:rPr>
          <w:rFonts w:ascii="Calibri" w:eastAsia="Calibri" w:hAnsi="Calibri" w:cs="Times New Roman"/>
          <w:lang w:val="en-US"/>
        </w:rPr>
      </w:pPr>
      <w:r w:rsidRPr="00703CAB">
        <w:rPr>
          <w:rFonts w:ascii="Calibri" w:eastAsia="Calibri" w:hAnsi="Calibri" w:cs="Times New Roman"/>
          <w:b/>
          <w:lang w:val="en-US"/>
        </w:rPr>
        <w:t>Keywords</w:t>
      </w:r>
      <w:r w:rsidRPr="00703CAB">
        <w:rPr>
          <w:rFonts w:ascii="Calibri" w:eastAsia="Calibri" w:hAnsi="Calibri" w:cs="Times New Roman"/>
          <w:lang w:val="en-US"/>
        </w:rPr>
        <w:t>: Educational Testing, Educational Policy, Educational Quality, Comparative Analysis</w:t>
      </w:r>
      <w:r>
        <w:rPr>
          <w:rFonts w:ascii="Calibri" w:eastAsia="Calibri" w:hAnsi="Calibri" w:cs="Times New Roman"/>
          <w:lang w:val="en-US"/>
        </w:rPr>
        <w:t>, re-scaling</w:t>
      </w:r>
    </w:p>
    <w:p w14:paraId="7F6FD53A" w14:textId="77777777" w:rsidR="00E50C48" w:rsidRPr="00B8751F" w:rsidRDefault="00E50C48" w:rsidP="00E50C48">
      <w:pPr>
        <w:jc w:val="both"/>
        <w:rPr>
          <w:b/>
          <w:lang w:val="en-US"/>
        </w:rPr>
      </w:pPr>
    </w:p>
    <w:p w14:paraId="00540637" w14:textId="5C768992" w:rsidR="00E50C48" w:rsidRDefault="00E50C48" w:rsidP="00E50C48">
      <w:pPr>
        <w:rPr>
          <w:b/>
          <w:lang w:val="fr-FR"/>
        </w:rPr>
      </w:pPr>
      <w:r w:rsidRPr="00DD2D50">
        <w:rPr>
          <w:b/>
          <w:lang w:val="fr-FR"/>
        </w:rPr>
        <w:t>Résumé</w:t>
      </w:r>
    </w:p>
    <w:p w14:paraId="4A88948F" w14:textId="06E3F2B7" w:rsidR="00E50C48" w:rsidRDefault="00E50C48" w:rsidP="00E50C48">
      <w:pPr>
        <w:rPr>
          <w:b/>
          <w:lang w:val="fr-FR"/>
        </w:rPr>
      </w:pPr>
      <w:r w:rsidRPr="00E50C48">
        <w:rPr>
          <w:b/>
          <w:lang w:val="fr-FR"/>
        </w:rPr>
        <w:t>La deuxième dimension de la qualité de l'éducation:</w:t>
      </w:r>
      <w:r>
        <w:rPr>
          <w:b/>
          <w:lang w:val="fr-FR"/>
        </w:rPr>
        <w:t xml:space="preserve"> </w:t>
      </w:r>
      <w:r w:rsidRPr="00E50C48">
        <w:rPr>
          <w:b/>
          <w:lang w:val="fr-FR"/>
        </w:rPr>
        <w:t>Une étude comparée dans sept pays d'Amérique Latine</w:t>
      </w:r>
    </w:p>
    <w:p w14:paraId="327F0E13" w14:textId="77777777" w:rsidR="00E50C48" w:rsidRPr="00DD2D50" w:rsidRDefault="00E50C48" w:rsidP="00E50C48">
      <w:pPr>
        <w:jc w:val="both"/>
        <w:rPr>
          <w:lang w:val="fr-FR"/>
        </w:rPr>
      </w:pPr>
      <w:r w:rsidRPr="00DD2D50">
        <w:rPr>
          <w:lang w:val="fr-FR"/>
        </w:rPr>
        <w:t xml:space="preserve">INTRODUCTION. Les évaluations de la qualité de l’enseignement ont permis d’étudier au cours des 20 dernières années la comparaison des systèmes éducatifs. Les résultats des tests PISA sont </w:t>
      </w:r>
      <w:r>
        <w:rPr>
          <w:lang w:val="fr-FR"/>
        </w:rPr>
        <w:t xml:space="preserve">la </w:t>
      </w:r>
      <w:r w:rsidRPr="00B161C2">
        <w:rPr>
          <w:lang w:val="fr-FR"/>
        </w:rPr>
        <w:t>référence</w:t>
      </w:r>
      <w:r w:rsidRPr="00735187">
        <w:rPr>
          <w:lang w:val="fr-FR"/>
        </w:rPr>
        <w:t xml:space="preserve"> </w:t>
      </w:r>
      <w:r w:rsidRPr="00DD2D50">
        <w:rPr>
          <w:lang w:val="fr-FR"/>
        </w:rPr>
        <w:t>l</w:t>
      </w:r>
      <w:r>
        <w:rPr>
          <w:lang w:val="fr-FR"/>
        </w:rPr>
        <w:t>a</w:t>
      </w:r>
      <w:r w:rsidRPr="00DD2D50">
        <w:rPr>
          <w:lang w:val="fr-FR"/>
        </w:rPr>
        <w:t xml:space="preserve"> plus utilisé</w:t>
      </w:r>
      <w:r>
        <w:rPr>
          <w:lang w:val="fr-FR"/>
        </w:rPr>
        <w:t>e.</w:t>
      </w:r>
      <w:r w:rsidRPr="00DD2D50">
        <w:rPr>
          <w:lang w:val="fr-FR"/>
        </w:rPr>
        <w:t xml:space="preserve"> En Amérique </w:t>
      </w:r>
      <w:r>
        <w:rPr>
          <w:lang w:val="fr-FR"/>
        </w:rPr>
        <w:t>L</w:t>
      </w:r>
      <w:r w:rsidRPr="00DD2D50">
        <w:rPr>
          <w:lang w:val="fr-FR"/>
        </w:rPr>
        <w:t>atine, sept pays y particip</w:t>
      </w:r>
      <w:r>
        <w:rPr>
          <w:lang w:val="fr-FR"/>
        </w:rPr>
        <w:t>ent</w:t>
      </w:r>
      <w:r w:rsidRPr="00DD2D50">
        <w:rPr>
          <w:lang w:val="fr-FR"/>
        </w:rPr>
        <w:t xml:space="preserve"> depuis </w:t>
      </w:r>
      <w:r>
        <w:rPr>
          <w:lang w:val="fr-FR"/>
        </w:rPr>
        <w:t xml:space="preserve">l’an </w:t>
      </w:r>
      <w:r w:rsidRPr="00DD2D50">
        <w:rPr>
          <w:lang w:val="fr-FR"/>
        </w:rPr>
        <w:t>2000: l’Argentine, le Brésil, le Chili, la Colombie, le Mexique, le Pérou et l’Uruguay.</w:t>
      </w:r>
    </w:p>
    <w:p w14:paraId="4F4BBB2E" w14:textId="77777777" w:rsidR="00E50C48" w:rsidRPr="00DD2D50" w:rsidRDefault="00E50C48" w:rsidP="00E50C48">
      <w:pPr>
        <w:jc w:val="both"/>
        <w:rPr>
          <w:lang w:val="fr-FR"/>
        </w:rPr>
      </w:pPr>
      <w:r w:rsidRPr="00DD2D50">
        <w:rPr>
          <w:lang w:val="fr-FR"/>
        </w:rPr>
        <w:t xml:space="preserve">MÉTHODE. </w:t>
      </w:r>
      <w:r>
        <w:rPr>
          <w:lang w:val="fr-FR"/>
        </w:rPr>
        <w:t>On analyse ici l</w:t>
      </w:r>
      <w:r w:rsidRPr="00DD2D50">
        <w:rPr>
          <w:rFonts w:hint="eastAsia"/>
          <w:lang w:val="fr-FR"/>
        </w:rPr>
        <w:t>’é</w:t>
      </w:r>
      <w:r w:rsidRPr="00DD2D50">
        <w:rPr>
          <w:lang w:val="fr-FR"/>
        </w:rPr>
        <w:t>volution de ces pays dans le test PISA et dans d</w:t>
      </w:r>
      <w:r w:rsidRPr="00DD2D50">
        <w:rPr>
          <w:rFonts w:hint="eastAsia"/>
          <w:lang w:val="fr-FR"/>
        </w:rPr>
        <w:t>’</w:t>
      </w:r>
      <w:r w:rsidRPr="00DD2D50">
        <w:rPr>
          <w:lang w:val="fr-FR"/>
        </w:rPr>
        <w:t xml:space="preserve">autres </w:t>
      </w:r>
      <w:r w:rsidRPr="00DD2D50">
        <w:rPr>
          <w:rFonts w:hint="eastAsia"/>
          <w:lang w:val="fr-FR"/>
        </w:rPr>
        <w:t>é</w:t>
      </w:r>
      <w:r w:rsidRPr="00DD2D50">
        <w:rPr>
          <w:lang w:val="fr-FR"/>
        </w:rPr>
        <w:t xml:space="preserve">valuations nationales et internationales. </w:t>
      </w:r>
      <w:r>
        <w:rPr>
          <w:lang w:val="fr-FR"/>
        </w:rPr>
        <w:t>Aussi l</w:t>
      </w:r>
      <w:r w:rsidRPr="00DD2D50">
        <w:rPr>
          <w:lang w:val="fr-FR"/>
        </w:rPr>
        <w:t>es objectifs, les biais m</w:t>
      </w:r>
      <w:r w:rsidRPr="00DD2D50">
        <w:rPr>
          <w:rFonts w:hint="eastAsia"/>
          <w:lang w:val="fr-FR"/>
        </w:rPr>
        <w:t>é</w:t>
      </w:r>
      <w:r w:rsidRPr="00DD2D50">
        <w:rPr>
          <w:lang w:val="fr-FR"/>
        </w:rPr>
        <w:t>thodologiques et les r</w:t>
      </w:r>
      <w:r w:rsidRPr="00DD2D50">
        <w:rPr>
          <w:rFonts w:hint="eastAsia"/>
          <w:lang w:val="fr-FR"/>
        </w:rPr>
        <w:t>é</w:t>
      </w:r>
      <w:r w:rsidRPr="00DD2D50">
        <w:rPr>
          <w:lang w:val="fr-FR"/>
        </w:rPr>
        <w:t xml:space="preserve">sultats comparatifs de ces </w:t>
      </w:r>
      <w:r w:rsidRPr="00DD2D50">
        <w:rPr>
          <w:rFonts w:hint="eastAsia"/>
          <w:lang w:val="fr-FR"/>
        </w:rPr>
        <w:t>é</w:t>
      </w:r>
      <w:r w:rsidRPr="00DD2D50">
        <w:rPr>
          <w:lang w:val="fr-FR"/>
        </w:rPr>
        <w:t>valuations sont analys</w:t>
      </w:r>
      <w:r w:rsidRPr="00DD2D50">
        <w:rPr>
          <w:rFonts w:hint="eastAsia"/>
          <w:lang w:val="fr-FR"/>
        </w:rPr>
        <w:t>é</w:t>
      </w:r>
      <w:r w:rsidRPr="00DD2D50">
        <w:rPr>
          <w:lang w:val="fr-FR"/>
        </w:rPr>
        <w:t>s.</w:t>
      </w:r>
    </w:p>
    <w:p w14:paraId="2758B87E" w14:textId="77777777" w:rsidR="00E50C48" w:rsidRPr="00DD2D50" w:rsidRDefault="00E50C48" w:rsidP="00E50C48">
      <w:pPr>
        <w:jc w:val="both"/>
        <w:rPr>
          <w:lang w:val="fr-FR"/>
        </w:rPr>
      </w:pPr>
      <w:r w:rsidRPr="00DD2D50">
        <w:rPr>
          <w:lang w:val="fr-FR"/>
        </w:rPr>
        <w:t>RÉSULTATS. L</w:t>
      </w:r>
      <w:r w:rsidRPr="0049384B">
        <w:rPr>
          <w:lang w:val="fr-FR"/>
        </w:rPr>
        <w:t xml:space="preserve">es résultats des différentes évaluations de la qualité </w:t>
      </w:r>
      <w:r>
        <w:rPr>
          <w:lang w:val="fr-FR"/>
        </w:rPr>
        <w:t>f</w:t>
      </w:r>
      <w:r w:rsidRPr="00DD2D50">
        <w:rPr>
          <w:lang w:val="fr-FR"/>
        </w:rPr>
        <w:t xml:space="preserve">ont </w:t>
      </w:r>
      <w:r>
        <w:rPr>
          <w:lang w:val="fr-FR"/>
        </w:rPr>
        <w:t xml:space="preserve">preuve des </w:t>
      </w:r>
      <w:r w:rsidRPr="00DD2D50">
        <w:rPr>
          <w:lang w:val="fr-FR"/>
        </w:rPr>
        <w:t xml:space="preserve">tendances qui montrent des contradictions entre elles, même avec des variations </w:t>
      </w:r>
      <w:r>
        <w:rPr>
          <w:lang w:val="fr-FR"/>
        </w:rPr>
        <w:t xml:space="preserve">qui reposent </w:t>
      </w:r>
      <w:r w:rsidRPr="00DD2D50">
        <w:rPr>
          <w:lang w:val="fr-FR"/>
        </w:rPr>
        <w:t>sur des problèmes méthodologiques peu explorés jusqu'à présent.</w:t>
      </w:r>
      <w:r>
        <w:rPr>
          <w:lang w:val="fr-FR"/>
        </w:rPr>
        <w:t xml:space="preserve"> </w:t>
      </w:r>
      <w:r w:rsidRPr="00DF6D84">
        <w:rPr>
          <w:lang w:val="fr-FR"/>
        </w:rPr>
        <w:t>Les tests PISA ont introduit des modifications dans l'édition 2015 qui modifient les résultats des éditions précédentes et rendent les résultats des premières éditions (2000 et 2003)</w:t>
      </w:r>
      <w:r>
        <w:rPr>
          <w:lang w:val="fr-FR"/>
        </w:rPr>
        <w:t xml:space="preserve"> </w:t>
      </w:r>
      <w:r w:rsidRPr="00DF6D84">
        <w:rPr>
          <w:lang w:val="fr-FR"/>
        </w:rPr>
        <w:t>incomparables. On s'interroge sur le constat que les systèmes éducatifs qui semblaient s'être améliorés ne l'ont pas réellement fait ou l'ont réalisé de manière plus réduite</w:t>
      </w:r>
      <w:r>
        <w:rPr>
          <w:lang w:val="fr-FR"/>
        </w:rPr>
        <w:t xml:space="preserve"> </w:t>
      </w:r>
      <w:r w:rsidRPr="00DF6D84">
        <w:rPr>
          <w:lang w:val="fr-FR"/>
        </w:rPr>
        <w:t>qu'on ne le pensait auparavant.</w:t>
      </w:r>
      <w:r>
        <w:rPr>
          <w:lang w:val="fr-FR"/>
        </w:rPr>
        <w:t xml:space="preserve"> </w:t>
      </w:r>
      <w:r w:rsidRPr="00DF6D84">
        <w:rPr>
          <w:lang w:val="fr-FR"/>
        </w:rPr>
        <w:t>Une vue comparative des résultats des évaluations des sept pays analysés est présentée, confirmant qu'il y avait des cas d'amélioration tels que celui du Pérou à partir d'un point de départ inférieur et celui du Chili dans les années 2000, atte</w:t>
      </w:r>
      <w:r>
        <w:rPr>
          <w:lang w:val="fr-FR"/>
        </w:rPr>
        <w:t>ignant le point culminant parmi l</w:t>
      </w:r>
      <w:r w:rsidRPr="00DF6D84">
        <w:rPr>
          <w:lang w:val="fr-FR"/>
        </w:rPr>
        <w:t>es pays analysés.</w:t>
      </w:r>
    </w:p>
    <w:p w14:paraId="11AA7904" w14:textId="77777777" w:rsidR="00E50C48" w:rsidRPr="00DD2D50" w:rsidRDefault="00E50C48" w:rsidP="00E50C48">
      <w:pPr>
        <w:jc w:val="both"/>
        <w:rPr>
          <w:lang w:val="fr-FR"/>
        </w:rPr>
      </w:pPr>
      <w:r w:rsidRPr="00DD2D50">
        <w:rPr>
          <w:lang w:val="fr-FR"/>
        </w:rPr>
        <w:t>DISCUSSION. L'étude présente la nécessité de discuter une «</w:t>
      </w:r>
      <w:r>
        <w:rPr>
          <w:lang w:val="fr-FR"/>
        </w:rPr>
        <w:t xml:space="preserve"> </w:t>
      </w:r>
      <w:r w:rsidRPr="00DD2D50">
        <w:rPr>
          <w:lang w:val="fr-FR"/>
        </w:rPr>
        <w:t>deuxième dimension de la qualité de l'éducation</w:t>
      </w:r>
      <w:r>
        <w:rPr>
          <w:lang w:val="fr-FR"/>
        </w:rPr>
        <w:t xml:space="preserve"> </w:t>
      </w:r>
      <w:r w:rsidRPr="00DD2D50">
        <w:rPr>
          <w:lang w:val="fr-FR"/>
        </w:rPr>
        <w:t>», qui nécessite d'aller au-delà de la lecture simplifiée des résultats d</w:t>
      </w:r>
      <w:r>
        <w:rPr>
          <w:lang w:val="fr-FR"/>
        </w:rPr>
        <w:t xml:space="preserve">es </w:t>
      </w:r>
      <w:r w:rsidRPr="00DD2D50">
        <w:rPr>
          <w:lang w:val="fr-FR"/>
        </w:rPr>
        <w:t>évaluation</w:t>
      </w:r>
      <w:r>
        <w:rPr>
          <w:lang w:val="fr-FR"/>
        </w:rPr>
        <w:t>s</w:t>
      </w:r>
      <w:r w:rsidRPr="00DD2D50">
        <w:rPr>
          <w:lang w:val="fr-FR"/>
        </w:rPr>
        <w:t xml:space="preserve">, en </w:t>
      </w:r>
      <w:r>
        <w:rPr>
          <w:lang w:val="fr-FR"/>
        </w:rPr>
        <w:t xml:space="preserve">considérant </w:t>
      </w:r>
      <w:r w:rsidRPr="00DD2D50">
        <w:rPr>
          <w:lang w:val="fr-FR"/>
        </w:rPr>
        <w:t>di</w:t>
      </w:r>
      <w:r>
        <w:rPr>
          <w:lang w:val="fr-FR"/>
        </w:rPr>
        <w:t xml:space="preserve">fférentes </w:t>
      </w:r>
      <w:r w:rsidRPr="00DD2D50">
        <w:rPr>
          <w:lang w:val="fr-FR"/>
        </w:rPr>
        <w:t xml:space="preserve">sources et </w:t>
      </w:r>
      <w:r>
        <w:rPr>
          <w:lang w:val="fr-FR"/>
        </w:rPr>
        <w:t xml:space="preserve">différents </w:t>
      </w:r>
      <w:r w:rsidRPr="00DD2D50">
        <w:rPr>
          <w:lang w:val="fr-FR"/>
        </w:rPr>
        <w:t>indicateurs de l'éducation de manière complémentaire.</w:t>
      </w:r>
      <w:r>
        <w:rPr>
          <w:lang w:val="fr-FR"/>
        </w:rPr>
        <w:t xml:space="preserve"> </w:t>
      </w:r>
      <w:r w:rsidRPr="00DD2D50">
        <w:rPr>
          <w:lang w:val="fr-FR"/>
        </w:rPr>
        <w:t xml:space="preserve">Cette deuxième dimension fonctionne comme un filtre épistémologique pour comprendre l'évolution des systèmes éducatifs en Amérique </w:t>
      </w:r>
      <w:r>
        <w:rPr>
          <w:lang w:val="fr-FR"/>
        </w:rPr>
        <w:t>L</w:t>
      </w:r>
      <w:r w:rsidRPr="00DD2D50">
        <w:rPr>
          <w:lang w:val="fr-FR"/>
        </w:rPr>
        <w:t xml:space="preserve">atine et </w:t>
      </w:r>
      <w:r>
        <w:rPr>
          <w:lang w:val="fr-FR"/>
        </w:rPr>
        <w:t xml:space="preserve">pour </w:t>
      </w:r>
      <w:r w:rsidRPr="00DD2D50">
        <w:rPr>
          <w:lang w:val="fr-FR"/>
        </w:rPr>
        <w:t>éviter les lectures erronées ou biaisées de la qualité de l'éducation.</w:t>
      </w:r>
    </w:p>
    <w:p w14:paraId="53F14D9E" w14:textId="77777777" w:rsidR="00E50C48" w:rsidRDefault="00E50C48" w:rsidP="00E50C48">
      <w:pPr>
        <w:jc w:val="both"/>
        <w:rPr>
          <w:lang w:val="fr-FR"/>
        </w:rPr>
      </w:pPr>
      <w:r w:rsidRPr="00DD2D50">
        <w:rPr>
          <w:b/>
          <w:lang w:val="fr-FR"/>
        </w:rPr>
        <w:lastRenderedPageBreak/>
        <w:t>Mots-clés :</w:t>
      </w:r>
      <w:r w:rsidRPr="00DD2D50">
        <w:rPr>
          <w:lang w:val="fr-FR"/>
        </w:rPr>
        <w:t xml:space="preserve"> Évaluation de l'éducation, Politique de l'éducation, Qualité de l'éducation, Analyse comparative, </w:t>
      </w:r>
      <w:r>
        <w:rPr>
          <w:lang w:val="fr-FR"/>
        </w:rPr>
        <w:t>R</w:t>
      </w:r>
      <w:r w:rsidRPr="00F0403B">
        <w:rPr>
          <w:lang w:val="fr-FR"/>
        </w:rPr>
        <w:t>edimensionnement</w:t>
      </w:r>
      <w:r w:rsidRPr="00DD2D50">
        <w:rPr>
          <w:lang w:val="fr-FR"/>
        </w:rPr>
        <w:t>.</w:t>
      </w:r>
    </w:p>
    <w:p w14:paraId="6B3B84F5" w14:textId="77777777" w:rsidR="00E50C48" w:rsidRDefault="00E50C48" w:rsidP="00E50C48">
      <w:pPr>
        <w:jc w:val="both"/>
        <w:rPr>
          <w:lang w:val="fr-FR"/>
        </w:rPr>
      </w:pPr>
    </w:p>
    <w:p w14:paraId="3522FB75" w14:textId="19327F8E" w:rsidR="00F34588" w:rsidRPr="00F34588" w:rsidRDefault="00F34588" w:rsidP="00F34588">
      <w:pPr>
        <w:spacing w:before="100" w:beforeAutospacing="1" w:after="100" w:afterAutospacing="1" w:line="276" w:lineRule="auto"/>
        <w:rPr>
          <w:rFonts w:ascii="Times New Roman" w:eastAsia="Calibri" w:hAnsi="Times New Roman" w:cs="Times New Roman"/>
          <w:sz w:val="24"/>
          <w:szCs w:val="24"/>
          <w:lang w:val="en-US" w:eastAsia="es-ES"/>
        </w:rPr>
      </w:pPr>
      <w:r w:rsidRPr="00F34588">
        <w:rPr>
          <w:rFonts w:ascii="Times New Roman" w:eastAsia="Calibri" w:hAnsi="Times New Roman" w:cs="Times New Roman"/>
          <w:sz w:val="24"/>
          <w:szCs w:val="24"/>
          <w:lang w:val="en-US" w:eastAsia="es-ES"/>
        </w:rPr>
        <w:t>Axel Rivas</w:t>
      </w:r>
      <w:r>
        <w:rPr>
          <w:rFonts w:ascii="Times New Roman" w:eastAsia="Calibri" w:hAnsi="Times New Roman" w:cs="Times New Roman"/>
          <w:sz w:val="24"/>
          <w:szCs w:val="24"/>
          <w:lang w:val="en-US" w:eastAsia="es-ES"/>
        </w:rPr>
        <w:t xml:space="preserve"> (autor de contacto)</w:t>
      </w:r>
    </w:p>
    <w:p w14:paraId="633D21A2" w14:textId="768976E9" w:rsidR="00F34588" w:rsidRDefault="00F34588" w:rsidP="00F34588">
      <w:pPr>
        <w:spacing w:before="100" w:beforeAutospacing="1" w:after="100" w:afterAutospacing="1" w:line="276" w:lineRule="auto"/>
        <w:rPr>
          <w:rFonts w:ascii="Times New Roman" w:eastAsia="Calibri" w:hAnsi="Times New Roman" w:cs="Times New Roman"/>
          <w:sz w:val="24"/>
          <w:szCs w:val="24"/>
          <w:lang w:val="en-US" w:eastAsia="es-ES"/>
        </w:rPr>
      </w:pPr>
      <w:r w:rsidRPr="00F34588">
        <w:rPr>
          <w:rFonts w:ascii="Times New Roman" w:eastAsia="Calibri" w:hAnsi="Times New Roman" w:cs="Times New Roman"/>
          <w:sz w:val="24"/>
          <w:szCs w:val="24"/>
          <w:lang w:val="en-US" w:eastAsia="es-ES"/>
        </w:rPr>
        <w:t>Profesor, Investigador y Director de la Escuela de Educación de la Universidad de San Andrés. Doctor en Ciencias Sociales, Universidad de Buenos Aires (UBA). Master en Ciencias Sociales y Educación, FLACSO, Argentina. Licenciado en Ciencias de la Comunicación (UBA). Autor de libros y artículos sobre perspectivas comparadas y políticas de la educación</w:t>
      </w:r>
      <w:r>
        <w:rPr>
          <w:rFonts w:ascii="Times New Roman" w:eastAsia="Calibri" w:hAnsi="Times New Roman" w:cs="Times New Roman"/>
          <w:sz w:val="24"/>
          <w:szCs w:val="24"/>
          <w:lang w:val="en-US" w:eastAsia="es-ES"/>
        </w:rPr>
        <w:t>; mejora de los sistemas educativos, e innovación educativa</w:t>
      </w:r>
      <w:r w:rsidRPr="00F34588">
        <w:rPr>
          <w:rFonts w:ascii="Times New Roman" w:eastAsia="Calibri" w:hAnsi="Times New Roman" w:cs="Times New Roman"/>
          <w:sz w:val="24"/>
          <w:szCs w:val="24"/>
          <w:lang w:val="en-US" w:eastAsia="es-ES"/>
        </w:rPr>
        <w:t xml:space="preserve">. </w:t>
      </w:r>
    </w:p>
    <w:p w14:paraId="54D6ED3B" w14:textId="13E0CF3F" w:rsidR="00F34588" w:rsidRDefault="00F34588" w:rsidP="00F34588">
      <w:pPr>
        <w:spacing w:before="100" w:beforeAutospacing="1" w:after="100" w:afterAutospacing="1" w:line="276" w:lineRule="auto"/>
        <w:rPr>
          <w:rFonts w:ascii="Times New Roman" w:eastAsia="Calibri" w:hAnsi="Times New Roman" w:cs="Times New Roman"/>
          <w:sz w:val="24"/>
          <w:szCs w:val="24"/>
          <w:lang w:val="en-US" w:eastAsia="es-ES"/>
        </w:rPr>
      </w:pPr>
      <w:r w:rsidRPr="00F34588">
        <w:rPr>
          <w:rFonts w:ascii="Times New Roman" w:eastAsia="Calibri" w:hAnsi="Times New Roman" w:cs="Times New Roman"/>
          <w:sz w:val="24"/>
          <w:szCs w:val="24"/>
          <w:lang w:val="en-US" w:eastAsia="es-ES"/>
        </w:rPr>
        <w:t>e-mail: arivas@udesa.edu.ar</w:t>
      </w:r>
    </w:p>
    <w:p w14:paraId="7EF92AA5" w14:textId="7A1A0FA4" w:rsidR="00F34588" w:rsidRPr="00F34588" w:rsidRDefault="00F34588" w:rsidP="00F34588">
      <w:pPr>
        <w:spacing w:before="100" w:beforeAutospacing="1" w:after="100" w:afterAutospacing="1" w:line="276" w:lineRule="auto"/>
        <w:rPr>
          <w:rFonts w:ascii="Times New Roman" w:eastAsia="Calibri" w:hAnsi="Times New Roman" w:cs="Times New Roman"/>
          <w:sz w:val="24"/>
          <w:szCs w:val="24"/>
          <w:lang w:val="en-US" w:eastAsia="es-ES"/>
        </w:rPr>
      </w:pPr>
      <w:r w:rsidRPr="00F34588">
        <w:rPr>
          <w:rFonts w:ascii="Times New Roman" w:eastAsia="Calibri" w:hAnsi="Times New Roman" w:cs="Times New Roman"/>
          <w:sz w:val="24"/>
          <w:szCs w:val="24"/>
          <w:lang w:val="en-US" w:eastAsia="es-ES"/>
        </w:rPr>
        <w:t xml:space="preserve">Dirección: </w:t>
      </w:r>
      <w:r w:rsidRPr="00F34588">
        <w:rPr>
          <w:rFonts w:ascii="Times New Roman" w:eastAsia="Calibri" w:hAnsi="Times New Roman" w:cs="Times New Roman"/>
          <w:sz w:val="24"/>
          <w:szCs w:val="24"/>
          <w:lang w:val="en-US" w:eastAsia="es-ES"/>
        </w:rPr>
        <w:t>Vito Dumas 284 (B1644BID), Victoria, Buenos Aires, Argentina.</w:t>
      </w:r>
      <w:r w:rsidRPr="00F34588">
        <w:rPr>
          <w:rFonts w:ascii="Times New Roman" w:eastAsia="Calibri" w:hAnsi="Times New Roman" w:cs="Times New Roman"/>
          <w:sz w:val="24"/>
          <w:szCs w:val="24"/>
          <w:lang w:val="en-US" w:eastAsia="es-ES"/>
        </w:rPr>
        <w:t>Teléfono: +5491131217072</w:t>
      </w:r>
    </w:p>
    <w:p w14:paraId="3B402FAD" w14:textId="37E5EAD6" w:rsidR="00F34588" w:rsidRPr="00F34588" w:rsidRDefault="00F34588" w:rsidP="00F34588">
      <w:pPr>
        <w:spacing w:before="100" w:beforeAutospacing="1" w:after="100" w:afterAutospacing="1" w:line="276" w:lineRule="auto"/>
        <w:rPr>
          <w:rFonts w:ascii="Times New Roman" w:eastAsia="Calibri" w:hAnsi="Times New Roman" w:cs="Times New Roman"/>
          <w:sz w:val="24"/>
          <w:szCs w:val="24"/>
          <w:lang w:val="en-US" w:eastAsia="es-ES"/>
        </w:rPr>
      </w:pPr>
      <w:r w:rsidRPr="00F34588">
        <w:rPr>
          <w:rFonts w:ascii="Times New Roman" w:eastAsia="Calibri" w:hAnsi="Times New Roman" w:cs="Times New Roman"/>
          <w:sz w:val="24"/>
          <w:szCs w:val="24"/>
          <w:lang w:val="en-US" w:eastAsia="es-ES"/>
        </w:rPr>
        <w:t>e-mail: arivas@udesa.edu.ar</w:t>
      </w:r>
    </w:p>
    <w:p w14:paraId="5BAB69A6" w14:textId="77777777" w:rsidR="00F34588" w:rsidRDefault="00F34588" w:rsidP="00F34588">
      <w:pPr>
        <w:spacing w:before="100" w:beforeAutospacing="1" w:after="100" w:afterAutospacing="1" w:line="276" w:lineRule="auto"/>
        <w:rPr>
          <w:rFonts w:ascii="Times New Roman" w:eastAsia="Calibri" w:hAnsi="Times New Roman" w:cs="Times New Roman"/>
          <w:sz w:val="24"/>
          <w:szCs w:val="24"/>
          <w:lang w:val="en-US" w:eastAsia="es-ES"/>
        </w:rPr>
      </w:pPr>
    </w:p>
    <w:p w14:paraId="2871C1F0" w14:textId="740E1793" w:rsidR="00F34588" w:rsidRPr="00F34588" w:rsidRDefault="00F34588" w:rsidP="00F34588">
      <w:pPr>
        <w:spacing w:before="100" w:beforeAutospacing="1" w:after="100" w:afterAutospacing="1" w:line="276" w:lineRule="auto"/>
        <w:rPr>
          <w:rFonts w:ascii="Times New Roman" w:eastAsia="Calibri" w:hAnsi="Times New Roman" w:cs="Times New Roman"/>
          <w:sz w:val="24"/>
          <w:szCs w:val="24"/>
          <w:lang w:val="en-US" w:eastAsia="es-ES"/>
        </w:rPr>
      </w:pPr>
      <w:r w:rsidRPr="00F34588">
        <w:rPr>
          <w:rFonts w:ascii="Times New Roman" w:eastAsia="Calibri" w:hAnsi="Times New Roman" w:cs="Times New Roman"/>
          <w:sz w:val="24"/>
          <w:szCs w:val="24"/>
          <w:lang w:val="en-US" w:eastAsia="es-ES"/>
        </w:rPr>
        <w:t>Martín Guillermo Scasso.</w:t>
      </w:r>
    </w:p>
    <w:p w14:paraId="69A1C378" w14:textId="77777777" w:rsidR="00F34588" w:rsidRPr="00F34588" w:rsidRDefault="00F34588" w:rsidP="00F34588">
      <w:pPr>
        <w:spacing w:before="100" w:beforeAutospacing="1" w:after="100" w:afterAutospacing="1" w:line="276" w:lineRule="auto"/>
        <w:rPr>
          <w:rFonts w:ascii="Times New Roman" w:eastAsia="Calibri" w:hAnsi="Times New Roman" w:cs="Times New Roman"/>
          <w:sz w:val="24"/>
          <w:szCs w:val="24"/>
          <w:lang w:val="en-US" w:eastAsia="es-ES"/>
        </w:rPr>
      </w:pPr>
      <w:r w:rsidRPr="00F34588">
        <w:rPr>
          <w:rFonts w:ascii="Times New Roman" w:eastAsia="Calibri" w:hAnsi="Times New Roman" w:cs="Times New Roman"/>
          <w:sz w:val="24"/>
          <w:szCs w:val="24"/>
          <w:lang w:val="en-US" w:eastAsia="es-ES"/>
        </w:rPr>
        <w:t>Licenciado y profesor en Sociología, Universidad de Buenos Aires. Consultor para la producción y análisis de información cuantitativa en el sector educación. Consultor de organismos de cooperación internacional (UNICEF, UNESCO, Banco Mundial, CECC/SICA, OEI). Fue asesor de la Secretaría de Evaluación Educativa del Ministerio de Educación y Deporte de Argentina.</w:t>
      </w:r>
    </w:p>
    <w:p w14:paraId="7DD4C35B" w14:textId="020AF868" w:rsidR="00F34588" w:rsidRPr="00F34588" w:rsidRDefault="00F34588" w:rsidP="00F34588">
      <w:pPr>
        <w:spacing w:before="100" w:beforeAutospacing="1" w:after="100" w:afterAutospacing="1" w:line="276" w:lineRule="auto"/>
        <w:rPr>
          <w:rFonts w:ascii="Times New Roman" w:eastAsia="Calibri" w:hAnsi="Times New Roman" w:cs="Times New Roman"/>
          <w:sz w:val="24"/>
          <w:szCs w:val="24"/>
          <w:lang w:val="en-US" w:eastAsia="es-ES"/>
        </w:rPr>
      </w:pPr>
      <w:r w:rsidRPr="00F34588">
        <w:rPr>
          <w:rFonts w:ascii="Times New Roman" w:eastAsia="Calibri" w:hAnsi="Times New Roman" w:cs="Times New Roman"/>
          <w:sz w:val="24"/>
          <w:szCs w:val="24"/>
          <w:lang w:val="en-US" w:eastAsia="es-ES"/>
        </w:rPr>
        <w:t>e-mail: martinscasso@gmail.com</w:t>
      </w:r>
    </w:p>
    <w:sectPr w:rsidR="00F34588" w:rsidRPr="00F34588">
      <w:footerReference w:type="default" r:id="rId4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59660" w14:textId="77777777" w:rsidR="00093008" w:rsidRDefault="00093008" w:rsidP="00565B2A">
      <w:pPr>
        <w:spacing w:after="0" w:line="240" w:lineRule="auto"/>
      </w:pPr>
      <w:r>
        <w:separator/>
      </w:r>
    </w:p>
  </w:endnote>
  <w:endnote w:type="continuationSeparator" w:id="0">
    <w:p w14:paraId="4F10F8B0" w14:textId="77777777" w:rsidR="00093008" w:rsidRDefault="00093008" w:rsidP="00565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124558"/>
      <w:docPartObj>
        <w:docPartGallery w:val="Page Numbers (Bottom of Page)"/>
        <w:docPartUnique/>
      </w:docPartObj>
    </w:sdtPr>
    <w:sdtEndPr/>
    <w:sdtContent>
      <w:p w14:paraId="7955A109" w14:textId="69E04B01" w:rsidR="00735187" w:rsidRDefault="00735187">
        <w:pPr>
          <w:pStyle w:val="Piedepgina"/>
          <w:jc w:val="right"/>
        </w:pPr>
        <w:r>
          <w:fldChar w:fldCharType="begin"/>
        </w:r>
        <w:r>
          <w:instrText>PAGE   \* MERGEFORMAT</w:instrText>
        </w:r>
        <w:r>
          <w:fldChar w:fldCharType="separate"/>
        </w:r>
        <w:r w:rsidR="009A18B4" w:rsidRPr="009A18B4">
          <w:rPr>
            <w:noProof/>
            <w:lang w:val="es-ES"/>
          </w:rPr>
          <w:t>20</w:t>
        </w:r>
        <w:r>
          <w:fldChar w:fldCharType="end"/>
        </w:r>
      </w:p>
    </w:sdtContent>
  </w:sdt>
  <w:p w14:paraId="024A2FA1" w14:textId="77777777" w:rsidR="00735187" w:rsidRDefault="007351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9C859" w14:textId="77777777" w:rsidR="00093008" w:rsidRDefault="00093008" w:rsidP="00565B2A">
      <w:pPr>
        <w:spacing w:after="0" w:line="240" w:lineRule="auto"/>
      </w:pPr>
      <w:r>
        <w:separator/>
      </w:r>
    </w:p>
  </w:footnote>
  <w:footnote w:type="continuationSeparator" w:id="0">
    <w:p w14:paraId="64ECB625" w14:textId="77777777" w:rsidR="00093008" w:rsidRDefault="00093008" w:rsidP="00565B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07E12"/>
    <w:multiLevelType w:val="multilevel"/>
    <w:tmpl w:val="9470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F546FF"/>
    <w:multiLevelType w:val="multilevel"/>
    <w:tmpl w:val="CD1A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E1A"/>
    <w:rsid w:val="00003E6F"/>
    <w:rsid w:val="000063BE"/>
    <w:rsid w:val="00020058"/>
    <w:rsid w:val="00022D8A"/>
    <w:rsid w:val="00035FAF"/>
    <w:rsid w:val="00053CD5"/>
    <w:rsid w:val="00072C8A"/>
    <w:rsid w:val="00073449"/>
    <w:rsid w:val="00073461"/>
    <w:rsid w:val="00085F24"/>
    <w:rsid w:val="00093008"/>
    <w:rsid w:val="00093C00"/>
    <w:rsid w:val="000A2476"/>
    <w:rsid w:val="000A4B95"/>
    <w:rsid w:val="000A5B05"/>
    <w:rsid w:val="000B0160"/>
    <w:rsid w:val="000E7E09"/>
    <w:rsid w:val="000F1CBA"/>
    <w:rsid w:val="000F720F"/>
    <w:rsid w:val="001030A2"/>
    <w:rsid w:val="00115C74"/>
    <w:rsid w:val="00117148"/>
    <w:rsid w:val="00120A6C"/>
    <w:rsid w:val="00122CE3"/>
    <w:rsid w:val="00125D6E"/>
    <w:rsid w:val="00135B3A"/>
    <w:rsid w:val="00135D27"/>
    <w:rsid w:val="00152B00"/>
    <w:rsid w:val="00171D4F"/>
    <w:rsid w:val="00181492"/>
    <w:rsid w:val="00184B94"/>
    <w:rsid w:val="00185412"/>
    <w:rsid w:val="00192872"/>
    <w:rsid w:val="001948A1"/>
    <w:rsid w:val="001950DA"/>
    <w:rsid w:val="001A4CEC"/>
    <w:rsid w:val="001A588F"/>
    <w:rsid w:val="001B0B11"/>
    <w:rsid w:val="001B5FBC"/>
    <w:rsid w:val="001C251F"/>
    <w:rsid w:val="001E1612"/>
    <w:rsid w:val="001E4B39"/>
    <w:rsid w:val="001E68D7"/>
    <w:rsid w:val="001F77C6"/>
    <w:rsid w:val="00201C49"/>
    <w:rsid w:val="00204847"/>
    <w:rsid w:val="00206B78"/>
    <w:rsid w:val="0022019C"/>
    <w:rsid w:val="00224027"/>
    <w:rsid w:val="00230B61"/>
    <w:rsid w:val="00242F1C"/>
    <w:rsid w:val="00262BCC"/>
    <w:rsid w:val="00276BD4"/>
    <w:rsid w:val="00280678"/>
    <w:rsid w:val="00283389"/>
    <w:rsid w:val="00285908"/>
    <w:rsid w:val="002A207C"/>
    <w:rsid w:val="002A6FFA"/>
    <w:rsid w:val="002B7637"/>
    <w:rsid w:val="002C3195"/>
    <w:rsid w:val="002E1573"/>
    <w:rsid w:val="002E7ED5"/>
    <w:rsid w:val="002F69CC"/>
    <w:rsid w:val="00313B88"/>
    <w:rsid w:val="00340849"/>
    <w:rsid w:val="003447C7"/>
    <w:rsid w:val="00354E31"/>
    <w:rsid w:val="00364551"/>
    <w:rsid w:val="003671FC"/>
    <w:rsid w:val="0037052C"/>
    <w:rsid w:val="003722EA"/>
    <w:rsid w:val="00376EA9"/>
    <w:rsid w:val="003813EC"/>
    <w:rsid w:val="00394257"/>
    <w:rsid w:val="003C6A28"/>
    <w:rsid w:val="003D086C"/>
    <w:rsid w:val="003D2ED3"/>
    <w:rsid w:val="003D41AD"/>
    <w:rsid w:val="004009F2"/>
    <w:rsid w:val="0040308B"/>
    <w:rsid w:val="004410CE"/>
    <w:rsid w:val="00454EC9"/>
    <w:rsid w:val="0045709B"/>
    <w:rsid w:val="0046028A"/>
    <w:rsid w:val="00474C22"/>
    <w:rsid w:val="00486A4D"/>
    <w:rsid w:val="00487BAC"/>
    <w:rsid w:val="0049384B"/>
    <w:rsid w:val="0049670D"/>
    <w:rsid w:val="004A34B9"/>
    <w:rsid w:val="004A472B"/>
    <w:rsid w:val="004A7E3E"/>
    <w:rsid w:val="004C450F"/>
    <w:rsid w:val="004D6480"/>
    <w:rsid w:val="0050229A"/>
    <w:rsid w:val="005122C8"/>
    <w:rsid w:val="005213AF"/>
    <w:rsid w:val="0052647F"/>
    <w:rsid w:val="00565B2A"/>
    <w:rsid w:val="00570524"/>
    <w:rsid w:val="00572E1C"/>
    <w:rsid w:val="00576C9D"/>
    <w:rsid w:val="005A7892"/>
    <w:rsid w:val="005D2396"/>
    <w:rsid w:val="005D49D5"/>
    <w:rsid w:val="005D78F0"/>
    <w:rsid w:val="005E3D27"/>
    <w:rsid w:val="005E7497"/>
    <w:rsid w:val="005E75F6"/>
    <w:rsid w:val="005F3DFA"/>
    <w:rsid w:val="00600112"/>
    <w:rsid w:val="00615A03"/>
    <w:rsid w:val="006237DE"/>
    <w:rsid w:val="006522BD"/>
    <w:rsid w:val="00653020"/>
    <w:rsid w:val="00673ECE"/>
    <w:rsid w:val="006B3935"/>
    <w:rsid w:val="006C1B49"/>
    <w:rsid w:val="006C79EC"/>
    <w:rsid w:val="006C7C54"/>
    <w:rsid w:val="006E147F"/>
    <w:rsid w:val="0070269E"/>
    <w:rsid w:val="00704E6D"/>
    <w:rsid w:val="007123B7"/>
    <w:rsid w:val="00716D4C"/>
    <w:rsid w:val="007226F2"/>
    <w:rsid w:val="0072494E"/>
    <w:rsid w:val="00726F9F"/>
    <w:rsid w:val="00730657"/>
    <w:rsid w:val="00734CEA"/>
    <w:rsid w:val="00735187"/>
    <w:rsid w:val="007358C7"/>
    <w:rsid w:val="0074474F"/>
    <w:rsid w:val="00746D92"/>
    <w:rsid w:val="007642B0"/>
    <w:rsid w:val="00790651"/>
    <w:rsid w:val="007929DE"/>
    <w:rsid w:val="007A2E05"/>
    <w:rsid w:val="007A57FE"/>
    <w:rsid w:val="007A60DE"/>
    <w:rsid w:val="007A7EF2"/>
    <w:rsid w:val="007B386A"/>
    <w:rsid w:val="007D53E2"/>
    <w:rsid w:val="007D79E7"/>
    <w:rsid w:val="007E029D"/>
    <w:rsid w:val="007E444E"/>
    <w:rsid w:val="007F14C8"/>
    <w:rsid w:val="007F41C5"/>
    <w:rsid w:val="007F455D"/>
    <w:rsid w:val="007F5D82"/>
    <w:rsid w:val="00806357"/>
    <w:rsid w:val="008323A4"/>
    <w:rsid w:val="0083258B"/>
    <w:rsid w:val="00850660"/>
    <w:rsid w:val="00860143"/>
    <w:rsid w:val="00860411"/>
    <w:rsid w:val="00862214"/>
    <w:rsid w:val="00867253"/>
    <w:rsid w:val="008A3052"/>
    <w:rsid w:val="008A3CD9"/>
    <w:rsid w:val="008A60C0"/>
    <w:rsid w:val="008A66AF"/>
    <w:rsid w:val="008A7FF0"/>
    <w:rsid w:val="008B20DC"/>
    <w:rsid w:val="008B21D9"/>
    <w:rsid w:val="008E0539"/>
    <w:rsid w:val="008E61DA"/>
    <w:rsid w:val="008E7F66"/>
    <w:rsid w:val="008F3FCC"/>
    <w:rsid w:val="00900D9A"/>
    <w:rsid w:val="00902B13"/>
    <w:rsid w:val="00911968"/>
    <w:rsid w:val="00916ED2"/>
    <w:rsid w:val="00927447"/>
    <w:rsid w:val="00953853"/>
    <w:rsid w:val="00953AC8"/>
    <w:rsid w:val="00970BBE"/>
    <w:rsid w:val="00971912"/>
    <w:rsid w:val="00972992"/>
    <w:rsid w:val="00973717"/>
    <w:rsid w:val="009867C3"/>
    <w:rsid w:val="009A18B4"/>
    <w:rsid w:val="009A3405"/>
    <w:rsid w:val="009C0F67"/>
    <w:rsid w:val="009C38B2"/>
    <w:rsid w:val="009D19EF"/>
    <w:rsid w:val="009D344C"/>
    <w:rsid w:val="009D5146"/>
    <w:rsid w:val="009E6F4D"/>
    <w:rsid w:val="009F10C5"/>
    <w:rsid w:val="009F2729"/>
    <w:rsid w:val="009F6776"/>
    <w:rsid w:val="00A008B3"/>
    <w:rsid w:val="00A07586"/>
    <w:rsid w:val="00A17AC6"/>
    <w:rsid w:val="00A20260"/>
    <w:rsid w:val="00A2545B"/>
    <w:rsid w:val="00A32D11"/>
    <w:rsid w:val="00A338A1"/>
    <w:rsid w:val="00A472A6"/>
    <w:rsid w:val="00A52917"/>
    <w:rsid w:val="00A546DF"/>
    <w:rsid w:val="00A65DD4"/>
    <w:rsid w:val="00A76F6E"/>
    <w:rsid w:val="00A84E1A"/>
    <w:rsid w:val="00A970BE"/>
    <w:rsid w:val="00AA2C47"/>
    <w:rsid w:val="00AB2704"/>
    <w:rsid w:val="00AD502C"/>
    <w:rsid w:val="00B1776B"/>
    <w:rsid w:val="00B17C67"/>
    <w:rsid w:val="00B23235"/>
    <w:rsid w:val="00B32B17"/>
    <w:rsid w:val="00B34706"/>
    <w:rsid w:val="00B4666D"/>
    <w:rsid w:val="00B53409"/>
    <w:rsid w:val="00B604C2"/>
    <w:rsid w:val="00B82618"/>
    <w:rsid w:val="00B86E85"/>
    <w:rsid w:val="00B8751F"/>
    <w:rsid w:val="00B94296"/>
    <w:rsid w:val="00BA1FB7"/>
    <w:rsid w:val="00BB0D8A"/>
    <w:rsid w:val="00BC0188"/>
    <w:rsid w:val="00BC2D89"/>
    <w:rsid w:val="00BD020B"/>
    <w:rsid w:val="00BD7619"/>
    <w:rsid w:val="00BE3137"/>
    <w:rsid w:val="00BF12CF"/>
    <w:rsid w:val="00BF6659"/>
    <w:rsid w:val="00C15713"/>
    <w:rsid w:val="00C20B7E"/>
    <w:rsid w:val="00C215CF"/>
    <w:rsid w:val="00C24E88"/>
    <w:rsid w:val="00C2589A"/>
    <w:rsid w:val="00C30B74"/>
    <w:rsid w:val="00C405D5"/>
    <w:rsid w:val="00C42CE6"/>
    <w:rsid w:val="00C508E3"/>
    <w:rsid w:val="00C56BCD"/>
    <w:rsid w:val="00C6147C"/>
    <w:rsid w:val="00C61FC5"/>
    <w:rsid w:val="00C62622"/>
    <w:rsid w:val="00C64987"/>
    <w:rsid w:val="00C75152"/>
    <w:rsid w:val="00C76C4C"/>
    <w:rsid w:val="00C84375"/>
    <w:rsid w:val="00C862FF"/>
    <w:rsid w:val="00C90692"/>
    <w:rsid w:val="00C91136"/>
    <w:rsid w:val="00C91AA7"/>
    <w:rsid w:val="00C93E05"/>
    <w:rsid w:val="00CB57E1"/>
    <w:rsid w:val="00CB732A"/>
    <w:rsid w:val="00CC680F"/>
    <w:rsid w:val="00CF7CBC"/>
    <w:rsid w:val="00D23F80"/>
    <w:rsid w:val="00D244C3"/>
    <w:rsid w:val="00D25F28"/>
    <w:rsid w:val="00D3116E"/>
    <w:rsid w:val="00D3354E"/>
    <w:rsid w:val="00D33852"/>
    <w:rsid w:val="00D57025"/>
    <w:rsid w:val="00DA1505"/>
    <w:rsid w:val="00DA75A5"/>
    <w:rsid w:val="00DB514E"/>
    <w:rsid w:val="00DB521B"/>
    <w:rsid w:val="00DC0CE3"/>
    <w:rsid w:val="00DC2AC4"/>
    <w:rsid w:val="00DC5A84"/>
    <w:rsid w:val="00DD2D50"/>
    <w:rsid w:val="00DE1747"/>
    <w:rsid w:val="00DE3E66"/>
    <w:rsid w:val="00DE4455"/>
    <w:rsid w:val="00DE46E8"/>
    <w:rsid w:val="00DF6D84"/>
    <w:rsid w:val="00E23CD9"/>
    <w:rsid w:val="00E327A4"/>
    <w:rsid w:val="00E35C45"/>
    <w:rsid w:val="00E37FD8"/>
    <w:rsid w:val="00E50C48"/>
    <w:rsid w:val="00E61E7C"/>
    <w:rsid w:val="00E72E12"/>
    <w:rsid w:val="00E83C73"/>
    <w:rsid w:val="00EA4EB3"/>
    <w:rsid w:val="00EB3CB1"/>
    <w:rsid w:val="00EB408E"/>
    <w:rsid w:val="00EB63A6"/>
    <w:rsid w:val="00ED0A53"/>
    <w:rsid w:val="00ED1677"/>
    <w:rsid w:val="00ED48ED"/>
    <w:rsid w:val="00ED6B54"/>
    <w:rsid w:val="00ED7303"/>
    <w:rsid w:val="00F0403B"/>
    <w:rsid w:val="00F14CD0"/>
    <w:rsid w:val="00F32EEF"/>
    <w:rsid w:val="00F342D9"/>
    <w:rsid w:val="00F34588"/>
    <w:rsid w:val="00F45718"/>
    <w:rsid w:val="00F53BF1"/>
    <w:rsid w:val="00F5626E"/>
    <w:rsid w:val="00F60402"/>
    <w:rsid w:val="00F638A2"/>
    <w:rsid w:val="00F65713"/>
    <w:rsid w:val="00F763B6"/>
    <w:rsid w:val="00F76A07"/>
    <w:rsid w:val="00F92F7B"/>
    <w:rsid w:val="00F94132"/>
    <w:rsid w:val="00F94659"/>
    <w:rsid w:val="00FA1200"/>
    <w:rsid w:val="00FA7797"/>
    <w:rsid w:val="00FB3E2C"/>
    <w:rsid w:val="00FC5A31"/>
    <w:rsid w:val="00FD65A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31ACD"/>
  <w15:docId w15:val="{858F845A-4ECF-43FC-BF36-35D2DB7B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E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A34B9"/>
    <w:rPr>
      <w:color w:val="0563C1" w:themeColor="hyperlink"/>
      <w:u w:val="single"/>
    </w:rPr>
  </w:style>
  <w:style w:type="paragraph" w:styleId="Textonotapie">
    <w:name w:val="footnote text"/>
    <w:basedOn w:val="Normal"/>
    <w:link w:val="TextonotapieCar"/>
    <w:uiPriority w:val="99"/>
    <w:semiHidden/>
    <w:unhideWhenUsed/>
    <w:rsid w:val="00565B2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65B2A"/>
    <w:rPr>
      <w:sz w:val="20"/>
      <w:szCs w:val="20"/>
    </w:rPr>
  </w:style>
  <w:style w:type="character" w:styleId="Refdenotaalpie">
    <w:name w:val="footnote reference"/>
    <w:basedOn w:val="Fuentedeprrafopredeter"/>
    <w:uiPriority w:val="99"/>
    <w:semiHidden/>
    <w:unhideWhenUsed/>
    <w:rsid w:val="00565B2A"/>
    <w:rPr>
      <w:vertAlign w:val="superscript"/>
    </w:rPr>
  </w:style>
  <w:style w:type="paragraph" w:styleId="Textodeglobo">
    <w:name w:val="Balloon Text"/>
    <w:basedOn w:val="Normal"/>
    <w:link w:val="TextodegloboCar"/>
    <w:uiPriority w:val="99"/>
    <w:semiHidden/>
    <w:unhideWhenUsed/>
    <w:rsid w:val="00704E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4E6D"/>
    <w:rPr>
      <w:rFonts w:ascii="Segoe UI" w:hAnsi="Segoe UI" w:cs="Segoe UI"/>
      <w:sz w:val="18"/>
      <w:szCs w:val="18"/>
    </w:rPr>
  </w:style>
  <w:style w:type="character" w:styleId="Refdecomentario">
    <w:name w:val="annotation reference"/>
    <w:basedOn w:val="Fuentedeprrafopredeter"/>
    <w:uiPriority w:val="99"/>
    <w:semiHidden/>
    <w:unhideWhenUsed/>
    <w:rsid w:val="00BC2D89"/>
    <w:rPr>
      <w:sz w:val="16"/>
      <w:szCs w:val="16"/>
    </w:rPr>
  </w:style>
  <w:style w:type="paragraph" w:styleId="Textocomentario">
    <w:name w:val="annotation text"/>
    <w:basedOn w:val="Normal"/>
    <w:link w:val="TextocomentarioCar"/>
    <w:uiPriority w:val="99"/>
    <w:semiHidden/>
    <w:unhideWhenUsed/>
    <w:rsid w:val="00BC2D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C2D89"/>
    <w:rPr>
      <w:sz w:val="20"/>
      <w:szCs w:val="20"/>
    </w:rPr>
  </w:style>
  <w:style w:type="paragraph" w:styleId="Asuntodelcomentario">
    <w:name w:val="annotation subject"/>
    <w:basedOn w:val="Textocomentario"/>
    <w:next w:val="Textocomentario"/>
    <w:link w:val="AsuntodelcomentarioCar"/>
    <w:uiPriority w:val="99"/>
    <w:semiHidden/>
    <w:unhideWhenUsed/>
    <w:rsid w:val="00BC2D89"/>
    <w:rPr>
      <w:b/>
      <w:bCs/>
    </w:rPr>
  </w:style>
  <w:style w:type="character" w:customStyle="1" w:styleId="AsuntodelcomentarioCar">
    <w:name w:val="Asunto del comentario Car"/>
    <w:basedOn w:val="TextocomentarioCar"/>
    <w:link w:val="Asuntodelcomentario"/>
    <w:uiPriority w:val="99"/>
    <w:semiHidden/>
    <w:rsid w:val="00BC2D89"/>
    <w:rPr>
      <w:b/>
      <w:bCs/>
      <w:sz w:val="20"/>
      <w:szCs w:val="20"/>
    </w:rPr>
  </w:style>
  <w:style w:type="paragraph" w:styleId="Descripcin">
    <w:name w:val="caption"/>
    <w:basedOn w:val="Normal"/>
    <w:next w:val="Normal"/>
    <w:uiPriority w:val="35"/>
    <w:unhideWhenUsed/>
    <w:qFormat/>
    <w:rsid w:val="00911968"/>
    <w:pPr>
      <w:spacing w:after="200" w:line="240" w:lineRule="auto"/>
    </w:pPr>
    <w:rPr>
      <w:b/>
      <w:bCs/>
      <w:color w:val="4472C4" w:themeColor="accent1"/>
      <w:sz w:val="18"/>
      <w:szCs w:val="18"/>
    </w:rPr>
  </w:style>
  <w:style w:type="table" w:styleId="Tablaconcuadrcula">
    <w:name w:val="Table Grid"/>
    <w:basedOn w:val="Tablanormal"/>
    <w:uiPriority w:val="39"/>
    <w:rsid w:val="003D2ED3"/>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F41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F41C5"/>
  </w:style>
  <w:style w:type="paragraph" w:styleId="Piedepgina">
    <w:name w:val="footer"/>
    <w:basedOn w:val="Normal"/>
    <w:link w:val="PiedepginaCar"/>
    <w:uiPriority w:val="99"/>
    <w:unhideWhenUsed/>
    <w:rsid w:val="007F41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F41C5"/>
  </w:style>
  <w:style w:type="paragraph" w:styleId="Textonotaalfinal">
    <w:name w:val="endnote text"/>
    <w:basedOn w:val="Normal"/>
    <w:link w:val="TextonotaalfinalCar"/>
    <w:uiPriority w:val="99"/>
    <w:semiHidden/>
    <w:unhideWhenUsed/>
    <w:rsid w:val="0070269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0269E"/>
    <w:rPr>
      <w:sz w:val="20"/>
      <w:szCs w:val="20"/>
    </w:rPr>
  </w:style>
  <w:style w:type="character" w:styleId="Refdenotaalfinal">
    <w:name w:val="endnote reference"/>
    <w:basedOn w:val="Fuentedeprrafopredeter"/>
    <w:uiPriority w:val="99"/>
    <w:semiHidden/>
    <w:unhideWhenUsed/>
    <w:rsid w:val="0070269E"/>
    <w:rPr>
      <w:vertAlign w:val="superscript"/>
    </w:rPr>
  </w:style>
  <w:style w:type="character" w:customStyle="1" w:styleId="volumeissue">
    <w:name w:val="volume_issue"/>
    <w:basedOn w:val="Fuentedeprrafopredeter"/>
    <w:rsid w:val="001E68D7"/>
  </w:style>
  <w:style w:type="character" w:customStyle="1" w:styleId="pagerange">
    <w:name w:val="page_range"/>
    <w:basedOn w:val="Fuentedeprrafopredeter"/>
    <w:rsid w:val="001E68D7"/>
  </w:style>
  <w:style w:type="character" w:customStyle="1" w:styleId="doilink">
    <w:name w:val="doi_link"/>
    <w:basedOn w:val="Fuentedeprrafopredeter"/>
    <w:rsid w:val="001E68D7"/>
  </w:style>
  <w:style w:type="paragraph" w:styleId="HTMLconformatoprevio">
    <w:name w:val="HTML Preformatted"/>
    <w:basedOn w:val="Normal"/>
    <w:link w:val="HTMLconformatoprevioCar"/>
    <w:uiPriority w:val="99"/>
    <w:semiHidden/>
    <w:unhideWhenUsed/>
    <w:rsid w:val="00735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AR"/>
    </w:rPr>
  </w:style>
  <w:style w:type="character" w:customStyle="1" w:styleId="HTMLconformatoprevioCar">
    <w:name w:val="HTML con formato previo Car"/>
    <w:basedOn w:val="Fuentedeprrafopredeter"/>
    <w:link w:val="HTMLconformatoprevio"/>
    <w:uiPriority w:val="99"/>
    <w:semiHidden/>
    <w:rsid w:val="00735187"/>
    <w:rPr>
      <w:rFonts w:ascii="Courier New" w:eastAsia="Times New Roman" w:hAnsi="Courier New" w:cs="Courier New"/>
      <w:sz w:val="20"/>
      <w:szCs w:val="20"/>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47429">
      <w:bodyDiv w:val="1"/>
      <w:marLeft w:val="0"/>
      <w:marRight w:val="0"/>
      <w:marTop w:val="0"/>
      <w:marBottom w:val="0"/>
      <w:divBdr>
        <w:top w:val="none" w:sz="0" w:space="0" w:color="auto"/>
        <w:left w:val="none" w:sz="0" w:space="0" w:color="auto"/>
        <w:bottom w:val="none" w:sz="0" w:space="0" w:color="auto"/>
        <w:right w:val="none" w:sz="0" w:space="0" w:color="auto"/>
      </w:divBdr>
    </w:div>
    <w:div w:id="297690029">
      <w:bodyDiv w:val="1"/>
      <w:marLeft w:val="0"/>
      <w:marRight w:val="0"/>
      <w:marTop w:val="0"/>
      <w:marBottom w:val="0"/>
      <w:divBdr>
        <w:top w:val="none" w:sz="0" w:space="0" w:color="auto"/>
        <w:left w:val="none" w:sz="0" w:space="0" w:color="auto"/>
        <w:bottom w:val="none" w:sz="0" w:space="0" w:color="auto"/>
        <w:right w:val="none" w:sz="0" w:space="0" w:color="auto"/>
      </w:divBdr>
    </w:div>
    <w:div w:id="312757784">
      <w:bodyDiv w:val="1"/>
      <w:marLeft w:val="0"/>
      <w:marRight w:val="0"/>
      <w:marTop w:val="0"/>
      <w:marBottom w:val="0"/>
      <w:divBdr>
        <w:top w:val="none" w:sz="0" w:space="0" w:color="auto"/>
        <w:left w:val="none" w:sz="0" w:space="0" w:color="auto"/>
        <w:bottom w:val="none" w:sz="0" w:space="0" w:color="auto"/>
        <w:right w:val="none" w:sz="0" w:space="0" w:color="auto"/>
      </w:divBdr>
    </w:div>
    <w:div w:id="720252512">
      <w:bodyDiv w:val="1"/>
      <w:marLeft w:val="0"/>
      <w:marRight w:val="0"/>
      <w:marTop w:val="0"/>
      <w:marBottom w:val="0"/>
      <w:divBdr>
        <w:top w:val="none" w:sz="0" w:space="0" w:color="auto"/>
        <w:left w:val="none" w:sz="0" w:space="0" w:color="auto"/>
        <w:bottom w:val="none" w:sz="0" w:space="0" w:color="auto"/>
        <w:right w:val="none" w:sz="0" w:space="0" w:color="auto"/>
      </w:divBdr>
    </w:div>
    <w:div w:id="723213753">
      <w:bodyDiv w:val="1"/>
      <w:marLeft w:val="0"/>
      <w:marRight w:val="0"/>
      <w:marTop w:val="0"/>
      <w:marBottom w:val="0"/>
      <w:divBdr>
        <w:top w:val="none" w:sz="0" w:space="0" w:color="auto"/>
        <w:left w:val="none" w:sz="0" w:space="0" w:color="auto"/>
        <w:bottom w:val="none" w:sz="0" w:space="0" w:color="auto"/>
        <w:right w:val="none" w:sz="0" w:space="0" w:color="auto"/>
      </w:divBdr>
    </w:div>
    <w:div w:id="831408549">
      <w:bodyDiv w:val="1"/>
      <w:marLeft w:val="0"/>
      <w:marRight w:val="0"/>
      <w:marTop w:val="0"/>
      <w:marBottom w:val="0"/>
      <w:divBdr>
        <w:top w:val="none" w:sz="0" w:space="0" w:color="auto"/>
        <w:left w:val="none" w:sz="0" w:space="0" w:color="auto"/>
        <w:bottom w:val="none" w:sz="0" w:space="0" w:color="auto"/>
        <w:right w:val="none" w:sz="0" w:space="0" w:color="auto"/>
      </w:divBdr>
    </w:div>
    <w:div w:id="910428451">
      <w:bodyDiv w:val="1"/>
      <w:marLeft w:val="0"/>
      <w:marRight w:val="0"/>
      <w:marTop w:val="0"/>
      <w:marBottom w:val="0"/>
      <w:divBdr>
        <w:top w:val="none" w:sz="0" w:space="0" w:color="auto"/>
        <w:left w:val="none" w:sz="0" w:space="0" w:color="auto"/>
        <w:bottom w:val="none" w:sz="0" w:space="0" w:color="auto"/>
        <w:right w:val="none" w:sz="0" w:space="0" w:color="auto"/>
      </w:divBdr>
    </w:div>
    <w:div w:id="1072461589">
      <w:bodyDiv w:val="1"/>
      <w:marLeft w:val="0"/>
      <w:marRight w:val="0"/>
      <w:marTop w:val="0"/>
      <w:marBottom w:val="0"/>
      <w:divBdr>
        <w:top w:val="none" w:sz="0" w:space="0" w:color="auto"/>
        <w:left w:val="none" w:sz="0" w:space="0" w:color="auto"/>
        <w:bottom w:val="none" w:sz="0" w:space="0" w:color="auto"/>
        <w:right w:val="none" w:sz="0" w:space="0" w:color="auto"/>
      </w:divBdr>
    </w:div>
    <w:div w:id="1076902909">
      <w:bodyDiv w:val="1"/>
      <w:marLeft w:val="0"/>
      <w:marRight w:val="0"/>
      <w:marTop w:val="0"/>
      <w:marBottom w:val="0"/>
      <w:divBdr>
        <w:top w:val="none" w:sz="0" w:space="0" w:color="auto"/>
        <w:left w:val="none" w:sz="0" w:space="0" w:color="auto"/>
        <w:bottom w:val="none" w:sz="0" w:space="0" w:color="auto"/>
        <w:right w:val="none" w:sz="0" w:space="0" w:color="auto"/>
      </w:divBdr>
    </w:div>
    <w:div w:id="1215191875">
      <w:bodyDiv w:val="1"/>
      <w:marLeft w:val="0"/>
      <w:marRight w:val="0"/>
      <w:marTop w:val="0"/>
      <w:marBottom w:val="0"/>
      <w:divBdr>
        <w:top w:val="none" w:sz="0" w:space="0" w:color="auto"/>
        <w:left w:val="none" w:sz="0" w:space="0" w:color="auto"/>
        <w:bottom w:val="none" w:sz="0" w:space="0" w:color="auto"/>
        <w:right w:val="none" w:sz="0" w:space="0" w:color="auto"/>
      </w:divBdr>
    </w:div>
    <w:div w:id="1443646100">
      <w:bodyDiv w:val="1"/>
      <w:marLeft w:val="0"/>
      <w:marRight w:val="0"/>
      <w:marTop w:val="0"/>
      <w:marBottom w:val="0"/>
      <w:divBdr>
        <w:top w:val="none" w:sz="0" w:space="0" w:color="auto"/>
        <w:left w:val="none" w:sz="0" w:space="0" w:color="auto"/>
        <w:bottom w:val="none" w:sz="0" w:space="0" w:color="auto"/>
        <w:right w:val="none" w:sz="0" w:space="0" w:color="auto"/>
      </w:divBdr>
    </w:div>
    <w:div w:id="1536428282">
      <w:bodyDiv w:val="1"/>
      <w:marLeft w:val="0"/>
      <w:marRight w:val="0"/>
      <w:marTop w:val="0"/>
      <w:marBottom w:val="0"/>
      <w:divBdr>
        <w:top w:val="none" w:sz="0" w:space="0" w:color="auto"/>
        <w:left w:val="none" w:sz="0" w:space="0" w:color="auto"/>
        <w:bottom w:val="none" w:sz="0" w:space="0" w:color="auto"/>
        <w:right w:val="none" w:sz="0" w:space="0" w:color="auto"/>
      </w:divBdr>
    </w:div>
    <w:div w:id="1710034874">
      <w:bodyDiv w:val="1"/>
      <w:marLeft w:val="0"/>
      <w:marRight w:val="0"/>
      <w:marTop w:val="0"/>
      <w:marBottom w:val="0"/>
      <w:divBdr>
        <w:top w:val="none" w:sz="0" w:space="0" w:color="auto"/>
        <w:left w:val="none" w:sz="0" w:space="0" w:color="auto"/>
        <w:bottom w:val="none" w:sz="0" w:space="0" w:color="auto"/>
        <w:right w:val="none" w:sz="0" w:space="0" w:color="auto"/>
      </w:divBdr>
    </w:div>
    <w:div w:id="1791244272">
      <w:bodyDiv w:val="1"/>
      <w:marLeft w:val="0"/>
      <w:marRight w:val="0"/>
      <w:marTop w:val="0"/>
      <w:marBottom w:val="0"/>
      <w:divBdr>
        <w:top w:val="none" w:sz="0" w:space="0" w:color="auto"/>
        <w:left w:val="none" w:sz="0" w:space="0" w:color="auto"/>
        <w:bottom w:val="none" w:sz="0" w:space="0" w:color="auto"/>
        <w:right w:val="none" w:sz="0" w:space="0" w:color="auto"/>
      </w:divBdr>
    </w:div>
    <w:div w:id="1849514011">
      <w:bodyDiv w:val="1"/>
      <w:marLeft w:val="0"/>
      <w:marRight w:val="0"/>
      <w:marTop w:val="0"/>
      <w:marBottom w:val="0"/>
      <w:divBdr>
        <w:top w:val="none" w:sz="0" w:space="0" w:color="auto"/>
        <w:left w:val="none" w:sz="0" w:space="0" w:color="auto"/>
        <w:bottom w:val="none" w:sz="0" w:space="0" w:color="auto"/>
        <w:right w:val="none" w:sz="0" w:space="0" w:color="auto"/>
      </w:divBdr>
    </w:div>
    <w:div w:id="199348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s://ssrn.com/abstract=1159042" TargetMode="External"/><Relationship Id="rId21" Type="http://schemas.openxmlformats.org/officeDocument/2006/relationships/image" Target="media/image14.png"/><Relationship Id="rId34" Type="http://schemas.openxmlformats.org/officeDocument/2006/relationships/hyperlink" Target="http://publicaciones.inee.edu.mx/buscadorPub/P1/D/316/P1D316.pd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www.jstor.org/stable/20789130" TargetMode="External"/><Relationship Id="rId37" Type="http://schemas.openxmlformats.org/officeDocument/2006/relationships/hyperlink" Target="https://www.oecd.org/pisa/PISA-2015-Colombia.pdf"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dx.doi.org/10.1787/9789264266490-en"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publications.iadb.org/bitstream/handle/11319/7992/America-Latina-en-PISA-2015-Cuanto-mejoro-la-region.pdf?sequence=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yperlink" Target="https://www.elpais.com.co/colombia/santos-destaca-mejora-en-pruebas-pisa-y-dice-que-debemos-sentirnos-orgullosos-de-resultados.html" TargetMode="External"/><Relationship Id="rId35" Type="http://schemas.openxmlformats.org/officeDocument/2006/relationships/hyperlink" Target="http://dx.doi.org/10.1787/5kg3rp9qbnr6-en"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www.scielo.org.mx/scielo.php?script=sci_arttext&amp;pid=S1405-10792010000200008" TargetMode="External"/><Relationship Id="rId38" Type="http://schemas.openxmlformats.org/officeDocument/2006/relationships/hyperlink" Target="https://www.segib.org/wp-content/uploads/Competencias-en-Iberoamerica-Analisis-de-PISA-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429CB-178D-42D5-A8CB-105B0AB5E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8134</Words>
  <Characters>44742</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Rivas, Axel</dc:creator>
  <cp:keywords/>
  <dc:description/>
  <cp:lastModifiedBy>Rivas, Axel</cp:lastModifiedBy>
  <cp:revision>6</cp:revision>
  <cp:lastPrinted>2018-10-31T12:55:00Z</cp:lastPrinted>
  <dcterms:created xsi:type="dcterms:W3CDTF">2019-10-10T13:22:00Z</dcterms:created>
  <dcterms:modified xsi:type="dcterms:W3CDTF">2019-10-10T13:48:00Z</dcterms:modified>
</cp:coreProperties>
</file>