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F71" w:rsidRPr="000D1207" w:rsidRDefault="006D5943" w:rsidP="00C60358">
      <w:pPr>
        <w:rPr>
          <w:b/>
        </w:rPr>
      </w:pPr>
      <w:r>
        <w:rPr>
          <w:b/>
        </w:rPr>
        <w:t>¿Se acude menos a consulta en un entorno de crisis económica?</w:t>
      </w:r>
    </w:p>
    <w:p w:rsidR="00E52785" w:rsidRPr="00AA5EC9" w:rsidRDefault="00564E99" w:rsidP="00564E99">
      <w:pPr>
        <w:jc w:val="both"/>
        <w:rPr>
          <w:rFonts w:ascii="FuturaBT-Book" w:hAnsi="FuturaBT-Book" w:cs="FuturaBT-Book"/>
          <w:color w:val="231F20"/>
          <w:sz w:val="20"/>
          <w:szCs w:val="20"/>
          <w:lang w:eastAsia="es-ES"/>
        </w:rPr>
      </w:pPr>
      <w:r w:rsidRPr="00564E99">
        <w:t>España</w:t>
      </w:r>
      <w:r w:rsidRPr="00564E99">
        <w:rPr>
          <w:vertAlign w:val="superscript"/>
        </w:rPr>
        <w:endnoteReference w:id="2"/>
      </w:r>
      <w:r w:rsidRPr="00564E99">
        <w:t xml:space="preserve"> ocupa el sexto puesto por detrás de Japón, República Checa, Hungría, Corea y Eslovaquia, con una media de 9,5 consultas </w:t>
      </w:r>
      <w:r w:rsidR="0011282C">
        <w:t xml:space="preserve">al </w:t>
      </w:r>
      <w:r w:rsidRPr="00564E99">
        <w:t>médico por persona (media OCDE 6,8).</w:t>
      </w:r>
      <w:r>
        <w:t xml:space="preserve"> Sin embargo, e</w:t>
      </w:r>
      <w:r w:rsidR="0059315E">
        <w:t xml:space="preserve">n los últimos meses </w:t>
      </w:r>
      <w:r w:rsidR="00495358">
        <w:t>podría estar produciéndose</w:t>
      </w:r>
      <w:r w:rsidR="0011282C">
        <w:t>, en opinión de algunos gestores y clínicos,</w:t>
      </w:r>
      <w:r w:rsidR="00495358">
        <w:t xml:space="preserve"> un descenso en </w:t>
      </w:r>
      <w:r w:rsidR="002912B6" w:rsidRPr="002912B6">
        <w:t xml:space="preserve">la </w:t>
      </w:r>
      <w:r w:rsidR="00E52785">
        <w:t>presión</w:t>
      </w:r>
      <w:r w:rsidR="0059315E">
        <w:t xml:space="preserve"> en </w:t>
      </w:r>
      <w:r w:rsidR="00E52785">
        <w:t>urgencias,</w:t>
      </w:r>
      <w:r w:rsidR="0059315E">
        <w:t xml:space="preserve"> consultas y </w:t>
      </w:r>
      <w:r w:rsidR="00271F71">
        <w:t xml:space="preserve">en las listas de espera quirúrgica </w:t>
      </w:r>
      <w:r w:rsidR="00E52785">
        <w:t>de</w:t>
      </w:r>
      <w:r w:rsidR="00271F71">
        <w:t xml:space="preserve"> procesos demorables</w:t>
      </w:r>
      <w:r w:rsidR="002912B6">
        <w:t xml:space="preserve">, </w:t>
      </w:r>
      <w:r w:rsidR="00495358">
        <w:t xml:space="preserve">relacionada </w:t>
      </w:r>
      <w:r w:rsidR="00E52785">
        <w:t>con</w:t>
      </w:r>
      <w:r w:rsidR="00271F71">
        <w:t xml:space="preserve"> la </w:t>
      </w:r>
      <w:r w:rsidR="00064D33">
        <w:t xml:space="preserve">actual </w:t>
      </w:r>
      <w:r w:rsidR="00271F71">
        <w:t xml:space="preserve">crisis económica y </w:t>
      </w:r>
      <w:r w:rsidR="0011282C">
        <w:t>e</w:t>
      </w:r>
      <w:r w:rsidR="00271F71">
        <w:t>l miedo a la pérdida de empleo</w:t>
      </w:r>
      <w:r w:rsidR="0059315E">
        <w:t xml:space="preserve"> que la acompaña</w:t>
      </w:r>
      <w:r w:rsidR="00271F71">
        <w:t xml:space="preserve">. </w:t>
      </w:r>
    </w:p>
    <w:p w:rsidR="00BE3930" w:rsidRDefault="00E52785" w:rsidP="00064D33">
      <w:pPr>
        <w:jc w:val="both"/>
      </w:pPr>
      <w:r>
        <w:t xml:space="preserve">La frecuentación a consultas o urgencias podría ser un indicador indirecto para aproximarse a este fenómeno. </w:t>
      </w:r>
      <w:r w:rsidR="00BE3930">
        <w:t>En la frecuentación cabe esperar que influyan: situación laboral, edad, estado civil o sexo entre otros factores</w:t>
      </w:r>
      <w:bookmarkStart w:id="0" w:name="_Ref300556809"/>
      <w:r w:rsidR="00416C51">
        <w:rPr>
          <w:rStyle w:val="Refdenotaalfinal"/>
        </w:rPr>
        <w:endnoteReference w:id="3"/>
      </w:r>
      <w:bookmarkEnd w:id="0"/>
      <w:r w:rsidR="00BE3930">
        <w:t>.</w:t>
      </w:r>
      <w:r w:rsidR="006F5C84">
        <w:t xml:space="preserve"> </w:t>
      </w:r>
      <w:r w:rsidR="00416C51">
        <w:t>Habitualmente, por ejemplo,</w:t>
      </w:r>
      <w:r w:rsidR="006F5C84">
        <w:t xml:space="preserve"> </w:t>
      </w:r>
      <w:r w:rsidR="00416C51">
        <w:t>la frecuentación es mayor entre empleados por cuenta ajena que entre autónomos.</w:t>
      </w:r>
      <w:r w:rsidR="006F5C84">
        <w:t xml:space="preserve"> </w:t>
      </w:r>
      <w:r w:rsidR="00416C51">
        <w:t>También se ha señalado que la autopercepción de salud sería un antecedente de la búsqueda de atención médica</w:t>
      </w:r>
      <w:bookmarkStart w:id="1" w:name="_Ref300556811"/>
      <w:r w:rsidR="00416C51">
        <w:rPr>
          <w:rStyle w:val="Refdenotaalfinal"/>
        </w:rPr>
        <w:endnoteReference w:id="4"/>
      </w:r>
      <w:bookmarkEnd w:id="1"/>
      <w:r w:rsidR="00416C51">
        <w:t>.</w:t>
      </w:r>
    </w:p>
    <w:p w:rsidR="00064D33" w:rsidRDefault="00064D33" w:rsidP="0035070C">
      <w:pPr>
        <w:jc w:val="both"/>
      </w:pPr>
      <w:r>
        <w:t>E</w:t>
      </w:r>
      <w:r w:rsidR="00271F71">
        <w:t xml:space="preserve">n este estudio observacional, descriptivo, </w:t>
      </w:r>
      <w:r w:rsidR="00271F71" w:rsidRPr="00064D33">
        <w:t xml:space="preserve">transversal, </w:t>
      </w:r>
      <w:r>
        <w:t xml:space="preserve">basado en entrevistas, </w:t>
      </w:r>
      <w:r w:rsidR="00271F71" w:rsidRPr="00064D33">
        <w:t>se analiz</w:t>
      </w:r>
      <w:r>
        <w:t>ó</w:t>
      </w:r>
      <w:r w:rsidR="006F5C84">
        <w:t xml:space="preserve"> </w:t>
      </w:r>
      <w:r w:rsidR="00813F02">
        <w:t xml:space="preserve">esta cuestión, considerando como variable moduladora </w:t>
      </w:r>
      <w:r w:rsidR="00271F71" w:rsidRPr="00064D33">
        <w:t xml:space="preserve">la </w:t>
      </w:r>
      <w:r w:rsidR="00813F02">
        <w:t xml:space="preserve">autopercepción de salud. La </w:t>
      </w:r>
      <w:r w:rsidRPr="00064D33">
        <w:t>frecuentación</w:t>
      </w:r>
      <w:r w:rsidR="006F5C84">
        <w:t xml:space="preserve"> </w:t>
      </w:r>
      <w:r w:rsidR="00813F02">
        <w:t xml:space="preserve">se consideró </w:t>
      </w:r>
      <w:r w:rsidR="00416C51">
        <w:t>baja</w:t>
      </w:r>
      <w:r w:rsidR="009110B1">
        <w:t>:</w:t>
      </w:r>
      <w:r w:rsidR="006F5C84">
        <w:t xml:space="preserve"> </w:t>
      </w:r>
      <w:r w:rsidR="009110B1">
        <w:t xml:space="preserve">1 visita/año, media: </w:t>
      </w:r>
      <w:r w:rsidR="00416C51">
        <w:t xml:space="preserve">hasta 2 visitas/año, </w:t>
      </w:r>
      <w:r w:rsidR="00813F02">
        <w:t xml:space="preserve">o </w:t>
      </w:r>
      <w:r w:rsidR="00416C51">
        <w:t>alta</w:t>
      </w:r>
      <w:r w:rsidR="009110B1">
        <w:t>:</w:t>
      </w:r>
      <w:r w:rsidR="00416C51">
        <w:t xml:space="preserve"> 5 o más visitas/año </w:t>
      </w:r>
      <w:r>
        <w:t>en los últimos 12 meses</w:t>
      </w:r>
      <w:r w:rsidR="00271F71" w:rsidRPr="00064D33">
        <w:t>.</w:t>
      </w:r>
      <w:r>
        <w:t xml:space="preserve"> En total se </w:t>
      </w:r>
      <w:r w:rsidRPr="00445378">
        <w:t xml:space="preserve">realizaron </w:t>
      </w:r>
      <w:r w:rsidR="00271F71" w:rsidRPr="00445378">
        <w:t>19</w:t>
      </w:r>
      <w:r w:rsidR="00445378" w:rsidRPr="00445378">
        <w:t>2</w:t>
      </w:r>
      <w:r w:rsidR="00271F71" w:rsidRPr="00445378">
        <w:t xml:space="preserve"> entrevistas</w:t>
      </w:r>
      <w:r w:rsidR="006F5C84">
        <w:t xml:space="preserve"> </w:t>
      </w:r>
      <w:r w:rsidR="008F3FE9" w:rsidRPr="00064D33">
        <w:t xml:space="preserve">personales </w:t>
      </w:r>
      <w:r w:rsidR="00271F71" w:rsidRPr="00064D33">
        <w:t>estructuradas</w:t>
      </w:r>
      <w:r>
        <w:t xml:space="preserve"> válidas</w:t>
      </w:r>
      <w:r w:rsidR="006F5C84">
        <w:t xml:space="preserve"> </w:t>
      </w:r>
      <w:r w:rsidR="008F3FE9" w:rsidRPr="00064D33">
        <w:t xml:space="preserve">(tasa de respuesta del 95%). El </w:t>
      </w:r>
      <w:r w:rsidR="00271F71" w:rsidRPr="00064D33">
        <w:t>tamaño muestral</w:t>
      </w:r>
      <w:r w:rsidR="006F5C84">
        <w:t xml:space="preserve"> </w:t>
      </w:r>
      <w:r w:rsidR="008F3FE9" w:rsidRPr="00064D33">
        <w:t xml:space="preserve">fue </w:t>
      </w:r>
      <w:r w:rsidR="00271F71" w:rsidRPr="00064D33">
        <w:t xml:space="preserve">calculado para una p=0,5, error del </w:t>
      </w:r>
      <w:r w:rsidR="004016DE" w:rsidRPr="00064D33">
        <w:t>3</w:t>
      </w:r>
      <w:r w:rsidR="00271F71" w:rsidRPr="00064D33">
        <w:t>% y un nivel de confianza del 95%</w:t>
      </w:r>
      <w:r w:rsidRPr="00064D33">
        <w:t>: Se incrementó el tamaño muestral</w:t>
      </w:r>
      <w:r w:rsidR="006F5C84">
        <w:t xml:space="preserve"> </w:t>
      </w:r>
      <w:r w:rsidR="008F3FE9" w:rsidRPr="00064D33">
        <w:t>para una esperanza de respuesta del 85%</w:t>
      </w:r>
      <w:r w:rsidRPr="00064D33">
        <w:t>.</w:t>
      </w:r>
      <w:r>
        <w:t xml:space="preserve"> Se recurrió </w:t>
      </w:r>
      <w:r w:rsidR="00271F71" w:rsidRPr="00CE1D00">
        <w:t xml:space="preserve">a una muestra </w:t>
      </w:r>
      <w:r w:rsidR="000D1207">
        <w:t xml:space="preserve">de </w:t>
      </w:r>
      <w:r w:rsidR="000D1207" w:rsidRPr="002A1832">
        <w:t>oportunidad</w:t>
      </w:r>
      <w:r w:rsidR="00271F71" w:rsidRPr="002A1832">
        <w:t xml:space="preserve"> de </w:t>
      </w:r>
      <w:r w:rsidRPr="002A1832">
        <w:t>residentes en</w:t>
      </w:r>
      <w:r w:rsidR="000D1207" w:rsidRPr="002A1832">
        <w:t xml:space="preserve"> 3 Comunidades Autónomas </w:t>
      </w:r>
      <w:r w:rsidR="00271F71" w:rsidRPr="002A1832">
        <w:t xml:space="preserve">que acudieron a </w:t>
      </w:r>
      <w:r w:rsidR="000D1207" w:rsidRPr="002A1832">
        <w:t>Consultas Externas</w:t>
      </w:r>
      <w:r w:rsidR="002A1832" w:rsidRPr="002A1832">
        <w:t xml:space="preserve"> o </w:t>
      </w:r>
      <w:r w:rsidR="0021314F" w:rsidRPr="002A1832">
        <w:t>Urgencias hospitalarias</w:t>
      </w:r>
      <w:r w:rsidR="00271F71" w:rsidRPr="002A1832">
        <w:t>.</w:t>
      </w:r>
    </w:p>
    <w:p w:rsidR="00271F71" w:rsidRDefault="00064D33" w:rsidP="0035070C">
      <w:pPr>
        <w:jc w:val="both"/>
      </w:pPr>
      <w:r>
        <w:t>La muestra estuvo constituida por</w:t>
      </w:r>
      <w:r w:rsidR="00271F71">
        <w:t xml:space="preserve"> 7</w:t>
      </w:r>
      <w:r w:rsidR="00445378">
        <w:t>6</w:t>
      </w:r>
      <w:r w:rsidR="00271F71">
        <w:t xml:space="preserve"> varones (39,</w:t>
      </w:r>
      <w:r w:rsidR="00445378">
        <w:t>6</w:t>
      </w:r>
      <w:r w:rsidR="00271F71">
        <w:t>%) y 116 mujeres (60,</w:t>
      </w:r>
      <w:r w:rsidR="00445378">
        <w:t>4</w:t>
      </w:r>
      <w:r w:rsidR="00271F71">
        <w:t xml:space="preserve">%); 107 mayores de 50 años (56%). En esta muestra la mayoría, 124, habían cursado estudios primarios (64,9%); 82 (42,5%) </w:t>
      </w:r>
      <w:r w:rsidR="00592B90">
        <w:t>estaban desempleados o jubilados</w:t>
      </w:r>
      <w:r w:rsidR="00271F71">
        <w:t>. La mayoría, 153, residían en zona urbana (79,3%).</w:t>
      </w:r>
    </w:p>
    <w:p w:rsidR="00CC0855" w:rsidRDefault="00271F71" w:rsidP="0073243C">
      <w:pPr>
        <w:jc w:val="both"/>
      </w:pPr>
      <w:r w:rsidRPr="0021314F">
        <w:t xml:space="preserve">En 99 casos (51,3%) se valoró la propia salud como buena y en 66 (34,2%) como regular. En </w:t>
      </w:r>
      <w:r w:rsidR="00CC0855">
        <w:t xml:space="preserve">37 casos (19,3%) </w:t>
      </w:r>
      <w:r w:rsidR="00CC0855" w:rsidRPr="0021314F">
        <w:t>los entrevistados informaron que en el último año habían acudido a consultas médicas</w:t>
      </w:r>
      <w:r w:rsidR="00CC0855">
        <w:t xml:space="preserve"> una sola vez, </w:t>
      </w:r>
      <w:r w:rsidRPr="0021314F">
        <w:t>111 casos (57,5%) entre 2 y 4 veces, mientras que 44 (22,8%) dijeron haber acudido 5 o más veces.</w:t>
      </w:r>
      <w:r w:rsidR="006F5C84">
        <w:t xml:space="preserve"> </w:t>
      </w:r>
      <w:r w:rsidR="00805AC1">
        <w:t>Hombres y mujeres acudieron a consultas un número similar de veces (</w:t>
      </w:r>
      <w:r w:rsidR="00805AC1" w:rsidRPr="00991AD8">
        <w:rPr>
          <w:rFonts w:ascii="Symbol" w:hAnsi="Symbol" w:cs="Symbol"/>
        </w:rPr>
        <w:t></w:t>
      </w:r>
      <w:r w:rsidR="00805AC1" w:rsidRPr="00991AD8">
        <w:rPr>
          <w:vertAlign w:val="superscript"/>
        </w:rPr>
        <w:t>2</w:t>
      </w:r>
      <w:r w:rsidR="00805AC1">
        <w:t>=5,1, p=0,08), si bien se observó una mayor frecuentación entre las mujeres de mayor edad (</w:t>
      </w:r>
      <w:r w:rsidR="00805AC1" w:rsidRPr="00991AD8">
        <w:rPr>
          <w:rFonts w:ascii="Symbol" w:hAnsi="Symbol" w:cs="Symbol"/>
        </w:rPr>
        <w:t></w:t>
      </w:r>
      <w:r w:rsidR="00805AC1" w:rsidRPr="00991AD8">
        <w:rPr>
          <w:vertAlign w:val="superscript"/>
        </w:rPr>
        <w:t>2</w:t>
      </w:r>
      <w:r w:rsidR="00805AC1">
        <w:t xml:space="preserve">= 6,4, p=0,04). </w:t>
      </w:r>
      <w:r>
        <w:t>La autopercepción de salud se identificó como un antecedente de lafrecuentación en el último año (</w:t>
      </w:r>
      <w:r w:rsidRPr="009B5AAB">
        <w:rPr>
          <w:rFonts w:ascii="Symbol" w:hAnsi="Symbol" w:cs="Symbol"/>
        </w:rPr>
        <w:t></w:t>
      </w:r>
      <w:r>
        <w:t xml:space="preserve">= 3,0, IC95% 2,6-3,4). </w:t>
      </w:r>
      <w:r w:rsidR="00906822">
        <w:t xml:space="preserve">Una pobre percepción de salud coincidía con una mayor frecuentación y en esta submuestra se observaba hasta un 56% de </w:t>
      </w:r>
      <w:r w:rsidR="00906822">
        <w:lastRenderedPageBreak/>
        <w:t xml:space="preserve">pacientes que acudían a consulta 5 o más veces al año. </w:t>
      </w:r>
      <w:r w:rsidR="00CC0855">
        <w:t xml:space="preserve">La mayor </w:t>
      </w:r>
      <w:r w:rsidR="00F83EE1">
        <w:t xml:space="preserve">frecuentación </w:t>
      </w:r>
      <w:r w:rsidR="007026A4">
        <w:t>cuando</w:t>
      </w:r>
      <w:r w:rsidR="00F83EE1">
        <w:t xml:space="preserve"> la autopercepción de salud era buena se produjo entre desempleados y </w:t>
      </w:r>
      <w:r w:rsidR="00CC0855">
        <w:t>jubilados</w:t>
      </w:r>
      <w:r w:rsidR="00F83EE1">
        <w:t xml:space="preserve"> (</w:t>
      </w:r>
      <w:r w:rsidR="00F83EE1" w:rsidRPr="00991AD8">
        <w:rPr>
          <w:rFonts w:ascii="Symbol" w:hAnsi="Symbol" w:cs="Symbol"/>
        </w:rPr>
        <w:t></w:t>
      </w:r>
      <w:r w:rsidR="00F83EE1" w:rsidRPr="00991AD8">
        <w:rPr>
          <w:vertAlign w:val="superscript"/>
        </w:rPr>
        <w:t>2</w:t>
      </w:r>
      <w:r w:rsidR="00F83EE1">
        <w:t>= 27,4, p &lt;0,001).</w:t>
      </w:r>
      <w:r w:rsidR="00906822">
        <w:t xml:space="preserve"> Ahora bien, cuando la autopercepción de salud era positiva la alta frecuentación </w:t>
      </w:r>
      <w:r w:rsidR="00813F02">
        <w:t xml:space="preserve">seguía en </w:t>
      </w:r>
      <w:r w:rsidR="00906822">
        <w:t xml:space="preserve">un 15,3% de los </w:t>
      </w:r>
      <w:r w:rsidR="00813F02">
        <w:t>casos</w:t>
      </w:r>
      <w:r w:rsidR="00906822">
        <w:t>. Todos estos datos conf</w:t>
      </w:r>
      <w:r w:rsidR="00813F02">
        <w:t>i</w:t>
      </w:r>
      <w:r w:rsidR="00906822">
        <w:t>rman las tendencias conocidas.</w:t>
      </w:r>
    </w:p>
    <w:p w:rsidR="00906822" w:rsidRDefault="00906822" w:rsidP="0073243C">
      <w:pPr>
        <w:jc w:val="both"/>
      </w:pPr>
      <w:r>
        <w:t>También como cabía esperar, l</w:t>
      </w:r>
      <w:r w:rsidR="0073243C">
        <w:t xml:space="preserve">a frecuentación fue mayor entre desempleados </w:t>
      </w:r>
      <w:r>
        <w:t xml:space="preserve">(sobre todo </w:t>
      </w:r>
      <w:r w:rsidR="0073243C">
        <w:t>de mayor edad</w:t>
      </w:r>
      <w:r>
        <w:t>)</w:t>
      </w:r>
      <w:r w:rsidR="0073243C">
        <w:t xml:space="preserve"> y </w:t>
      </w:r>
      <w:r>
        <w:t>jubilados</w:t>
      </w:r>
      <w:r w:rsidR="0073243C">
        <w:t xml:space="preserve"> (</w:t>
      </w:r>
      <w:r w:rsidR="0073243C" w:rsidRPr="00991AD8">
        <w:rPr>
          <w:rFonts w:ascii="Symbol" w:hAnsi="Symbol" w:cs="Symbol"/>
        </w:rPr>
        <w:t></w:t>
      </w:r>
      <w:r w:rsidR="0073243C" w:rsidRPr="00991AD8">
        <w:rPr>
          <w:vertAlign w:val="superscript"/>
        </w:rPr>
        <w:t>2</w:t>
      </w:r>
      <w:r w:rsidR="00DB24AA">
        <w:t>= 12,6, p=0,04)</w:t>
      </w:r>
      <w:r w:rsidR="007026A4">
        <w:t xml:space="preserve">. </w:t>
      </w:r>
      <w:r>
        <w:t>Pero curiosamente, en esta muestra, los autónomos dijeron acudir más veces a consulta</w:t>
      </w:r>
      <w:r w:rsidR="00A94281">
        <w:t xml:space="preserve"> en el último año </w:t>
      </w:r>
      <w:r>
        <w:t>que los empleados por cuenta ajena (33,3% vs 16,7%)</w:t>
      </w:r>
      <w:r w:rsidR="00A94281">
        <w:t>, y cuando co</w:t>
      </w:r>
      <w:r w:rsidR="006D5943">
        <w:t>nsideramos solo a quienes manif</w:t>
      </w:r>
      <w:r w:rsidR="00A94281">
        <w:t>esta</w:t>
      </w:r>
      <w:r w:rsidR="006D5943">
        <w:t>ro</w:t>
      </w:r>
      <w:r w:rsidR="00A94281">
        <w:t xml:space="preserve">n tener una </w:t>
      </w:r>
      <w:r w:rsidR="006D5943">
        <w:t>buena</w:t>
      </w:r>
      <w:r w:rsidR="00325E21">
        <w:t xml:space="preserve"> </w:t>
      </w:r>
      <w:r w:rsidR="00A94281">
        <w:t>salud, el número de autónomos duplic</w:t>
      </w:r>
      <w:r w:rsidR="006D5943">
        <w:t>ó</w:t>
      </w:r>
      <w:r w:rsidR="00A94281">
        <w:t xml:space="preserve"> al de empleados por cuenta ajena </w:t>
      </w:r>
      <w:r w:rsidR="00813F02">
        <w:t>entre quienes</w:t>
      </w:r>
      <w:r w:rsidR="00325E21">
        <w:t xml:space="preserve"> </w:t>
      </w:r>
      <w:r w:rsidR="006D5943">
        <w:t>dijeron</w:t>
      </w:r>
      <w:r w:rsidR="00A94281">
        <w:t xml:space="preserve"> acudir a consulta 5 o más veces al año (29% vs 14%)</w:t>
      </w:r>
      <w:r>
        <w:t>.</w:t>
      </w:r>
    </w:p>
    <w:p w:rsidR="00AA5EC9" w:rsidRPr="002A1832" w:rsidRDefault="00271F71" w:rsidP="00AA5EC9">
      <w:pPr>
        <w:jc w:val="both"/>
      </w:pPr>
      <w:r>
        <w:t xml:space="preserve">Los </w:t>
      </w:r>
      <w:r w:rsidR="004B538C" w:rsidRPr="002A1832">
        <w:t>resultados</w:t>
      </w:r>
      <w:r w:rsidR="006F5C84">
        <w:t xml:space="preserve"> </w:t>
      </w:r>
      <w:r w:rsidRPr="002A1832">
        <w:t>confirman la</w:t>
      </w:r>
      <w:r w:rsidR="00813F02">
        <w:t>s</w:t>
      </w:r>
      <w:r w:rsidRPr="002A1832">
        <w:t xml:space="preserve"> te</w:t>
      </w:r>
      <w:r w:rsidR="00244A23" w:rsidRPr="002A1832">
        <w:t>ndencia</w:t>
      </w:r>
      <w:r w:rsidR="00813F02">
        <w:t>s</w:t>
      </w:r>
      <w:r w:rsidR="00244A23" w:rsidRPr="002A1832">
        <w:t xml:space="preserve"> esperada</w:t>
      </w:r>
      <w:r w:rsidR="00813F02">
        <w:t>s</w:t>
      </w:r>
      <w:r w:rsidR="00A94281" w:rsidRPr="002A1832">
        <w:t>. La frecuentación –demanda- está condicionada por múltiples factores</w:t>
      </w:r>
      <w:r w:rsidR="00844118" w:rsidRPr="002A1832">
        <w:fldChar w:fldCharType="begin"/>
      </w:r>
      <w:r w:rsidR="00BC2A83" w:rsidRPr="002A1832">
        <w:instrText xml:space="preserve"> NOTEREF _Ref300556809 \f \h </w:instrText>
      </w:r>
      <w:r w:rsidR="00844118" w:rsidRPr="002A1832">
        <w:fldChar w:fldCharType="separate"/>
      </w:r>
      <w:r w:rsidR="00BC2A83" w:rsidRPr="002A1832">
        <w:rPr>
          <w:rStyle w:val="Refdenotaalfinal"/>
        </w:rPr>
        <w:t>2</w:t>
      </w:r>
      <w:r w:rsidR="00844118" w:rsidRPr="002A1832">
        <w:fldChar w:fldCharType="end"/>
      </w:r>
      <w:r w:rsidR="006F5C84" w:rsidRPr="006F5C84">
        <w:rPr>
          <w:vertAlign w:val="superscript"/>
        </w:rPr>
        <w:t>,</w:t>
      </w:r>
      <w:r w:rsidR="00844118" w:rsidRPr="002A1832">
        <w:fldChar w:fldCharType="begin"/>
      </w:r>
      <w:r w:rsidR="00BC2A83" w:rsidRPr="002A1832">
        <w:instrText xml:space="preserve"> NOTEREF _Ref300556811 \f \h </w:instrText>
      </w:r>
      <w:r w:rsidR="00844118" w:rsidRPr="002A1832">
        <w:fldChar w:fldCharType="separate"/>
      </w:r>
      <w:r w:rsidR="00BC2A83" w:rsidRPr="002A1832">
        <w:rPr>
          <w:rStyle w:val="Refdenotaalfinal"/>
        </w:rPr>
        <w:t>3</w:t>
      </w:r>
      <w:r w:rsidR="00844118" w:rsidRPr="002A1832">
        <w:fldChar w:fldCharType="end"/>
      </w:r>
      <w:r w:rsidR="006F5C84" w:rsidRPr="006F5C84">
        <w:rPr>
          <w:vertAlign w:val="superscript"/>
        </w:rPr>
        <w:t>,</w:t>
      </w:r>
      <w:r w:rsidR="00BC2A83" w:rsidRPr="002A1832">
        <w:rPr>
          <w:rStyle w:val="Refdenotaalfinal"/>
        </w:rPr>
        <w:endnoteReference w:id="5"/>
      </w:r>
      <w:r w:rsidR="006F5C84" w:rsidRPr="006F5C84">
        <w:rPr>
          <w:vertAlign w:val="superscript"/>
        </w:rPr>
        <w:t>,</w:t>
      </w:r>
      <w:r w:rsidR="00BC2A83" w:rsidRPr="002A1832">
        <w:rPr>
          <w:rStyle w:val="Refdenotaalfinal"/>
        </w:rPr>
        <w:endnoteReference w:id="6"/>
      </w:r>
      <w:r w:rsidR="006F5C84" w:rsidRPr="006F5C84">
        <w:rPr>
          <w:vertAlign w:val="superscript"/>
        </w:rPr>
        <w:t>,</w:t>
      </w:r>
      <w:r w:rsidR="00BC2A83" w:rsidRPr="002A1832">
        <w:rPr>
          <w:rStyle w:val="Refdenotaalfinal"/>
        </w:rPr>
        <w:endnoteReference w:id="7"/>
      </w:r>
      <w:r w:rsidR="00A94281" w:rsidRPr="002A1832">
        <w:t>: gratuidad, el tipo de población que condiciona diferentes tipos de enfermedades, la organización de la asistencia primaria, la proximidad del hospital, la edad, la morbilidad o una pobre autopercepción de salud</w:t>
      </w:r>
      <w:r w:rsidRPr="002A1832">
        <w:t xml:space="preserve">, </w:t>
      </w:r>
      <w:r w:rsidR="00A94281" w:rsidRPr="002A1832">
        <w:t xml:space="preserve">aunque </w:t>
      </w:r>
      <w:r w:rsidRPr="002A1832">
        <w:t xml:space="preserve">esta relación no </w:t>
      </w:r>
      <w:r w:rsidR="00A94281" w:rsidRPr="002A1832">
        <w:t>sea</w:t>
      </w:r>
      <w:r w:rsidRPr="002A1832">
        <w:t xml:space="preserve"> lineal y aún en el caso de una autopercepción de salud positiva </w:t>
      </w:r>
      <w:r w:rsidR="00A94281" w:rsidRPr="002A1832">
        <w:t>exista</w:t>
      </w:r>
      <w:r w:rsidRPr="002A1832">
        <w:t xml:space="preserve"> un volumen </w:t>
      </w:r>
      <w:r w:rsidR="00A94281" w:rsidRPr="002A1832">
        <w:t>de pacientes</w:t>
      </w:r>
      <w:r w:rsidRPr="002A1832">
        <w:t xml:space="preserve"> que muestran una moderada o incluso alta frecuentación. </w:t>
      </w:r>
    </w:p>
    <w:p w:rsidR="00271F71" w:rsidRDefault="00AA5EC9" w:rsidP="00AA5EC9">
      <w:pPr>
        <w:jc w:val="both"/>
      </w:pPr>
      <w:r w:rsidRPr="002A1832">
        <w:t xml:space="preserve">Los resultados de este estudio </w:t>
      </w:r>
      <w:r w:rsidR="00813F02">
        <w:t>refuerzan la impresión de</w:t>
      </w:r>
      <w:r w:rsidRPr="002A1832">
        <w:t xml:space="preserve"> gestores y clínicos acerca de la disminución de la demanda de atención sanitaria entre empleados, aunque requiere de un estudio en mayor profundidad</w:t>
      </w:r>
      <w:r w:rsidR="006F5C84">
        <w:t xml:space="preserve"> </w:t>
      </w:r>
      <w:r w:rsidRPr="002A1832">
        <w:t xml:space="preserve">para </w:t>
      </w:r>
      <w:r w:rsidRPr="00DB24AA">
        <w:t xml:space="preserve">confirmar esta tendencia, discernir sus posibles causas, y también sus consecuencias en términos de costes de salud para los individuos y </w:t>
      </w:r>
      <w:r>
        <w:t xml:space="preserve">para </w:t>
      </w:r>
      <w:r w:rsidRPr="00DB24AA">
        <w:t>el propio sistema.</w:t>
      </w:r>
    </w:p>
    <w:p w:rsidR="00B144B4" w:rsidRDefault="00B144B4" w:rsidP="00AA5EC9">
      <w:pPr>
        <w:jc w:val="both"/>
      </w:pPr>
    </w:p>
    <w:p w:rsidR="00B144B4" w:rsidRPr="00B144B4" w:rsidRDefault="00B144B4" w:rsidP="00B144B4">
      <w:pPr>
        <w:spacing w:after="0"/>
        <w:jc w:val="right"/>
        <w:rPr>
          <w:vertAlign w:val="superscript"/>
        </w:rPr>
      </w:pPr>
      <w:r>
        <w:t>José Joaquín Mira</w:t>
      </w:r>
      <w:r>
        <w:rPr>
          <w:vertAlign w:val="superscript"/>
        </w:rPr>
        <w:t>1</w:t>
      </w:r>
    </w:p>
    <w:p w:rsidR="00B144B4" w:rsidRPr="00B144B4" w:rsidRDefault="00B144B4" w:rsidP="00B144B4">
      <w:pPr>
        <w:spacing w:after="0"/>
        <w:jc w:val="right"/>
        <w:rPr>
          <w:vertAlign w:val="superscript"/>
        </w:rPr>
      </w:pPr>
      <w:r>
        <w:t>Susana Lorenzo</w:t>
      </w:r>
      <w:r>
        <w:rPr>
          <w:vertAlign w:val="superscript"/>
        </w:rPr>
        <w:t>2</w:t>
      </w:r>
    </w:p>
    <w:p w:rsidR="00271F71" w:rsidRDefault="00271F71" w:rsidP="0035070C">
      <w:pPr>
        <w:jc w:val="both"/>
      </w:pPr>
    </w:p>
    <w:p w:rsidR="00757FB1" w:rsidRDefault="00B144B4" w:rsidP="00757FB1">
      <w:pPr>
        <w:spacing w:after="0"/>
        <w:ind w:left="5103"/>
        <w:rPr>
          <w:sz w:val="18"/>
          <w:szCs w:val="18"/>
        </w:rPr>
      </w:pPr>
      <w:r w:rsidRPr="00B144B4"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>Univ.</w:t>
      </w:r>
      <w:r w:rsidRPr="00B144B4">
        <w:rPr>
          <w:sz w:val="18"/>
          <w:szCs w:val="18"/>
        </w:rPr>
        <w:t xml:space="preserve"> Miguel Hernández. Depart</w:t>
      </w:r>
      <w:r>
        <w:rPr>
          <w:sz w:val="18"/>
          <w:szCs w:val="18"/>
        </w:rPr>
        <w:t xml:space="preserve">. </w:t>
      </w:r>
      <w:r w:rsidRPr="00B144B4">
        <w:rPr>
          <w:sz w:val="18"/>
          <w:szCs w:val="18"/>
        </w:rPr>
        <w:t>Salud 17, Consellería</w:t>
      </w:r>
      <w:r w:rsidR="006F5C84">
        <w:rPr>
          <w:sz w:val="18"/>
          <w:szCs w:val="18"/>
        </w:rPr>
        <w:t xml:space="preserve"> </w:t>
      </w:r>
      <w:r w:rsidRPr="00B144B4">
        <w:rPr>
          <w:sz w:val="18"/>
          <w:szCs w:val="18"/>
        </w:rPr>
        <w:t>Sanitat. CIBER Epidemiología y Salud Pública (CIBERESP).</w:t>
      </w:r>
      <w:r w:rsidR="00757FB1">
        <w:rPr>
          <w:sz w:val="18"/>
          <w:szCs w:val="18"/>
        </w:rPr>
        <w:t xml:space="preserve"> jose.mira@umh.es</w:t>
      </w:r>
    </w:p>
    <w:p w:rsidR="00B144B4" w:rsidRDefault="00B144B4" w:rsidP="00757FB1">
      <w:pPr>
        <w:spacing w:after="0"/>
        <w:ind w:left="5103"/>
        <w:jc w:val="right"/>
        <w:rPr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>Hospital Universitario Fundación Alcorcón</w:t>
      </w:r>
    </w:p>
    <w:p w:rsidR="00B144B4" w:rsidRPr="00B144B4" w:rsidRDefault="00757FB1" w:rsidP="00757FB1">
      <w:pPr>
        <w:ind w:left="5103"/>
        <w:jc w:val="right"/>
        <w:rPr>
          <w:sz w:val="18"/>
          <w:szCs w:val="18"/>
        </w:rPr>
      </w:pPr>
      <w:r>
        <w:rPr>
          <w:sz w:val="18"/>
          <w:szCs w:val="18"/>
        </w:rPr>
        <w:t>slorenzo@fhalcorcon.es</w:t>
      </w:r>
    </w:p>
    <w:sectPr w:rsidR="00B144B4" w:rsidRPr="00B144B4" w:rsidSect="00325E21">
      <w:endnotePr>
        <w:numFmt w:val="decimal"/>
      </w:endnotePr>
      <w:pgSz w:w="11906" w:h="16838"/>
      <w:pgMar w:top="1417" w:right="1701" w:bottom="4820" w:left="1701" w:header="708" w:footer="708" w:gutter="0"/>
      <w:lnNumType w:countBy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ACC" w:rsidRDefault="00E27ACC" w:rsidP="00AA5EC9">
      <w:pPr>
        <w:spacing w:after="0" w:line="240" w:lineRule="auto"/>
      </w:pPr>
      <w:r>
        <w:separator/>
      </w:r>
    </w:p>
  </w:endnote>
  <w:endnote w:type="continuationSeparator" w:id="1">
    <w:p w:rsidR="00E27ACC" w:rsidRDefault="00E27ACC" w:rsidP="00AA5EC9">
      <w:pPr>
        <w:spacing w:after="0" w:line="240" w:lineRule="auto"/>
      </w:pPr>
      <w:r>
        <w:continuationSeparator/>
      </w:r>
    </w:p>
  </w:endnote>
  <w:endnote w:id="2">
    <w:p w:rsidR="002B205C" w:rsidRPr="00487FD0" w:rsidRDefault="00564E99" w:rsidP="00416C51">
      <w:pPr>
        <w:pStyle w:val="Textonotaalfinal"/>
        <w:jc w:val="both"/>
        <w:rPr>
          <w:rFonts w:asciiTheme="minorHAnsi" w:hAnsiTheme="minorHAnsi"/>
        </w:rPr>
      </w:pPr>
      <w:r>
        <w:rPr>
          <w:rStyle w:val="Refdenotaalfinal"/>
        </w:rPr>
        <w:endnoteRef/>
      </w:r>
      <w:r w:rsidRPr="00487FD0">
        <w:rPr>
          <w:rFonts w:asciiTheme="minorHAnsi" w:hAnsiTheme="minorHAnsi"/>
        </w:rPr>
        <w:t xml:space="preserve">OECD Health Data 2007.[Consultado 3/8/2011]. Disponible en </w:t>
      </w:r>
      <w:hyperlink r:id="rId1" w:history="1">
        <w:r w:rsidRPr="00487FD0">
          <w:rPr>
            <w:rFonts w:asciiTheme="minorHAnsi" w:hAnsiTheme="minorHAnsi"/>
            <w:u w:val="single"/>
          </w:rPr>
          <w:t>http://www.oecd-ilibrary.org/social-issues-migration-health/data/oecd-health-statistics/oecd-health-data-health-status_data-00540-en;jsessionid=27ekvsc1d6qbj.epsilon?isPartOf=/content/datacollection/health-data-en</w:t>
        </w:r>
      </w:hyperlink>
    </w:p>
  </w:endnote>
  <w:endnote w:id="3">
    <w:p w:rsidR="00416C51" w:rsidRPr="00416C51" w:rsidRDefault="00416C51" w:rsidP="00416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Style w:val="Refdenotaalfinal"/>
        </w:rPr>
        <w:endnoteRef/>
      </w:r>
      <w:r w:rsidRPr="00416C51">
        <w:rPr>
          <w:rFonts w:asciiTheme="minorHAnsi" w:hAnsiTheme="minorHAnsi"/>
          <w:sz w:val="20"/>
          <w:szCs w:val="20"/>
          <w:lang w:val="es-ES_tradnl"/>
        </w:rPr>
        <w:t>Gómez Calcerrada D, Hernández del Pozo F, Gómez Berrocal M. La investigación en la utilización de servicios sanitarios. FMC Aten Primaria 1996;3:229-41.</w:t>
      </w:r>
    </w:p>
  </w:endnote>
  <w:endnote w:id="4">
    <w:p w:rsidR="00416C51" w:rsidRPr="00416C51" w:rsidRDefault="00416C51" w:rsidP="00416C51">
      <w:pPr>
        <w:spacing w:after="0" w:line="240" w:lineRule="auto"/>
        <w:jc w:val="both"/>
        <w:rPr>
          <w:rFonts w:asciiTheme="minorHAnsi" w:hAnsiTheme="minorHAnsi"/>
          <w:sz w:val="20"/>
          <w:szCs w:val="20"/>
          <w:lang w:val="es-ES_tradnl"/>
        </w:rPr>
      </w:pPr>
      <w:r>
        <w:rPr>
          <w:rStyle w:val="Refdenotaalfinal"/>
        </w:rPr>
        <w:endnoteRef/>
      </w:r>
      <w:hyperlink r:id="rId2" w:anchor="735b80289721f38cf5cd38f18d392fc2" w:tooltip="Luciano Devis, Juan Vicente" w:history="1">
        <w:r w:rsidRPr="00416C51">
          <w:rPr>
            <w:rFonts w:asciiTheme="minorHAnsi" w:hAnsiTheme="minorHAnsi"/>
            <w:sz w:val="20"/>
            <w:szCs w:val="20"/>
            <w:lang w:val="es-ES_tradnl"/>
          </w:rPr>
          <w:t xml:space="preserve">Luciano JV, </w:t>
        </w:r>
      </w:hyperlink>
      <w:hyperlink r:id="rId3" w:anchor="04c9e006b1c0f93f09807504c4ca8464" w:tooltip="Serrano Blanco, Antoni" w:history="1">
        <w:r w:rsidRPr="00416C51">
          <w:rPr>
            <w:rFonts w:asciiTheme="minorHAnsi" w:hAnsiTheme="minorHAnsi"/>
            <w:sz w:val="20"/>
            <w:szCs w:val="20"/>
            <w:lang w:val="es-ES_tradnl"/>
          </w:rPr>
          <w:t>Serrano A</w:t>
        </w:r>
      </w:hyperlink>
      <w:hyperlink r:id="rId4" w:anchor="04c34366732a5841f4c3a872c33a195f" w:tooltip=", Grupo DASMAP" w:history="1">
        <w:r w:rsidRPr="00416C51">
          <w:rPr>
            <w:rFonts w:asciiTheme="minorHAnsi" w:hAnsiTheme="minorHAnsi"/>
            <w:sz w:val="20"/>
            <w:szCs w:val="20"/>
            <w:lang w:val="es-ES_tradnl"/>
          </w:rPr>
          <w:t>, Grupo DASMAP</w:t>
        </w:r>
      </w:hyperlink>
      <w:r w:rsidRPr="00416C51">
        <w:rPr>
          <w:rFonts w:asciiTheme="minorHAnsi" w:hAnsiTheme="minorHAnsi"/>
          <w:sz w:val="20"/>
          <w:szCs w:val="20"/>
          <w:lang w:val="es-ES_tradnl"/>
        </w:rPr>
        <w:t>. Los hiperfrecuentadores en atención primaria: perfil sociodemográfico, características clínicas y propuesta de una nueva definición. Aten Primaria. 2008;40:631-2.</w:t>
      </w:r>
    </w:p>
  </w:endnote>
  <w:endnote w:id="5">
    <w:p w:rsidR="00BC2A83" w:rsidRPr="00757FB1" w:rsidRDefault="00BC2A83" w:rsidP="00BC2A83">
      <w:pPr>
        <w:spacing w:after="0" w:line="240" w:lineRule="auto"/>
        <w:jc w:val="both"/>
        <w:rPr>
          <w:rFonts w:asciiTheme="minorHAnsi" w:hAnsiTheme="minorHAnsi"/>
          <w:lang w:val="en-US"/>
        </w:rPr>
      </w:pPr>
      <w:r w:rsidRPr="00416C51">
        <w:rPr>
          <w:rStyle w:val="Refdenotaalfinal"/>
        </w:rPr>
        <w:endnoteRef/>
      </w:r>
      <w:r w:rsidRPr="00416C51">
        <w:rPr>
          <w:rFonts w:asciiTheme="minorHAnsi" w:hAnsiTheme="minorHAnsi"/>
          <w:sz w:val="20"/>
          <w:szCs w:val="20"/>
          <w:lang w:val="es-ES_tradnl"/>
        </w:rPr>
        <w:t xml:space="preserve">Asenjo MA. Gestión diaria del hospital. 3ª ed. </w:t>
      </w:r>
      <w:r w:rsidRPr="00757FB1">
        <w:rPr>
          <w:rFonts w:asciiTheme="minorHAnsi" w:hAnsiTheme="minorHAnsi"/>
          <w:sz w:val="20"/>
          <w:szCs w:val="20"/>
          <w:lang w:val="en-US"/>
        </w:rPr>
        <w:t>Elsevier, Barcelona 2006.</w:t>
      </w:r>
    </w:p>
  </w:endnote>
  <w:endnote w:id="6">
    <w:p w:rsidR="00BC2A83" w:rsidRPr="006F5C84" w:rsidRDefault="00BC2A83" w:rsidP="00BC2A8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0"/>
          <w:szCs w:val="20"/>
          <w:lang w:val="en-US"/>
        </w:rPr>
      </w:pPr>
      <w:r w:rsidRPr="00487FD0">
        <w:rPr>
          <w:rStyle w:val="Refdenotaalfinal"/>
          <w:rFonts w:asciiTheme="minorHAnsi" w:hAnsiTheme="minorHAnsi"/>
          <w:sz w:val="20"/>
          <w:szCs w:val="20"/>
        </w:rPr>
        <w:endnoteRef/>
      </w:r>
      <w:r w:rsidRPr="00487FD0">
        <w:rPr>
          <w:rFonts w:asciiTheme="minorHAnsi" w:hAnsiTheme="minorHAnsi" w:cs="Frutiger-Light"/>
          <w:sz w:val="20"/>
          <w:szCs w:val="20"/>
          <w:lang w:val="en-US" w:eastAsia="es-ES"/>
        </w:rPr>
        <w:t>Fries JF. Aging, natural death, and the compression of morbidity.</w:t>
      </w:r>
      <w:r w:rsidRPr="006F5C84">
        <w:rPr>
          <w:rFonts w:asciiTheme="minorHAnsi" w:hAnsiTheme="minorHAnsi" w:cs="Frutiger-LightItalic"/>
          <w:iCs/>
          <w:sz w:val="20"/>
          <w:szCs w:val="20"/>
          <w:lang w:val="en-US" w:eastAsia="es-ES"/>
        </w:rPr>
        <w:t>N Engl J Med.</w:t>
      </w:r>
      <w:r w:rsidRPr="006F5C84">
        <w:rPr>
          <w:rFonts w:asciiTheme="minorHAnsi" w:hAnsiTheme="minorHAnsi" w:cs="Frutiger-Light"/>
          <w:sz w:val="20"/>
          <w:szCs w:val="20"/>
          <w:lang w:val="en-US" w:eastAsia="es-ES"/>
        </w:rPr>
        <w:t>1980; 303:130-5.</w:t>
      </w:r>
    </w:p>
  </w:endnote>
  <w:endnote w:id="7">
    <w:p w:rsidR="00BC2A83" w:rsidRPr="00487FD0" w:rsidRDefault="00BC2A83" w:rsidP="00BC2A8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Frutiger-Bold"/>
          <w:b/>
          <w:bCs/>
          <w:sz w:val="20"/>
          <w:szCs w:val="20"/>
          <w:lang w:eastAsia="es-ES"/>
        </w:rPr>
      </w:pPr>
      <w:r w:rsidRPr="00487FD0">
        <w:rPr>
          <w:rStyle w:val="Refdenotaalfinal"/>
          <w:rFonts w:asciiTheme="minorHAnsi" w:hAnsiTheme="minorHAnsi"/>
          <w:sz w:val="20"/>
          <w:szCs w:val="20"/>
        </w:rPr>
        <w:endnoteRef/>
      </w:r>
      <w:r w:rsidRPr="00487FD0">
        <w:rPr>
          <w:rFonts w:asciiTheme="minorHAnsi" w:hAnsiTheme="minorHAnsi"/>
          <w:sz w:val="20"/>
          <w:szCs w:val="20"/>
          <w:lang w:val="es-ES_tradnl"/>
        </w:rPr>
        <w:t>Castells X, LlucMercadé X, Riu M. Envejecimiento y utilización hospitalaria. Informe SESPAS 2002. [Consultado 5/8/2011]. Disponible en:</w:t>
      </w:r>
      <w:hyperlink r:id="rId5" w:history="1">
        <w:r w:rsidRPr="00487FD0">
          <w:rPr>
            <w:rStyle w:val="Hipervnculo"/>
            <w:rFonts w:asciiTheme="minorHAnsi" w:hAnsiTheme="minorHAnsi" w:cs="Frutiger-Bold"/>
            <w:bCs/>
            <w:sz w:val="20"/>
            <w:szCs w:val="20"/>
            <w:lang w:eastAsia="es-ES"/>
          </w:rPr>
          <w:t>http://www.sespas.es</w:t>
        </w:r>
      </w:hyperlink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uturaBT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Light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ACC" w:rsidRDefault="00E27ACC" w:rsidP="00AA5EC9">
      <w:pPr>
        <w:spacing w:after="0" w:line="240" w:lineRule="auto"/>
      </w:pPr>
      <w:r>
        <w:separator/>
      </w:r>
    </w:p>
  </w:footnote>
  <w:footnote w:type="continuationSeparator" w:id="1">
    <w:p w:rsidR="00E27ACC" w:rsidRDefault="00E27ACC" w:rsidP="00AA5E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numFmt w:val="decimal"/>
    <w:endnote w:id="0"/>
    <w:endnote w:id="1"/>
  </w:endnotePr>
  <w:compat/>
  <w:rsids>
    <w:rsidRoot w:val="0035070C"/>
    <w:rsid w:val="00064D33"/>
    <w:rsid w:val="000747FA"/>
    <w:rsid w:val="000C43FA"/>
    <w:rsid w:val="000D1207"/>
    <w:rsid w:val="000E490C"/>
    <w:rsid w:val="0011282C"/>
    <w:rsid w:val="00133EA2"/>
    <w:rsid w:val="00195E5C"/>
    <w:rsid w:val="00200550"/>
    <w:rsid w:val="00207039"/>
    <w:rsid w:val="0021314F"/>
    <w:rsid w:val="00244A23"/>
    <w:rsid w:val="00271F71"/>
    <w:rsid w:val="002912B6"/>
    <w:rsid w:val="002A1832"/>
    <w:rsid w:val="002B205C"/>
    <w:rsid w:val="002F048D"/>
    <w:rsid w:val="0031416B"/>
    <w:rsid w:val="00325E21"/>
    <w:rsid w:val="0035070C"/>
    <w:rsid w:val="003C081F"/>
    <w:rsid w:val="003C4038"/>
    <w:rsid w:val="004016DE"/>
    <w:rsid w:val="00416C51"/>
    <w:rsid w:val="00445378"/>
    <w:rsid w:val="0044584F"/>
    <w:rsid w:val="00487FD0"/>
    <w:rsid w:val="00495358"/>
    <w:rsid w:val="00495FAA"/>
    <w:rsid w:val="004B538C"/>
    <w:rsid w:val="005343AC"/>
    <w:rsid w:val="00564E99"/>
    <w:rsid w:val="00592B90"/>
    <w:rsid w:val="0059315E"/>
    <w:rsid w:val="005C6C36"/>
    <w:rsid w:val="006B2F63"/>
    <w:rsid w:val="006D5943"/>
    <w:rsid w:val="006F5C84"/>
    <w:rsid w:val="007026A4"/>
    <w:rsid w:val="0073243C"/>
    <w:rsid w:val="00742ACE"/>
    <w:rsid w:val="00757FB1"/>
    <w:rsid w:val="007C2C44"/>
    <w:rsid w:val="007C5F79"/>
    <w:rsid w:val="00805AC1"/>
    <w:rsid w:val="00813F02"/>
    <w:rsid w:val="00815E91"/>
    <w:rsid w:val="00842B8E"/>
    <w:rsid w:val="00844118"/>
    <w:rsid w:val="00862D48"/>
    <w:rsid w:val="00884683"/>
    <w:rsid w:val="008B0242"/>
    <w:rsid w:val="008B0738"/>
    <w:rsid w:val="008B5999"/>
    <w:rsid w:val="008F3FE9"/>
    <w:rsid w:val="00906822"/>
    <w:rsid w:val="009110B1"/>
    <w:rsid w:val="00991AD8"/>
    <w:rsid w:val="009B5AAB"/>
    <w:rsid w:val="009C6392"/>
    <w:rsid w:val="00A94281"/>
    <w:rsid w:val="00AA5EC9"/>
    <w:rsid w:val="00B11B0B"/>
    <w:rsid w:val="00B144B4"/>
    <w:rsid w:val="00B2445C"/>
    <w:rsid w:val="00B74D63"/>
    <w:rsid w:val="00BC2A83"/>
    <w:rsid w:val="00BC726A"/>
    <w:rsid w:val="00BE3930"/>
    <w:rsid w:val="00C43C50"/>
    <w:rsid w:val="00C60358"/>
    <w:rsid w:val="00CB6CB7"/>
    <w:rsid w:val="00CC0855"/>
    <w:rsid w:val="00CD1349"/>
    <w:rsid w:val="00CE1D00"/>
    <w:rsid w:val="00D4296B"/>
    <w:rsid w:val="00D65E3A"/>
    <w:rsid w:val="00D74431"/>
    <w:rsid w:val="00D820D3"/>
    <w:rsid w:val="00DB24AA"/>
    <w:rsid w:val="00E27ACC"/>
    <w:rsid w:val="00E52785"/>
    <w:rsid w:val="00E556C6"/>
    <w:rsid w:val="00E91FDF"/>
    <w:rsid w:val="00E96DC5"/>
    <w:rsid w:val="00EA29F6"/>
    <w:rsid w:val="00EF508F"/>
    <w:rsid w:val="00F175A4"/>
    <w:rsid w:val="00F508C2"/>
    <w:rsid w:val="00F72AEF"/>
    <w:rsid w:val="00F83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9F6"/>
    <w:pPr>
      <w:spacing w:after="200" w:line="276" w:lineRule="auto"/>
    </w:pPr>
    <w:rPr>
      <w:rFonts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locked/>
    <w:rsid w:val="0073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A5EC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A5EC9"/>
    <w:rPr>
      <w:rFonts w:cs="Calibri"/>
      <w:sz w:val="20"/>
      <w:szCs w:val="20"/>
      <w:lang w:eastAsia="en-US"/>
    </w:rPr>
  </w:style>
  <w:style w:type="character" w:styleId="Refdenotaalfinal">
    <w:name w:val="endnote reference"/>
    <w:basedOn w:val="Fuentedeprrafopredeter"/>
    <w:uiPriority w:val="99"/>
    <w:unhideWhenUsed/>
    <w:rsid w:val="00AA5EC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64E99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026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26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026A4"/>
    <w:rPr>
      <w:rFonts w:cs="Calibri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26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26A4"/>
    <w:rPr>
      <w:rFonts w:cs="Calibri"/>
      <w:b/>
      <w:bCs/>
      <w:sz w:val="20"/>
      <w:szCs w:val="20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2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6A4"/>
    <w:rPr>
      <w:rFonts w:ascii="Tahoma" w:hAnsi="Tahoma" w:cs="Tahoma"/>
      <w:sz w:val="16"/>
      <w:szCs w:val="16"/>
      <w:lang w:eastAsia="en-US"/>
    </w:rPr>
  </w:style>
  <w:style w:type="character" w:styleId="Nmerodelnea">
    <w:name w:val="line number"/>
    <w:basedOn w:val="Fuentedeprrafopredeter"/>
    <w:uiPriority w:val="99"/>
    <w:semiHidden/>
    <w:unhideWhenUsed/>
    <w:rsid w:val="00325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9F6"/>
    <w:pPr>
      <w:spacing w:after="200" w:line="276" w:lineRule="auto"/>
    </w:pPr>
    <w:rPr>
      <w:rFonts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locked/>
    <w:rsid w:val="0073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A5EC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A5EC9"/>
    <w:rPr>
      <w:rFonts w:cs="Calibri"/>
      <w:sz w:val="20"/>
      <w:szCs w:val="20"/>
      <w:lang w:eastAsia="en-US"/>
    </w:rPr>
  </w:style>
  <w:style w:type="character" w:styleId="Refdenotaalfinal">
    <w:name w:val="endnote reference"/>
    <w:basedOn w:val="Fuentedeprrafopredeter"/>
    <w:uiPriority w:val="99"/>
    <w:unhideWhenUsed/>
    <w:rsid w:val="00AA5EC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64E99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026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26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026A4"/>
    <w:rPr>
      <w:rFonts w:cs="Calibri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26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26A4"/>
    <w:rPr>
      <w:rFonts w:cs="Calibri"/>
      <w:b/>
      <w:bCs/>
      <w:sz w:val="20"/>
      <w:szCs w:val="20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2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6A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lsevier.es/es/revistas/atencion-primaria-27/los-hiperfrecuentadores-atencion-primaria-perfil-sociodemografico-caracteristicas-13129501-reflexiones-medicina-familia-2008" TargetMode="External"/><Relationship Id="rId2" Type="http://schemas.openxmlformats.org/officeDocument/2006/relationships/hyperlink" Target="http://www.elsevier.es/es/revistas/atencion-primaria-27/los-hiperfrecuentadores-atencion-primaria-perfil-sociodemografico-caracteristicas-13129501-reflexiones-medicina-familia-2008" TargetMode="External"/><Relationship Id="rId1" Type="http://schemas.openxmlformats.org/officeDocument/2006/relationships/hyperlink" Target="http://www.oecd-ilibrary.org/social-issues-migration-health/data/oecd-health-statistics/oecd-health-data-health-status_data-00540-en;jsessionid=27ekvsc1d6qbj.epsilon?isPartOf=/content/datacollection/health-data-en" TargetMode="External"/><Relationship Id="rId5" Type="http://schemas.openxmlformats.org/officeDocument/2006/relationships/hyperlink" Target="http://www.sespas.es" TargetMode="External"/><Relationship Id="rId4" Type="http://schemas.openxmlformats.org/officeDocument/2006/relationships/hyperlink" Target="http://www.elsevier.es/es/revistas/atencion-primaria-27/los-hiperfrecuentadores-atencion-primaria-perfil-sociodemografico-caracteristicas-13129501-reflexiones-medicina-familia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974F71B-E45A-4B0A-9BF8-F05D1CE8D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730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Autopercepción de salud y frecuentación en un entorno de crisis económica</vt:lpstr>
    </vt:vector>
  </TitlesOfParts>
  <Company>Hewlett-Packard Company</Company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Autopercepción de salud y frecuentación en un entorno de crisis económica</dc:title>
  <dc:creator>DISCO DURO</dc:creator>
  <cp:lastModifiedBy>SLorenzo</cp:lastModifiedBy>
  <cp:revision>3</cp:revision>
  <dcterms:created xsi:type="dcterms:W3CDTF">2011-08-30T08:49:00Z</dcterms:created>
  <dcterms:modified xsi:type="dcterms:W3CDTF">2011-08-30T08:54:00Z</dcterms:modified>
</cp:coreProperties>
</file>